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Adversarial Robustness and Stress Testing of Hybrid Quantum-Classical Detection Systems</w:t>
      </w:r>
    </w:p>
    <w:p>
      <w:r>
        <w:rPr>
          <w:rFonts w:ascii="Calibri" w:hAnsi="Calibri"/>
          <w:i/>
          <w:sz w:val="22"/>
        </w:rPr>
        <w:t>Arnav | IISER Bhopal | Cybersecurity Research Internship Program</w:t>
      </w:r>
    </w:p>
    <w:p/>
    <w:p>
      <w:r>
        <w:rPr>
          <w:rFonts w:ascii="Calibri" w:hAnsi="Calibri"/>
          <w:b/>
          <w:sz w:val="28"/>
        </w:rPr>
        <w:t>Abstract</w:t>
      </w:r>
    </w:p>
    <w:p>
      <w:r>
        <w:rPr>
          <w:rFonts w:ascii="Calibri" w:hAnsi="Calibri"/>
          <w:sz w:val="22"/>
        </w:rPr>
        <w:t>Deploying machine learning-based anomaly detectors in adversarial environments introduces a critical vulnerability: attackers aware of the monitoring system can craft inputs designed to evade detection. This article evaluates the adversarial robustness of the hybrid AI-quantum anomaly detector against evasion attacks, gradient-based perturbations, and noise stress tests. We find that the Gaussian Process classifier exhibits inherent resistance to gradient-based attacks due to its non-linear decision boundary, while the quantum kernel SVM shows moderate sensitivity to targeted perturbations. Stress testing under elevated noise conditions reveals graceful performance degradation, with the Bayesian detector maintaining F1 &gt; 0.80 up to QBER levels of 22%.</w:t>
      </w:r>
    </w:p>
    <w:p>
      <w:r>
        <w:rPr>
          <w:rFonts w:ascii="Calibri" w:hAnsi="Calibri"/>
          <w:b/>
          <w:sz w:val="28"/>
        </w:rPr>
        <w:t>1. Introduction</w:t>
      </w:r>
    </w:p>
    <w:p>
      <w:r>
        <w:rPr>
          <w:rFonts w:ascii="Calibri" w:hAnsi="Calibri"/>
          <w:sz w:val="22"/>
        </w:rPr>
        <w:t>Adversarial machine learning has demonstrated that even high-accuracy classifiers can be fooled by carefully crafted perturbations imperceptible to human observers. In the QKD security context, an attacker who understands the monitoring system's detection algorithm could manipulate channel parameters to evade classification while still compromising the key exchange.</w:t>
      </w:r>
    </w:p>
    <w:p>
      <w:r>
        <w:rPr>
          <w:rFonts w:ascii="Calibri" w:hAnsi="Calibri"/>
          <w:sz w:val="22"/>
        </w:rPr>
        <w:t>The threat model differs from standard evasion attacks in important ways. QKD attackers have limited ability to control measurement outcomes—they cannot freely perturb feature vectors but rather influence physical parameters through attack actions. However, sophisticated attackers with knowledge of the detector's decision boundary could tune their attack parameters to remain below the detection threshold while still extracting useful key material.</w:t>
      </w:r>
    </w:p>
    <w:p>
      <w:r>
        <w:rPr>
          <w:rFonts w:ascii="Calibri" w:hAnsi="Calibri"/>
          <w:sz w:val="22"/>
        </w:rPr>
        <w:t>This article evaluates three aspects of robustness: (1) resistance to gradient-based evasion attacks targeting the detector's decision boundary, (2) sensitivity to parameter-specific perturbations reflecting realistic attack adjustments, and (3) graceful degradation under elevated noise levels representing challenging channel conditions.</w:t>
      </w:r>
    </w:p>
    <w:p>
      <w:r>
        <w:rPr>
          <w:rFonts w:ascii="Calibri" w:hAnsi="Calibri"/>
          <w:b/>
          <w:sz w:val="28"/>
        </w:rPr>
        <w:t>2 Adversarial Threat Model for QKD Monitoring</w:t>
      </w:r>
    </w:p>
    <w:p>
      <w:r>
        <w:rPr>
          <w:rFonts w:ascii="Calibri" w:hAnsi="Calibri"/>
          <w:sz w:val="22"/>
        </w:rPr>
        <w:t>We consider a gray-box threat model in which the attacker knows the detector architecture and feature representation but does not have access to model parameters or training data. This is realistic for open-source or standardized QKD monitoring systems where the detection algorithm is publicly documented but the specific trained model is not.</w:t>
      </w:r>
    </w:p>
    <w:p>
      <w:r>
        <w:rPr>
          <w:rFonts w:ascii="Calibri" w:hAnsi="Calibri"/>
          <w:sz w:val="22"/>
        </w:rPr>
        <w:t>The attacker's goal is to maximize the probability that an attack sample is classified as normal, subject to constraints on the magnitude of perturbation applied to each feature. The perturbation constraint reflects the physical limitations of attack parameter adjustment: an attacker cannot arbitrarily change measured QBER or photon detection rates without affecting the success of the underlying attack.</w:t>
      </w:r>
    </w:p>
    <w:p>
      <w:r>
        <w:rPr>
          <w:rFonts w:ascii="Calibri" w:hAnsi="Calibri"/>
          <w:b/>
          <w:sz w:val="28"/>
        </w:rPr>
        <w:t>3 Gradient-Based Evasion Attacks</w:t>
      </w:r>
    </w:p>
    <w:p>
      <w:r>
        <w:rPr>
          <w:rFonts w:ascii="Calibri" w:hAnsi="Calibri"/>
          <w:sz w:val="22"/>
        </w:rPr>
        <w:t>We implement the Fast Gradient Sign Method (FGSM) and Projected Gradient Descent (PGD) attacks against the GP classifier. These attacks compute the gradient of the loss function with respect to input features and perturb the input in the direction that maximizes classification loss, subject to an L_infinity constraint on perturbation magnitude.</w:t>
      </w:r>
    </w:p>
    <w:p>
      <w:r>
        <w:rPr>
          <w:rFonts w:ascii="Calibri" w:hAnsi="Calibri"/>
          <w:sz w:val="22"/>
        </w:rPr>
        <w:t>The GP classifier shows notable resistance to gradient-based attacks. At epsilon = 0.05 (5% perturbation relative to feature range), the GP's accuracy drops only from 0.914 to 0.887 (a 3.0% reduction), compared to a Random Forest baseline which drops from 0.961 to 0.892 (a 7.2% reduction). At epsilon = 0.10, the GP maintains 0.851 accuracy while Random Forest drops to 0.803.</w:t>
      </w:r>
    </w:p>
    <w:p>
      <w:r>
        <w:rPr>
          <w:rFonts w:ascii="Calibri" w:hAnsi="Calibri"/>
          <w:sz w:val="22"/>
        </w:rPr>
        <w:t>This robustness stems from the GP's smooth, non-linear decision boundary. Unlike decision tree ensembles which create piecewise-constant decision regions with sharp transitions, the GP's RBF kernel produces a smooth posterior surface that is less susceptible to gradient-based manipulation. The GP's inherent uncertainty estimation also contributes: samples near the original decision boundary that are pushed across it by small perturbations remain in the model's region of high uncertainty, triggering the selective prediction mechanism.</w:t>
      </w:r>
    </w:p>
    <w:p>
      <w:r>
        <w:rPr>
          <w:rFonts w:ascii="Calibri" w:hAnsi="Calibri"/>
          <w:sz w:val="22"/>
        </w:rPr>
        <w:t>The quantum kernel SVM is more sensitive to evasion attacks, with accuracy dropping from 0.869 to 0.796 at epsilon = 0.10. The quantum kernel's high-dimensional feature space creates decision boundaries that, while highly discriminative, exhibit larger curvature that attackers can exploit through small perturbations.</w:t>
      </w:r>
    </w:p>
    <w:p>
      <w:r>
        <w:rPr>
          <w:rFonts w:ascii="Calibri" w:hAnsi="Calibri"/>
          <w:b/>
          <w:sz w:val="28"/>
        </w:rPr>
        <w:t>4 Parameter-Specific Sensitivity Analysis</w:t>
      </w:r>
    </w:p>
    <w:p>
      <w:r>
        <w:rPr>
          <w:rFonts w:ascii="Calibri" w:hAnsi="Calibri"/>
          <w:sz w:val="22"/>
        </w:rPr>
        <w:t>We conduct a feature perturbation analysis to identify which QKD measurement parameters most influence the detector's decisions. Each feature is perturbed independently across a range of values while holding other features at their median values, and the model's predicted attack probability is recorded.</w:t>
      </w:r>
    </w:p>
    <w:p>
      <w:r>
        <w:rPr>
          <w:rFonts w:ascii="Calibri" w:hAnsi="Calibri"/>
          <w:sz w:val="22"/>
        </w:rPr>
        <w:t>Table 1: Feature Sensitivity — Change in Attack Probability per Unit Feature Change</w:t>
      </w:r>
    </w:p>
    <w:p>
      <w:r>
        <w:rPr>
          <w:rFonts w:ascii="Calibri" w:hAnsi="Calibri"/>
          <w:b/>
          <w:sz w:val="22"/>
        </w:rPr>
        <w:t>Table 1: Feature Sensitivity — Change in Attack Probability per Unit Feature Change</w:t>
      </w:r>
    </w:p>
    <w:p>
      <w:r>
        <w:rPr>
          <w:rFonts w:ascii="Calibri" w:hAnsi="Calibri"/>
          <w:sz w:val="22"/>
        </w:rPr>
        <w:t>QBER: 0.342 (most sensitive)</w:t>
      </w:r>
    </w:p>
    <w:p>
      <w:r>
        <w:rPr>
          <w:rFonts w:ascii="Calibri" w:hAnsi="Calibri"/>
          <w:sz w:val="22"/>
        </w:rPr>
        <w:t>Photon detection rate: -0.287</w:t>
      </w:r>
    </w:p>
    <w:p>
      <w:r>
        <w:rPr>
          <w:rFonts w:ascii="Calibri" w:hAnsi="Calibri"/>
          <w:sz w:val="22"/>
        </w:rPr>
        <w:t>Detector efficiency: 0.156</w:t>
      </w:r>
    </w:p>
    <w:p>
      <w:r>
        <w:rPr>
          <w:rFonts w:ascii="Calibri" w:hAnsi="Calibri"/>
          <w:sz w:val="22"/>
        </w:rPr>
        <w:t>Dark count rate: 0.123</w:t>
      </w:r>
    </w:p>
    <w:p>
      <w:r>
        <w:rPr>
          <w:rFonts w:ascii="Calibri" w:hAnsi="Calibri"/>
          <w:sz w:val="22"/>
        </w:rPr>
        <w:t>Afterpulse probability: 0.089</w:t>
      </w:r>
    </w:p>
    <w:p>
      <w:r>
        <w:rPr>
          <w:rFonts w:ascii="Calibri" w:hAnsi="Calibri"/>
          <w:sz w:val="22"/>
        </w:rPr>
        <w:t>Visibility: -0.072</w:t>
      </w:r>
    </w:p>
    <w:p>
      <w:r>
        <w:rPr>
          <w:rFonts w:ascii="Calibri" w:hAnsi="Calibri"/>
          <w:sz w:val="22"/>
        </w:rPr>
        <w:t>Error correction inefficiency: 0.045</w:t>
      </w:r>
    </w:p>
    <w:p>
      <w:r>
        <w:rPr>
          <w:rFonts w:ascii="Calibri" w:hAnsi="Calibri"/>
          <w:sz w:val="22"/>
        </w:rPr>
        <w:t>Privacy amplification factor: -0.031</w:t>
      </w:r>
    </w:p>
    <w:p>
      <w:r>
        <w:rPr>
          <w:rFonts w:ascii="Calibri" w:hAnsi="Calibri"/>
          <w:sz w:val="22"/>
        </w:rPr>
        <w:t>QBER and photon detection rate are by far the most influential features, reflecting the fact that most attack types elevate QBER and reduce the detectable photon rate. An attacker seeking to evade detection while maintaining attack effectiveness would therefore need to minimize QBER elevation—a fundamental tension since QBER elevation is inherent to most attack mechanisms.</w:t>
      </w:r>
    </w:p>
    <w:p>
      <w:r>
        <w:rPr>
          <w:rFonts w:ascii="Calibri" w:hAnsi="Calibri"/>
          <w:b/>
          <w:sz w:val="28"/>
        </w:rPr>
        <w:t>5 Noise Stress Testing</w:t>
      </w:r>
    </w:p>
    <w:p>
      <w:r>
        <w:rPr>
          <w:rFonts w:ascii="Calibri" w:hAnsi="Calibri"/>
          <w:sz w:val="22"/>
        </w:rPr>
        <w:t>Beyond targeted adversarial perturbations, we evaluate detector performance under elevated noise conditions reflecting challenging or degrading channel environments. Noise stress tests increase the baseline measurement noise beyond the training distribution, simulating scenarios such as aging optical components, temperature fluctuations, or interference from co-located classical channels.</w:t>
      </w:r>
    </w:p>
    <w:p>
      <w:r>
        <w:rPr>
          <w:rFonts w:ascii="Calibri" w:hAnsi="Calibri"/>
          <w:sz w:val="22"/>
        </w:rPr>
        <w:t>The GP classifier demonstrates graceful degradation under noise stress. At baseline noise (sigma = 0.05, corresponding to normal operating conditions), F1 is 0.889. As noise increases to sigma = 0.15 (3x baseline), F1 declines to 0.847, and at sigma = 0.25 (5x baseline), F1 reaches 0.812. Crucially, the GP's uncertainty estimates widen proportionally with noise, ensuring that the selective prediction mechanism correctly identifies high-noise windows and defers classification rather than making unreliable predictions.</w:t>
      </w:r>
    </w:p>
    <w:p>
      <w:r>
        <w:rPr>
          <w:rFonts w:ascii="Calibri" w:hAnsi="Calibri"/>
          <w:sz w:val="22"/>
        </w:rPr>
        <w:t>Figure 1: Noise Stress Test — F1 Score and Coverage vs. Input Noise Level</w:t>
      </w:r>
    </w:p>
    <w:p>
      <w:r>
        <w:rPr>
          <w:rFonts w:ascii="Calibri" w:hAnsi="Calibri"/>
          <w:i/>
          <w:sz w:val="22"/>
        </w:rPr>
        <w:t>Figure 1: Noise Stress Test — F1 Score and Coverage vs. Input Noise Level</w:t>
      </w:r>
    </w:p>
    <w:p>
      <w:r>
        <w:rPr>
          <w:rFonts w:ascii="Calibri" w:hAnsi="Calibri"/>
          <w:sz w:val="22"/>
        </w:rPr>
        <w:t>The quantum kernel SVM degrades more rapidly, with F1 falling to 0.743 at sigma = 0.25. The quantum kernel's reliance on precise feature relationships in Hilbert space makes it more sensitive to measurement noise that distorts the encoded quantum states.</w:t>
      </w:r>
    </w:p>
    <w:p>
      <w:r>
        <w:rPr>
          <w:rFonts w:ascii="Calibri" w:hAnsi="Calibri"/>
          <w:sz w:val="22"/>
        </w:rPr>
        <w:t>Table 2: Noise Stress Test Results</w:t>
      </w:r>
    </w:p>
    <w:p>
      <w:r>
        <w:rPr>
          <w:rFonts w:ascii="Calibri" w:hAnsi="Calibri"/>
          <w:b/>
          <w:sz w:val="22"/>
        </w:rPr>
        <w:t>Table 2: Noise Stress Test Results</w:t>
      </w:r>
    </w:p>
    <w:p>
      <w:r>
        <w:rPr>
          <w:rFonts w:ascii="Calibri" w:hAnsi="Calibri"/>
          <w:sz w:val="22"/>
        </w:rPr>
        <w:t>Noise Level | GP F1 | QK F1 | Stacking F1 | GP Coverage (tau=0.5)</w:t>
      </w:r>
    </w:p>
    <w:p>
      <w:r>
        <w:rPr>
          <w:rFonts w:ascii="Calibri" w:hAnsi="Calibri"/>
          <w:sz w:val="22"/>
        </w:rPr>
        <w:t>sigma=0.05 | 0.889 | 0.869 | 0.904 | 100%</w:t>
      </w:r>
    </w:p>
    <w:p>
      <w:r>
        <w:rPr>
          <w:rFonts w:ascii="Calibri" w:hAnsi="Calibri"/>
          <w:sz w:val="22"/>
        </w:rPr>
        <w:t>sigma=0.10 | 0.871 | 0.831 | 0.887 | 98.2%</w:t>
      </w:r>
    </w:p>
    <w:p>
      <w:r>
        <w:rPr>
          <w:rFonts w:ascii="Calibri" w:hAnsi="Calibri"/>
          <w:sz w:val="22"/>
        </w:rPr>
        <w:t>sigma=0.15 | 0.847 | 0.794 | 0.861 | 93.7%</w:t>
      </w:r>
    </w:p>
    <w:p>
      <w:r>
        <w:rPr>
          <w:rFonts w:ascii="Calibri" w:hAnsi="Calibri"/>
          <w:sz w:val="22"/>
        </w:rPr>
        <w:t>sigma=0.20 | 0.826 | 0.768 | 0.838 | 87.1%</w:t>
      </w:r>
    </w:p>
    <w:p>
      <w:r>
        <w:rPr>
          <w:rFonts w:ascii="Calibri" w:hAnsi="Calibri"/>
          <w:sz w:val="22"/>
        </w:rPr>
        <w:t>sigma=0.25 | 0.812 | 0.743 | 0.819 | 81.4%</w:t>
      </w:r>
    </w:p>
    <w:p>
      <w:r>
        <w:rPr>
          <w:rFonts w:ascii="Calibri" w:hAnsi="Calibri"/>
          <w:b/>
          <w:sz w:val="28"/>
        </w:rPr>
        <w:t>6 Defensive Countermeasures</w:t>
      </w:r>
    </w:p>
    <w:p>
      <w:r>
        <w:rPr>
          <w:rFonts w:ascii="Calibri" w:hAnsi="Calibri"/>
          <w:sz w:val="22"/>
        </w:rPr>
        <w:t>Based on the adversarial robustness analysis, we propose several defensive measures:</w:t>
      </w:r>
    </w:p>
    <w:p>
      <w:r>
        <w:rPr>
          <w:rFonts w:ascii="Calibri" w:hAnsi="Calibri"/>
          <w:sz w:val="22"/>
        </w:rPr>
        <w:t>Adversarial Training: Augment the training set with adversarial examples generated at each training epoch. For the GP classifier, adversarial training improves robustness from F1=0.851 to F1=0.883 at epsilon=0.10, at the cost of a 2.1% reduction in clean accuracy.</w:t>
      </w:r>
    </w:p>
    <w:p>
      <w:r>
        <w:rPr>
          <w:rFonts w:ascii="Calibri" w:hAnsi="Calibri"/>
          <w:sz w:val="22"/>
        </w:rPr>
        <w:t>Input Perturbation Detection: Monitor the empirical probability density of incoming feature vectors using the GP's marginal likelihood. Inputs with unusually low marginal likelihood are flagged as potential adversarial samples and routed to alternative verification.</w:t>
      </w:r>
    </w:p>
    <w:p>
      <w:r>
        <w:rPr>
          <w:rFonts w:ascii="Calibri" w:hAnsi="Calibri"/>
          <w:sz w:val="22"/>
        </w:rPr>
        <w:t>Ensemble Diversity: The stacking ensemble's use of diverse base models provides natural robustness: an adversarial perturbation effective against one base model is unlikely to fool all base models simultaneously. The meta-learner's ability to detect disagreement among base models provides an additional signal for adversarial detection.</w:t>
      </w:r>
    </w:p>
    <w:p>
      <w:r>
        <w:rPr>
          <w:rFonts w:ascii="Calibri" w:hAnsi="Calibri"/>
          <w:b/>
          <w:sz w:val="28"/>
        </w:rPr>
        <w:t>7 Conclusion</w:t>
      </w:r>
    </w:p>
    <w:p>
      <w:r>
        <w:rPr>
          <w:rFonts w:ascii="Calibri" w:hAnsi="Calibri"/>
          <w:sz w:val="22"/>
        </w:rPr>
        <w:t>The hybrid AI-quantum detector exhibits encouraging robustness properties for deployed QKD security monitoring. The GP classifier's smooth decision boundaries and Bayesian uncertainty quantification provide inherent resistance to gradient-based evasion attacks that would compromise classical tree-based detectors. The primary vulnerability surface is the quantum kernel SVM, whose high-dimensional feature space creates exploitable curvature in the decision boundary. Ensemble methods combining GP and QK components, together with adversarial training and selective prediction, provide a layered defense strategy suitable for production QKD networks.</w:t>
      </w:r>
    </w:p>
    <w:p>
      <w:r>
        <w:rPr>
          <w:rFonts w:ascii="Calibri" w:hAnsi="Calibri"/>
          <w:b/>
          <w:sz w:val="28"/>
        </w:rPr>
        <w:t>References</w:t>
      </w:r>
    </w:p>
    <w:p>
      <w:r>
        <w:rPr>
          <w:rFonts w:ascii="Calibri" w:hAnsi="Calibri"/>
          <w:sz w:val="22"/>
        </w:rPr>
        <w:t>[1] I. J. Goodfellow, J. Shlens, and C. Szegedy, "Explaining and Harnessing Adversarial Examples," in Proc. ICLR, 2015.</w:t>
      </w:r>
    </w:p>
    <w:p>
      <w:r>
        <w:rPr>
          <w:rFonts w:ascii="Calibri" w:hAnsi="Calibri"/>
          <w:sz w:val="22"/>
        </w:rPr>
        <w:t>[2] A. Madry, A. Makelov, L. Schmidt, D. Tsipras, and A. Vladu, "Towards Deep Learning Models Resistant to Adversarial Attacks," in Proc. ICLR, 2018.</w:t>
      </w:r>
    </w:p>
    <w:p>
      <w:r>
        <w:rPr>
          <w:rFonts w:ascii="Calibri" w:hAnsi="Calibri"/>
          <w:sz w:val="22"/>
        </w:rPr>
        <w:t>[3] N. Papernot, P. McDaniel, S. Jha, M. Fredrikson, Z. B. Celik, and A. Swami, "The Limitations of Deep Learning in Adversarial Settings," in Proc. IEEE EuroS&amp;P, 2016, pp. 372–387.</w:t>
      </w:r>
    </w:p>
    <w:p>
      <w:r>
        <w:rPr>
          <w:rFonts w:ascii="Calibri" w:hAnsi="Calibri"/>
          <w:sz w:val="22"/>
        </w:rPr>
        <w:t>[4] B. Biggio and F. Roli, "Wild Patterns: Ten Years After the Rise of Adversarial Machine Learning," Pattern Recognition, vol. 84, pp. 317–331, 2018.</w:t>
      </w:r>
    </w:p>
    <w:p>
      <w:r>
        <w:rPr>
          <w:rFonts w:ascii="Calibri" w:hAnsi="Calibri"/>
          <w:sz w:val="22"/>
        </w:rPr>
        <w:t>[5] F. Tramer, N. Papernot, I. Goodfellow, D. Boneh, and P. McDaniel, "The Space of Transferable Adversarial Examples," arXiv:1704.03453, 2017.</w:t>
      </w:r>
    </w:p>
    <w:p>
      <w:r>
        <w:rPr>
          <w:rFonts w:ascii="Calibri" w:hAnsi="Calibri"/>
          <w:sz w:val="22"/>
        </w:rPr>
        <w:t>[6] A. Kurakin, I. Goodfellow, and S. Bengio, "Adversarial Examples in the Physical World," in Proc. ICLR Workshop, 2017.</w:t>
      </w:r>
    </w:p>
    <w:p>
      <w:r>
        <w:rPr>
          <w:rFonts w:ascii="Calibri" w:hAnsi="Calibri"/>
          <w:sz w:val="22"/>
        </w:rPr>
        <w:t>[7] C. E. Rasmussen and C. K. I. Williams, Gaussian Processes for Machine Learning. MIT Press, 2006.</w:t>
      </w:r>
    </w:p>
    <w:p>
      <w:r>
        <w:rPr>
          <w:rFonts w:ascii="Calibri" w:hAnsi="Calibri"/>
          <w:sz w:val="22"/>
        </w:rPr>
        <w:t>[8] N. Carlini and D. Wagner, "Towards Evaluating the Robustness of Neural Networks," in Proc. IEEE S&amp;P, 2017, pp. 39–57.</w:t>
      </w:r>
    </w:p>
    <w:p>
      <w:r>
        <w:rPr>
          <w:rFonts w:ascii="Calibri" w:hAnsi="Calibri"/>
          <w:sz w:val="22"/>
        </w:rPr>
        <w:t>[9] S. G. Finlayson, J. D. Bowers, J. Ito, J. L. Zittrain, A. L. Beam, and I. S. Kohane, "Adversarial Attacks on Medical Machine Learning," Science, vol. 363, no. 6433, pp. 1287–1289, 2019.</w:t>
      </w:r>
    </w:p>
    <w:p>
      <w:r>
        <w:rPr>
          <w:rFonts w:ascii="Calibri" w:hAnsi="Calibri"/>
          <w:sz w:val="22"/>
        </w:rPr>
        <w:t>[10] D. Stutz, M. Hein, and B. Schiele, "Disentangling Adversarial Robustness and Generalization," in Proc. CVPR, 2019, pp. 6976–6987.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