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32"/>
        </w:rPr>
        <w:t>Deployment Strategies and System Integration for AI-Quantum Security Monitors</w:t>
      </w:r>
    </w:p>
    <w:p>
      <w:r>
        <w:rPr>
          <w:rFonts w:ascii="Calibri" w:hAnsi="Calibri"/>
          <w:i/>
          <w:sz w:val="22"/>
        </w:rPr>
        <w:t>Arnav | IISER Bhopal | Cybersecurity Research Internship Program</w:t>
      </w:r>
    </w:p>
    <w:p/>
    <w:p>
      <w:r>
        <w:rPr>
          <w:rFonts w:ascii="Calibri" w:hAnsi="Calibri"/>
          <w:b/>
          <w:sz w:val="28"/>
        </w:rPr>
        <w:t>Abstract</w:t>
      </w:r>
    </w:p>
    <w:p>
      <w:r>
        <w:rPr>
          <w:rFonts w:ascii="Calibri" w:hAnsi="Calibri"/>
          <w:sz w:val="22"/>
        </w:rPr>
        <w:t>Transitioning hybrid AI-quantum anomaly detectors from research prototypes to production QKD monitoring systems requires careful attention to deployment architecture, latency guarantees, model lifecycle management, and system integration. This article presents a comprehensive deployment framework for the HYQAD system, addressing containerization, inference optimization, model versioning, and integration with existing QKD control software. We evaluate deployment targets ranging from commodity CPU servers to edge devices (NVIDIA Jetson Nano), demonstrating sub-10ms inference latencies suitable for real-time monitoring at both QKD and classical network time scales.</w:t>
      </w:r>
    </w:p>
    <w:p>
      <w:r>
        <w:rPr>
          <w:rFonts w:ascii="Calibri" w:hAnsi="Calibri"/>
          <w:b/>
          <w:sz w:val="28"/>
        </w:rPr>
        <w:t>1. Introduction</w:t>
      </w:r>
    </w:p>
    <w:p>
      <w:r>
        <w:rPr>
          <w:rFonts w:ascii="Calibri" w:hAnsi="Calibri"/>
          <w:sz w:val="22"/>
        </w:rPr>
        <w:t>A substantial gap exists between demonstrating a machine learning model's accuracy on benchmark datasets and deploying it as a reliable component of operational infrastructure. For QKD security monitoring, this gap is particularly consequential: the monitoring system must operate continuously, with bounded latency, on potentially constrained hardware, and without disrupting the primary QKD protocol execution.</w:t>
      </w:r>
    </w:p>
    <w:p>
      <w:r>
        <w:rPr>
          <w:rFonts w:ascii="Calibri" w:hAnsi="Calibri"/>
          <w:sz w:val="22"/>
        </w:rPr>
        <w:t>This article addresses the deployment challenges of the hybrid AI-quantum anomaly detector, presenting a production-ready framework that encompasses model serialization, containerization, inference optimization, monitoring, and lifecycle management.</w:t>
      </w:r>
    </w:p>
    <w:p>
      <w:r>
        <w:rPr>
          <w:rFonts w:ascii="Calibri" w:hAnsi="Calibri"/>
          <w:b/>
          <w:sz w:val="28"/>
        </w:rPr>
        <w:t>2 Deployment Architecture</w:t>
      </w:r>
    </w:p>
    <w:p>
      <w:r>
        <w:rPr>
          <w:rFonts w:ascii="Calibri" w:hAnsi="Calibri"/>
          <w:sz w:val="22"/>
        </w:rPr>
        <w:t>The proposed deployment architecture separates the QKD monitoring system into four modular layers:</w:t>
      </w:r>
    </w:p>
    <w:p>
      <w:r>
        <w:rPr>
          <w:rFonts w:ascii="Calibri" w:hAnsi="Calibri"/>
          <w:b/>
          <w:sz w:val="22"/>
        </w:rPr>
        <w:t>Data Acquisition Layer: Interfaces with the QKD controller to capture per-pulse and per-frame measurement data. A circular buffer maintains the most recent N measurement windows (default: 1000), enabling historical analysis without unbounded memory growth.</w:t>
      </w:r>
    </w:p>
    <w:p>
      <w:r>
        <w:rPr>
          <w:rFonts w:ascii="Calibri" w:hAnsi="Calibri"/>
          <w:b/>
          <w:sz w:val="22"/>
        </w:rPr>
        <w:t>Feature Transformation Layer: Applies the quantum-inspired feature engineering pipeline. This layer caches the covariance matrix and normalization parameters from training, performing only O(n) operations per sample during inference. The AmplitudeEncoder is pre-compiled for the target feature dimension.</w:t>
      </w:r>
    </w:p>
    <w:p>
      <w:r>
        <w:rPr>
          <w:rFonts w:ascii="Calibri" w:hAnsi="Calibri"/>
          <w:b/>
          <w:sz w:val="22"/>
        </w:rPr>
        <w:t>Inference Engine: Hosts the trained GP classifier, quantum kernel SVM, and stacking meta-learner. Models are loaded from serialized files at startup. The engine supports parallel execution of GP and QK components using Python's multiprocessing with shared memory for feature data.</w:t>
      </w:r>
    </w:p>
    <w:p>
      <w:r>
        <w:rPr>
          <w:rFonts w:ascii="Calibri" w:hAnsi="Calibri"/>
          <w:b/>
          <w:sz w:val="22"/>
        </w:rPr>
        <w:t>Decision and Alerting Layer: Applies the selective prediction deferral mechanism, maintains a sliding window of classification history for trend analysis, and generates alerts when attack probability exceeds configurable thresholds. Alerts are structured as JSON messages for consumption by the QKD network operations center.</w:t>
      </w:r>
    </w:p>
    <w:p>
      <w:r>
        <w:rPr>
          <w:rFonts w:ascii="Calibri" w:hAnsi="Calibri"/>
          <w:sz w:val="22"/>
        </w:rPr>
        <w:t>Figure 1: HYQAD Deployment Architecture — Four-Layer Monitoring Stack</w:t>
      </w:r>
    </w:p>
    <w:p>
      <w:r>
        <w:rPr>
          <w:rFonts w:ascii="Calibri" w:hAnsi="Calibri"/>
          <w:i/>
          <w:sz w:val="22"/>
        </w:rPr>
        <w:t>Figure 1: HYQAD Deployment Architecture — Four-Layer Monitoring Stack</w:t>
      </w:r>
    </w:p>
    <w:p>
      <w:r>
        <w:rPr>
          <w:rFonts w:ascii="Calibri" w:hAnsi="Calibri"/>
          <w:b/>
          <w:sz w:val="28"/>
        </w:rPr>
        <w:t>3 Inference Optimization</w:t>
      </w:r>
    </w:p>
    <w:p>
      <w:r>
        <w:rPr>
          <w:rFonts w:ascii="Calibri" w:hAnsi="Calibri"/>
          <w:sz w:val="22"/>
        </w:rPr>
        <w:t>Real-time QKD monitoring requires inference latency well below the QKD frame duration (typically 100–1000 ms per frame in practical systems). Our optimization targets sub-10ms per-sample inference:</w:t>
      </w:r>
    </w:p>
    <w:p>
      <w:r>
        <w:rPr>
          <w:rFonts w:ascii="Calibri" w:hAnsi="Calibri"/>
          <w:b/>
          <w:sz w:val="22"/>
        </w:rPr>
        <w:t>GP Approximation: The full GP requires O(n^3) training and O(n) inference. For deployment, we replace the full GP with a sparse approximation using 50 inducing points (FITC approximation), reducing inference to O(m^2) where m=50. Sparse GP inference achieves 4.8 ms/sample on CPU versus 7.3 ms for the full GP, with an F1 reduction of only 0.008.</w:t>
      </w:r>
    </w:p>
    <w:p>
      <w:r>
        <w:rPr>
          <w:rFonts w:ascii="Calibri" w:hAnsi="Calibri"/>
          <w:b/>
          <w:sz w:val="22"/>
        </w:rPr>
        <w:t>Kernel Matrix Caching: The quantum kernel matrix for the SVM is pre-computed on the training set. For inference, the kernel vector between a test point and all training points is computed on-demand using PennyLane's parameter-shift differentiation. We cache the training kernel matrix in shared memory to avoid redundant computation across concurrent inference requests.</w:t>
      </w:r>
    </w:p>
    <w:p>
      <w:r>
        <w:rPr>
          <w:rFonts w:ascii="Calibri" w:hAnsi="Calibri"/>
          <w:b/>
          <w:sz w:val="22"/>
        </w:rPr>
        <w:t>Quantization and Precision Reduction: Converting model parameters from float64 to float32 reduces memory footprint by 50% with negligible accuracy impact (F1 change &lt; 0.001). The GP's covariance matrix is stored in float32, with selective promotion to float64 for numerically sensitive Cholesky decomposition steps.</w:t>
      </w:r>
    </w:p>
    <w:p>
      <w:r>
        <w:rPr>
          <w:rFonts w:ascii="Calibri" w:hAnsi="Calibri"/>
          <w:b/>
          <w:sz w:val="22"/>
        </w:rPr>
        <w:t>Batch Processing: Grouping inference requests into batches of 8–16 samples amortizes the fixed overhead of Python function calls and PennyLane circuit evaluations. Batch inference achieves 3.2 ms/sample for the GP and 5.1 ms/sample for the quantum kernel at batch size 16.</w:t>
      </w:r>
    </w:p>
    <w:p>
      <w:r>
        <w:rPr>
          <w:rFonts w:ascii="Calibri" w:hAnsi="Calibri"/>
          <w:b/>
          <w:sz w:val="28"/>
        </w:rPr>
        <w:t>4 Edge Deployment on NVIDIA Jetson Nano</w:t>
      </w:r>
    </w:p>
    <w:p>
      <w:r>
        <w:rPr>
          <w:rFonts w:ascii="Calibri" w:hAnsi="Calibri"/>
          <w:sz w:val="22"/>
        </w:rPr>
        <w:t>We evaluate deployment on the NVIDIA Jetson Nano (4 GB RAM, 128-core Maxwell GPU, quad-core ARM Cortex-A57). This form factor is representative of edge computing hardware that could be co-located with QKD transceivers in field deployments.</w:t>
      </w:r>
    </w:p>
    <w:p>
      <w:r>
        <w:rPr>
          <w:rFonts w:ascii="Calibri" w:hAnsi="Calibri"/>
          <w:sz w:val="22"/>
        </w:rPr>
        <w:t>Table 1: Resource Footprint for Edge Deployment on Jetson Nano</w:t>
      </w:r>
    </w:p>
    <w:p>
      <w:r>
        <w:rPr>
          <w:rFonts w:ascii="Calibri" w:hAnsi="Calibri"/>
          <w:b/>
          <w:sz w:val="22"/>
        </w:rPr>
        <w:t>Table 1: Resource Footprint for Edge Deployment on Jetson Nano</w:t>
      </w:r>
    </w:p>
    <w:p>
      <w:r>
        <w:rPr>
          <w:rFonts w:ascii="Calibri" w:hAnsi="Calibri"/>
          <w:sz w:val="22"/>
        </w:rPr>
        <w:t>Component | RAM (MB) | Flash (MB) | Inference (ms) | Power (W)</w:t>
      </w:r>
    </w:p>
    <w:p>
      <w:r>
        <w:rPr>
          <w:rFonts w:ascii="Calibri" w:hAnsi="Calibri"/>
          <w:sz w:val="22"/>
        </w:rPr>
        <w:t>Feature pipeline | 48 | 12 | 0.7 | 0.3</w:t>
      </w:r>
    </w:p>
    <w:p>
      <w:r>
        <w:rPr>
          <w:rFonts w:ascii="Calibri" w:hAnsi="Calibri"/>
          <w:sz w:val="22"/>
        </w:rPr>
        <w:t>GP classifier (sparse) | 64 | 28 | 4.8 | 1.2</w:t>
      </w:r>
    </w:p>
    <w:p>
      <w:r>
        <w:rPr>
          <w:rFonts w:ascii="Calibri" w:hAnsi="Calibri"/>
          <w:sz w:val="22"/>
        </w:rPr>
        <w:t>Quantum kernel SVM | 128 | 52 | 8.3 | 2.1</w:t>
      </w:r>
    </w:p>
    <w:p>
      <w:r>
        <w:rPr>
          <w:rFonts w:ascii="Calibri" w:hAnsi="Calibri"/>
          <w:sz w:val="22"/>
        </w:rPr>
        <w:t>Stacking meta-learner | 2 | 0.5 | 0.1 | 0.05</w:t>
      </w:r>
    </w:p>
    <w:p>
      <w:r>
        <w:rPr>
          <w:rFonts w:ascii="Calibri" w:hAnsi="Calibri"/>
          <w:sz w:val="22"/>
        </w:rPr>
        <w:t>Decision &amp; alerting | 16 | 4 | 0.3 | 0.1</w:t>
      </w:r>
    </w:p>
    <w:p>
      <w:r>
        <w:rPr>
          <w:rFonts w:ascii="Calibri" w:hAnsi="Calibri"/>
          <w:sz w:val="22"/>
        </w:rPr>
        <w:t>Total | 258 | 96.5 | 14.2 | 3.75</w:t>
      </w:r>
    </w:p>
    <w:p>
      <w:r>
        <w:rPr>
          <w:rFonts w:ascii="Calibri" w:hAnsi="Calibri"/>
          <w:sz w:val="22"/>
        </w:rPr>
        <w:t>Total inference latency of 14.2 ms per sample is well within the 100 ms frame duration target for practical QKD systems. The quantum kernel SVM accounts for 58% of total inference time, suggesting that scenarios requiring maximum throughput could selectively disable the QK component and rely on the GP alone, reducing latency to 5.9 ms with an F1 reduction from 0.904 to 0.889.</w:t>
      </w:r>
    </w:p>
    <w:p>
      <w:r>
        <w:rPr>
          <w:rFonts w:ascii="Calibri" w:hAnsi="Calibri"/>
          <w:b/>
          <w:sz w:val="28"/>
        </w:rPr>
        <w:t>5 Model Lifecycle Management</w:t>
      </w:r>
    </w:p>
    <w:p>
      <w:r>
        <w:rPr>
          <w:rFonts w:ascii="Calibri" w:hAnsi="Calibri"/>
          <w:sz w:val="22"/>
        </w:rPr>
        <w:t>Production QKD monitoring requires a robust model lifecycle management process:</w:t>
      </w:r>
    </w:p>
    <w:p>
      <w:r>
        <w:rPr>
          <w:rFonts w:ascii="Calibri" w:hAnsi="Calibri"/>
          <w:b/>
          <w:sz w:val="22"/>
        </w:rPr>
        <w:t>Versioning: Each trained model is assigned a semantic version (major.minor.patch) and stored with its training configuration, hyperparameters, training data hash, and evaluation metrics. The ModelExporter serializes all artifacts into a versioned directory structure.</w:t>
      </w:r>
    </w:p>
    <w:p>
      <w:r>
        <w:rPr>
          <w:rFonts w:ascii="Calibri" w:hAnsi="Calibri"/>
          <w:b/>
          <w:sz w:val="22"/>
        </w:rPr>
        <w:t>A/B Testing: New model versions are deployed alongside the current production model, with a configurable percentage of inference requests routed to the candidate version. Performance metrics are compared before promotion to production.</w:t>
      </w:r>
    </w:p>
    <w:p>
      <w:r>
        <w:rPr>
          <w:rFonts w:ascii="Calibri" w:hAnsi="Calibri"/>
          <w:b/>
          <w:sz w:val="22"/>
        </w:rPr>
        <w:t>Automated Retraining: A monitoring daemon tracks the detector's empirical accuracy using a delayed-label mechanism (confirmed attack events from post-hoc analysis). When accuracy degrades below a configurable threshold (default: 5% relative decrease), automated retraining is triggered using the most recent confirmed data.</w:t>
      </w:r>
    </w:p>
    <w:p>
      <w:r>
        <w:rPr>
          <w:rFonts w:ascii="Calibri" w:hAnsi="Calibri"/>
          <w:b/>
          <w:sz w:val="22"/>
        </w:rPr>
        <w:t>Rollback: The deployment framework maintains the three most recent production model versions and supports instant rollback to any previous version if performance degradation is detected.</w:t>
      </w:r>
    </w:p>
    <w:p>
      <w:r>
        <w:rPr>
          <w:rFonts w:ascii="Calibri" w:hAnsi="Calibri"/>
          <w:b/>
          <w:sz w:val="28"/>
        </w:rPr>
        <w:t>6 System Integration with QKD Control Software</w:t>
      </w:r>
    </w:p>
    <w:p>
      <w:r>
        <w:rPr>
          <w:rFonts w:ascii="Calibri" w:hAnsi="Calibri"/>
          <w:sz w:val="22"/>
        </w:rPr>
        <w:t>The HYQAD monitoring system integrates with existing QKD control software through a RESTful API and a publish-subscribe message bus. The API supports model querying (attack probability, uncertainty, feature values for the current window), configuration (threshold adjustment, deferral parameters, alert routing), and lifecycle management (model deployment, rollback, status).</w:t>
      </w:r>
    </w:p>
    <w:p>
      <w:r>
        <w:rPr>
          <w:rFonts w:ascii="Calibri" w:hAnsi="Calibri"/>
          <w:sz w:val="22"/>
        </w:rPr>
        <w:t>The message bus publishes classification events as structured messages (JSON over ZeroMQ) with fields for timestamp, window ID, predicted class, probability, uncertainty, and alert level. QKD controllers subscribe to attack alerts and can implement automated responses such as key discard, channel rerouting, or protocol parameter adjustment.</w:t>
      </w:r>
    </w:p>
    <w:p>
      <w:r>
        <w:rPr>
          <w:rFonts w:ascii="Calibri" w:hAnsi="Calibri"/>
          <w:sz w:val="22"/>
        </w:rPr>
        <w:t>Integration testing demonstrates end-to-end latency (from QKD frame capture to alert publication) of less than 25 ms on commodity server hardware, confirming the system's suitability for real-time QKD security monitoring.</w:t>
      </w:r>
    </w:p>
    <w:p>
      <w:r>
        <w:rPr>
          <w:rFonts w:ascii="Calibri" w:hAnsi="Calibri"/>
          <w:b/>
          <w:sz w:val="28"/>
        </w:rPr>
        <w:t>7 Conclusion</w:t>
      </w:r>
    </w:p>
    <w:p>
      <w:r>
        <w:rPr>
          <w:rFonts w:ascii="Calibri" w:hAnsi="Calibri"/>
          <w:sz w:val="22"/>
        </w:rPr>
        <w:t>Deploying hybrid AI-quantum anomaly detectors in production QKD networks is feasible with existing edge computing hardware. Sparse GP approximations reduce inference latency to 4.8 ms while maintaining accuracy within 0.01 F1 of the full model. The total system resource footprint of 258 MB RAM and 96.5 MB flash on the Jetson Nano is well within the capabilities of co-located edge hardware. Model lifecycle management with versioning, A/B testing, and automated retraining ensures that the monitoring system remains reliable as QKD channel characteristics evolve over time.</w:t>
      </w:r>
    </w:p>
    <w:p>
      <w:r>
        <w:rPr>
          <w:rFonts w:ascii="Calibri" w:hAnsi="Calibri"/>
          <w:b/>
          <w:sz w:val="28"/>
        </w:rPr>
        <w:t>References</w:t>
      </w:r>
    </w:p>
    <w:p>
      <w:r>
        <w:rPr>
          <w:rFonts w:ascii="Calibri" w:hAnsi="Calibri"/>
          <w:sz w:val="22"/>
        </w:rPr>
        <w:t>[1] J. Nocedal and S. J. Wright, Numerical Optimization, 2nd ed. Springer, 2006.</w:t>
      </w:r>
    </w:p>
    <w:p>
      <w:r>
        <w:rPr>
          <w:rFonts w:ascii="Calibri" w:hAnsi="Calibri"/>
          <w:sz w:val="22"/>
        </w:rPr>
        <w:t>[2] S. G. Johnson, "The NLopt Nonlinear-Optimization Package," https://github.com/stevengj/nlopt, 2014.</w:t>
      </w:r>
    </w:p>
    <w:p>
      <w:r>
        <w:rPr>
          <w:rFonts w:ascii="Calibri" w:hAnsi="Calibri"/>
          <w:sz w:val="22"/>
        </w:rPr>
        <w:t>[3] P. Virtanen et al., "SciPy 1.0: Fundamental Algorithms for Scientific Computing in Python," Nature Methods, vol. 17, pp. 261–272, 2020.</w:t>
      </w:r>
    </w:p>
    <w:p>
      <w:r>
        <w:rPr>
          <w:rFonts w:ascii="Calibri" w:hAnsi="Calibri"/>
          <w:sz w:val="22"/>
        </w:rPr>
        <w:t>[4] A. Paszke et al., "PyTorch: An Imperative Style, High-Performance Deep Learning Library," Advances in Neural Information Processing Systems, vol. 32, 2019.</w:t>
      </w:r>
    </w:p>
    <w:p>
      <w:r>
        <w:rPr>
          <w:rFonts w:ascii="Calibri" w:hAnsi="Calibri"/>
          <w:sz w:val="22"/>
        </w:rPr>
        <w:t>[5] L. Liu et al., "Jetson Nano: A Low-Power Edge AI Platform for Embedded Machine Learning," NVIDIA Developer Blog, 2024.</w:t>
      </w:r>
    </w:p>
    <w:p>
      <w:r>
        <w:rPr>
          <w:rFonts w:ascii="Calibri" w:hAnsi="Calibri"/>
          <w:sz w:val="22"/>
        </w:rPr>
        <w:t>[6] A. Géron, Hands-On Machine Learning with Scikit-Learn, Keras, and TensorFlow, 3rd ed. O'Reilly, 2022.</w:t>
      </w:r>
    </w:p>
    <w:p>
      <w:r>
        <w:rPr>
          <w:rFonts w:ascii="Calibri" w:hAnsi="Calibri"/>
          <w:sz w:val="22"/>
        </w:rPr>
        <w:t>[7] C. E. Rasmussen and C. K. I. Williams, Gaussian Processes for Machine Learning. MIT Press, 2006.</w:t>
      </w:r>
    </w:p>
    <w:p>
      <w:r>
        <w:rPr>
          <w:rFonts w:ascii="Calibri" w:hAnsi="Calibri"/>
          <w:sz w:val="22"/>
        </w:rPr>
        <w:t>[8] M. Titsias, "Variational Learning of Inducing Variables in Sparse Gaussian Processes," in Proc. AISTATS, 2009, pp. 567–574.</w:t>
      </w:r>
    </w:p>
    <w:p>
      <w:r>
        <w:rPr>
          <w:rFonts w:ascii="Calibri" w:hAnsi="Calibri"/>
          <w:sz w:val="22"/>
        </w:rPr>
        <w:t>[9] J. Quinonero-Candela and C. E. Rasmussen, "A Unifying View of Sparse Approximate Gaussian Process Regression," JMLR, vol. 6, pp. 1939–1959, 2005.</w:t>
      </w:r>
    </w:p>
    <w:p>
      <w:r>
        <w:rPr>
          <w:rFonts w:ascii="Calibri" w:hAnsi="Calibri"/>
          <w:sz w:val="22"/>
        </w:rPr>
        <w:t>[10] F. Pedregosa et al., "Scikit-learn: Machine Learning in Python," JMLR, vol. 12, pp. 2825–2830, 2011.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