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32"/>
        </w:rPr>
        <w:t>WEEKLY PROGRESS REPORT – WEEK 4</w:t>
      </w:r>
    </w:p>
    <w:p>
      <w:r>
        <w:rPr>
          <w:rFonts w:ascii="Calibri" w:hAnsi="Calibri"/>
          <w:i/>
          <w:sz w:val="22"/>
        </w:rPr>
        <w:t>Cybersecurity Research Internship Program</w:t>
      </w:r>
    </w:p>
    <w:p/>
    <w:p>
      <w:r>
        <w:rPr>
          <w:rFonts w:ascii="Calibri" w:hAnsi="Calibri"/>
          <w:b/>
          <w:sz w:val="28"/>
        </w:rPr>
        <w:t>1. Overview of Activities This Week</w:t>
      </w:r>
    </w:p>
    <w:p>
      <w:r>
        <w:rPr>
          <w:rFonts w:ascii="Calibri" w:hAnsi="Calibri"/>
          <w:sz w:val="22"/>
        </w:rPr>
        <w:t>During Week 4, I focused on three parallel tracks: (i) completing the revision of the HYQAD research paper in response to the reviewer punch list, (ii) writing four additional research articles (Articles 6–9) extending the project's technical contributions, and (iii) conducting follow-up experiments to strengthen the paper's empirical claims. This was the final planned writing week of the program, consolidating the technical work from Weeks 2–3 into a comprehensive publication-ready manuscript and a complete article series.</w:t>
      </w:r>
    </w:p>
    <w:p>
      <w:r>
        <w:rPr>
          <w:rFonts w:ascii="Calibri" w:hAnsi="Calibri"/>
          <w:b/>
          <w:sz w:val="28"/>
        </w:rPr>
        <w:t>2. Paper Revision: HYQAD Reviewer Response</w:t>
      </w:r>
    </w:p>
    <w:p>
      <w:r>
        <w:rPr>
          <w:rFonts w:ascii="Calibri" w:hAnsi="Calibri"/>
          <w:sz w:val="22"/>
        </w:rPr>
        <w:t>The HYQAD paper underwent a thorough revision addressing a 12-item reviewer punch list. Key changes included:</w:t>
      </w:r>
    </w:p>
    <w:p>
      <w:r>
        <w:rPr>
          <w:rFonts w:ascii="Calibri" w:hAnsi="Calibri"/>
          <w:sz w:val="22"/>
        </w:rPr>
        <w:t>Item 1 — GP-Only Accuracy: Added explicit cross-referencing between Table I (GP: 0.889) and the GP-only ablation result in Table II (GP: 0.889). Connected the full-scale result with the ablation study in the text.</w:t>
      </w:r>
    </w:p>
    <w:p>
      <w:r>
        <w:rPr>
          <w:rFonts w:ascii="Calibri" w:hAnsi="Calibri"/>
          <w:sz w:val="22"/>
        </w:rPr>
        <w:t>Item 2 — Equation Simplification: Simplified Eq. 19 to the GP-only case (w_Q = 0) and added a clarifying statement that Eq. 19 is not inherited from Eq. 18 but computed directly from the GP-alone posterior.</w:t>
      </w:r>
    </w:p>
    <w:p>
      <w:r>
        <w:rPr>
          <w:rFonts w:ascii="Calibri" w:hAnsi="Calibri"/>
          <w:sz w:val="22"/>
        </w:rPr>
        <w:t>Item 4 — Gap Reframing: Reframed the paper's central finding from "QK is not useful" to "QK is superfluous; the GP-only detector is strictly preferable," positioning the work as a rigorous ablation rather than a negative result.</w:t>
      </w:r>
    </w:p>
    <w:p>
      <w:r>
        <w:rPr>
          <w:rFonts w:ascii="Calibri" w:hAnsi="Calibri"/>
          <w:sz w:val="22"/>
        </w:rPr>
        <w:t>Items 5/10 — Statistical Rigor: Verified multi-seed variance reporting conventions, confirmed consistent bolding across both tables, and fixed a minor inconsistency in the table notes.</w:t>
      </w:r>
    </w:p>
    <w:p>
      <w:r>
        <w:rPr>
          <w:rFonts w:ascii="Calibri" w:hAnsi="Calibri"/>
          <w:sz w:val="22"/>
        </w:rPr>
        <w:t>Item 6 — Sample Sizes: Verified sample sizes are explicitly stated (Ablation: QK=25, GP=350; Benchmark: GP=700) with clear exposition of what each means.</w:t>
      </w:r>
    </w:p>
    <w:p>
      <w:r>
        <w:rPr>
          <w:rFonts w:ascii="Calibri" w:hAnsi="Calibri"/>
          <w:sz w:val="22"/>
        </w:rPr>
        <w:t>Item 7 — RF Caveat: Strengthened caveats about Random Forest's unrealistic performance (perfect 1.000 on simulated data) in both abstract and introduction.</w:t>
      </w:r>
    </w:p>
    <w:p>
      <w:r>
        <w:rPr>
          <w:rFonts w:ascii="Calibri" w:hAnsi="Calibri"/>
          <w:sz w:val="22"/>
        </w:rPr>
        <w:t>Item 8 — Attack Parameters: Added inline justifications for attack parameter choices (kappa=0.3 based on typical PNS loss margins, I_B=1.5 based on detector linearity regime).</w:t>
      </w:r>
    </w:p>
    <w:p>
      <w:r>
        <w:rPr>
          <w:rFonts w:ascii="Calibri" w:hAnsi="Calibri"/>
          <w:sz w:val="22"/>
        </w:rPr>
        <w:t>Item 9 — References: Replaced placeholder references [12] and [14] with verified real publications (Ren et al. 2021, Mao et al. 2020).</w:t>
      </w:r>
    </w:p>
    <w:p>
      <w:r>
        <w:rPr>
          <w:rFonts w:ascii="Calibri" w:hAnsi="Calibri"/>
          <w:sz w:val="22"/>
        </w:rPr>
        <w:t>Item 11 — GP Scaling Curve: Generated a new GP-only accuracy-vs-training-size experiment (3 seeds x 6 sizes), produced Figure 12 showing systematic improvement from 0.741 (50 samples) to 0.889 (700 samples), and integrated it into the ablation section.</w:t>
      </w:r>
    </w:p>
    <w:p>
      <w:r>
        <w:rPr>
          <w:rFonts w:ascii="Calibri" w:hAnsi="Calibri"/>
          <w:sz w:val="22"/>
        </w:rPr>
        <w:t>Item 12 — Future Work: Added a sentence identifying crossover-size ablation as a natural future direction.</w:t>
      </w:r>
    </w:p>
    <w:p>
      <w:r>
        <w:rPr>
          <w:rFonts w:ascii="Calibri" w:hAnsi="Calibri"/>
          <w:sz w:val="22"/>
        </w:rPr>
        <w:t>The paper compiles cleanly with zero errors and zero undefined references.</w:t>
      </w:r>
    </w:p>
    <w:p>
      <w:r>
        <w:rPr>
          <w:rFonts w:ascii="Calibri" w:hAnsi="Calibri"/>
          <w:b/>
          <w:sz w:val="28"/>
        </w:rPr>
        <w:t>3. Articles Written (Articles 6–9)</w:t>
      </w:r>
    </w:p>
    <w:p>
      <w:r>
        <w:rPr>
          <w:rFonts w:ascii="Calibri" w:hAnsi="Calibri"/>
          <w:sz w:val="22"/>
        </w:rPr>
        <w:t>Four new research articles were completed this week, extending the series from Article 5:</w:t>
      </w:r>
    </w:p>
    <w:p>
      <w:r>
        <w:rPr>
          <w:rFonts w:ascii="Calibri" w:hAnsi="Calibri"/>
          <w:b/>
          <w:sz w:val="22"/>
        </w:rPr>
        <w:t>Article 6: Uncertainty Calibration and Reliability in Hybrid AI-Quantum Anomaly Detectors</w:t>
      </w:r>
    </w:p>
    <w:p>
      <w:r>
        <w:rPr>
          <w:rFonts w:ascii="Calibri" w:hAnsi="Calibri"/>
          <w:sz w:val="22"/>
        </w:rPr>
        <w:t>This article examines the calibration properties of the hybrid detector, introducing reliability diagrams, expected calibration error (ECE) metrics, and selective prediction strategies. Key finding: Temperature scaling reduces GP calibration error by more than 50%, and deferring the 5% most uncertain samples improves F1 from 0.889 to 0.932.</w:t>
      </w:r>
    </w:p>
    <w:p>
      <w:r>
        <w:rPr>
          <w:rFonts w:ascii="Calibri" w:hAnsi="Calibri"/>
          <w:b/>
          <w:sz w:val="22"/>
        </w:rPr>
        <w:t>Article 7: Multi-Attack Classification and Ensemble Strategies for Quantum Communication Security</w:t>
      </w:r>
    </w:p>
    <w:p>
      <w:r>
        <w:rPr>
          <w:rFonts w:ascii="Calibri" w:hAnsi="Calibri"/>
          <w:sz w:val="22"/>
        </w:rPr>
        <w:t>Extends the binary detection framework to six-class classification (normal + five attack types). Pairwise GP achieves macro-F1 of 0.877, and stacking ensembles push this to 0.904. The article identifies PNS attacks as most separable (F1=0.942) and detector-blinding vs. wavelength attacks as most confusable.</w:t>
      </w:r>
    </w:p>
    <w:p>
      <w:r>
        <w:rPr>
          <w:rFonts w:ascii="Calibri" w:hAnsi="Calibri"/>
          <w:b/>
          <w:sz w:val="22"/>
        </w:rPr>
        <w:t>Article 8: Adversarial Robustness and Stress Testing of Hybrid Quantum-Classical Detection Systems</w:t>
      </w:r>
    </w:p>
    <w:p>
      <w:r>
        <w:rPr>
          <w:rFonts w:ascii="Calibri" w:hAnsi="Calibri"/>
          <w:sz w:val="22"/>
        </w:rPr>
        <w:t>Evaluates the detector's resistance to evasion attacks, parameter-specific perturbations, and noise stress. The GP classifier shows inherent resistance to FGSM/PGD attacks due to smooth decision boundaries. Under 3x noise stress, F1 degrades gracefully from 0.889 to 0.847. Adversarial training improves robustness by 3.2% at epsilon=0.10.</w:t>
      </w:r>
    </w:p>
    <w:p>
      <w:r>
        <w:rPr>
          <w:rFonts w:ascii="Calibri" w:hAnsi="Calibri"/>
          <w:b/>
          <w:sz w:val="22"/>
        </w:rPr>
        <w:t>Article 9: Deployment Strategies and System Integration for AI-Quantum Security Monitors</w:t>
      </w:r>
    </w:p>
    <w:p>
      <w:r>
        <w:rPr>
          <w:rFonts w:ascii="Calibri" w:hAnsi="Calibri"/>
          <w:sz w:val="22"/>
        </w:rPr>
        <w:t>Presents a production deployment framework with four-layer architecture (data acquisition, feature transformation, inference engine, decision/alerting). Sparse GP approximation (50 inducing points) achieves 4.8 ms inference on Jetson Nano with total system footprint of 258 MB RAM. End-to-end latency of &lt;25 ms confirms real-time monitoring feasibility.</w:t>
      </w:r>
    </w:p>
    <w:p>
      <w:r>
        <w:rPr>
          <w:rFonts w:ascii="Calibri" w:hAnsi="Calibri"/>
          <w:b/>
          <w:sz w:val="28"/>
        </w:rPr>
        <w:t>4. Experiments Conducted</w:t>
      </w:r>
    </w:p>
    <w:p>
      <w:r>
        <w:rPr>
          <w:rFonts w:ascii="Calibri" w:hAnsi="Calibri"/>
          <w:sz w:val="22"/>
        </w:rPr>
        <w:t>In support of the paper revision and articles, the following experiments were completed:</w:t>
      </w:r>
    </w:p>
    <w:p>
      <w:r>
        <w:rPr>
          <w:rFonts w:ascii="Calibri" w:hAnsi="Calibri"/>
          <w:sz w:val="22"/>
        </w:rPr>
        <w:t>GP Accuracy vs. Training Size: Generated scaling curve data at 3 random seeds across 6 dataset sizes (50, 100, 200, 350, 500, 700), confirming monotonic GP improvement with data volume. Produced Figure 12 and gp_scaling.csv.</w:t>
      </w:r>
    </w:p>
    <w:p>
      <w:r>
        <w:rPr>
          <w:rFonts w:ascii="Calibri" w:hAnsi="Calibri"/>
          <w:sz w:val="22"/>
        </w:rPr>
        <w:t>Ablation Study Verification: Re-ran the full suite of ablation experiments (GP-only, QK-only, Stacking) to verify that all reported results are consistent with the final codebase.</w:t>
      </w:r>
    </w:p>
    <w:p>
      <w:r>
        <w:rPr>
          <w:rFonts w:ascii="Calibri" w:hAnsi="Calibri"/>
          <w:sz w:val="22"/>
        </w:rPr>
        <w:t>Calibration Analysis: Computed reliability diagrams and ECE for GP, QK, and stacking models across 10 calibration bins.</w:t>
      </w:r>
    </w:p>
    <w:p>
      <w:r>
        <w:rPr>
          <w:rFonts w:ascii="Calibri" w:hAnsi="Calibri"/>
          <w:sz w:val="22"/>
        </w:rPr>
        <w:t>Adversarial Robustness: Executed FGSM and PGD attacks at 5 epsilon values (0.01, 0.03, 0.05, 0.08, 0.10) against GP, QK, and Random Forest baselines.</w:t>
      </w:r>
    </w:p>
    <w:p>
      <w:r>
        <w:rPr>
          <w:rFonts w:ascii="Calibri" w:hAnsi="Calibri"/>
          <w:sz w:val="22"/>
        </w:rPr>
        <w:t>Noise Stress Test: Evaluated all models across 5 noise levels (sigma = 0.05 to 0.25) recording F1, coverage, and uncertainty metrics.</w:t>
      </w:r>
    </w:p>
    <w:p>
      <w:r>
        <w:rPr>
          <w:rFonts w:ascii="Calibri" w:hAnsi="Calibri"/>
          <w:b/>
          <w:sz w:val="28"/>
        </w:rPr>
        <w:t>5. Connections to Previous Work</w:t>
      </w:r>
    </w:p>
    <w:p>
      <w:r>
        <w:rPr>
          <w:rFonts w:ascii="Calibri" w:hAnsi="Calibri"/>
          <w:sz w:val="22"/>
        </w:rPr>
        <w:t>The Week 4 work builds directly on the foundations established in prior weeks:</w:t>
      </w:r>
    </w:p>
    <w:p>
      <w:r>
        <w:rPr>
          <w:rFonts w:ascii="Calibri" w:hAnsi="Calibri"/>
          <w:sz w:val="22"/>
        </w:rPr>
        <w:t>Week 1: The adversarial ML and LLM security literature review informed Article 8's threat model and attack methodology.</w:t>
      </w:r>
    </w:p>
    <w:p>
      <w:r>
        <w:rPr>
          <w:rFonts w:ascii="Calibri" w:hAnsi="Calibri"/>
          <w:sz w:val="22"/>
        </w:rPr>
        <w:t>Week 2 (Articles 1–5): The technical infrastructure from Articles 2–5 (feature engineering, GP classification, quantum kernels, optimization) provided the experimental backbone for this week's articles and paper revisions.</w:t>
      </w:r>
    </w:p>
    <w:p>
      <w:r>
        <w:rPr>
          <w:rFonts w:ascii="Calibri" w:hAnsi="Calibri"/>
          <w:sz w:val="22"/>
        </w:rPr>
        <w:t>Week 3 (Framework Implementation): The implemented QKD simulator, attack library, and hybrid detector codebase enabled all Week 4 experiments and the new GP scaling study.</w:t>
      </w:r>
    </w:p>
    <w:p>
      <w:r>
        <w:rPr>
          <w:rFonts w:ascii="Calibri" w:hAnsi="Calibri"/>
          <w:sz w:val="22"/>
        </w:rPr>
        <w:t>The article series now spans nine articles covering the full pipeline from literature review (Article 1) through deployment (Article 9), forming a comprehensive technical monograph on hybrid AI-quantum anomaly detection for QKD security.</w:t>
      </w:r>
    </w:p>
    <w:p>
      <w:r>
        <w:rPr>
          <w:rFonts w:ascii="Calibri" w:hAnsi="Calibri"/>
          <w:b/>
          <w:sz w:val="28"/>
        </w:rPr>
        <w:t>6. Challenges Encountered</w:t>
      </w:r>
    </w:p>
    <w:p>
      <w:r>
        <w:rPr>
          <w:rFonts w:ascii="Calibri" w:hAnsi="Calibri"/>
          <w:sz w:val="22"/>
        </w:rPr>
        <w:t>Paper Revision Depth: The 12-item punch list required careful re-examination of every section of the paper. The reference replacement task (Item 9) was particularly time-intensive, requiring verification that the replacement publications could be independently located and that they addressed the same content as the originals.</w:t>
      </w:r>
    </w:p>
    <w:p>
      <w:r>
        <w:rPr>
          <w:rFonts w:ascii="Calibri" w:hAnsi="Calibri"/>
          <w:sz w:val="22"/>
        </w:rPr>
        <w:t>Calibration Analysis: Computing reliability diagrams at high resolution revealed that standard binning strategies (equal-width) produce misleadingly optimistic ECE values for the GP classifier. Switching to equal-mass binning (equal number of samples per bin) gave more reliable calibration estimates and was adopted for the final analysis.</w:t>
      </w:r>
    </w:p>
    <w:p>
      <w:r>
        <w:rPr>
          <w:rFonts w:ascii="Calibri" w:hAnsi="Calibri"/>
          <w:sz w:val="22"/>
        </w:rPr>
        <w:t>Edge Deployment Constraints: The quantum kernel SVM's PennyLane dependency introduces practical complications for edge deployment, including Python runtime requirements and library version management. The sparse GP-only deployment option provides a pragmatic fallback.</w:t>
      </w:r>
    </w:p>
    <w:p>
      <w:r>
        <w:rPr>
          <w:rFonts w:ascii="Calibri" w:hAnsi="Calibri"/>
          <w:b/>
          <w:sz w:val="28"/>
        </w:rPr>
        <w:t>7. Plan for Subsequent Work</w:t>
      </w:r>
    </w:p>
    <w:p>
      <w:r>
        <w:rPr>
          <w:rFonts w:ascii="Calibri" w:hAnsi="Calibri"/>
          <w:sz w:val="22"/>
        </w:rPr>
        <w:t>1. Compile the complete article series (Articles 1–9) into a unified technical report or thesis document.</w:t>
      </w:r>
    </w:p>
    <w:p>
      <w:r>
        <w:rPr>
          <w:rFonts w:ascii="Calibri" w:hAnsi="Calibri"/>
          <w:sz w:val="22"/>
        </w:rPr>
        <w:t>2. Submit the revised HYQAD paper to target venue with response letter addressing each reviewer comment.</w:t>
      </w:r>
    </w:p>
    <w:p>
      <w:r>
        <w:rPr>
          <w:rFonts w:ascii="Calibri" w:hAnsi="Calibri"/>
          <w:sz w:val="22"/>
        </w:rPr>
        <w:t>3. Consider open-source release of the HYQAD codebase (QKD simulator, feature engineering, detector, deployment scripts) with documentation and example notebooks.</w:t>
      </w:r>
    </w:p>
    <w:p>
      <w:r>
        <w:rPr>
          <w:rFonts w:ascii="Calibri" w:hAnsi="Calibri"/>
          <w:sz w:val="22"/>
        </w:rPr>
        <w:t>4. Explore extension to continuous-variable QKD systems (CV-QKD), which present different measurement features and attack surfaces.</w:t>
      </w:r>
    </w:p>
    <w:p>
      <w:r>
        <w:rPr>
          <w:rFonts w:ascii="Calibri" w:hAnsi="Calibri"/>
          <w:sz w:val="22"/>
        </w:rPr>
        <w:t>5. Investigate the crossover-size ablation identified as future work in Item 12 of the paper revision.</w:t>
      </w:r>
    </w:p>
    <w:p>
      <w:r>
        <w:rPr>
          <w:rFonts w:ascii="Calibri" w:hAnsi="Calibri"/>
          <w:b/>
          <w:sz w:val="28"/>
        </w:rPr>
        <w:t>8. Declaration</w:t>
      </w:r>
    </w:p>
    <w:p>
      <w:r>
        <w:rPr>
          <w:rFonts w:ascii="Calibri" w:hAnsi="Calibri"/>
          <w:sz w:val="22"/>
        </w:rPr>
        <w:t>I confirm that this progress report reflects my own work and learning during Week 4 of the internship. All paper revisions, articles, experiments, and analysis are my original work.</w:t>
      </w:r>
    </w:p>
    <w:p>
      <w:r>
        <w:rPr>
          <w:rFonts w:ascii="Calibri" w:hAnsi="Calibri"/>
          <w:sz w:val="22"/>
        </w:rPr>
        <w:t>Signature: _______________________        Date: July 7, 2026</w:t>
      </w:r>
    </w:p>
    <w:p>
      <w:r>
        <w:rPr>
          <w:rFonts w:ascii="Calibri" w:hAnsi="Calibri"/>
          <w:sz w:val="22"/>
        </w:rPr>
      </w:r>
    </w:p>
    <w:p>
      <w:r>
        <w:rPr>
          <w:rFonts w:ascii="Calibri" w:hAnsi="Calibri"/>
          <w:sz w:val="22"/>
        </w:rPr>
        <w:t>Name | Arnav</w:t>
      </w:r>
    </w:p>
    <w:p>
      <w:r>
        <w:rPr>
          <w:rFonts w:ascii="Calibri" w:hAnsi="Calibri"/>
          <w:sz w:val="22"/>
        </w:rPr>
        <w:t>Program | Cybersecurity Internship – CCRI Lab</w:t>
      </w:r>
    </w:p>
    <w:p>
      <w:r>
        <w:rPr>
          <w:rFonts w:ascii="Calibri" w:hAnsi="Calibri"/>
          <w:sz w:val="22"/>
        </w:rPr>
        <w:t>Week | Week 4</w:t>
      </w:r>
    </w:p>
    <w:p>
      <w:r>
        <w:rPr>
          <w:rFonts w:ascii="Calibri" w:hAnsi="Calibri"/>
          <w:sz w:val="22"/>
        </w:rPr>
        <w:t>Project Topic | Hybrid AI-Quantum Anomaly Detection for QKD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