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WEEKLY PROGRESS REPORT – WEEK 5</w:t>
      </w:r>
    </w:p>
    <w:p>
      <w:r>
        <w:rPr>
          <w:rFonts w:ascii="Calibri" w:hAnsi="Calibri"/>
          <w:b w:val="0"/>
          <w:i/>
          <w:sz w:val="22"/>
        </w:rPr>
        <w:t>Cybersecurity Research Internship Program</w:t>
      </w:r>
    </w:p>
    <w:p/>
    <w:p>
      <w:r>
        <w:rPr>
          <w:rFonts w:ascii="Calibri" w:hAnsi="Calibri"/>
          <w:b/>
          <w:i w:val="0"/>
          <w:sz w:val="28"/>
        </w:rPr>
        <w:t>1. Overview of Activities This Week</w:t>
      </w:r>
    </w:p>
    <w:p>
      <w:r>
        <w:rPr>
          <w:rFonts w:ascii="Calibri" w:hAnsi="Calibri"/>
          <w:b w:val="0"/>
          <w:i w:val="0"/>
          <w:sz w:val="22"/>
        </w:rPr>
        <w:t>During Week 5, I focused on finishing both research papers (HYQAD and Q-ZTNA) through a comprehensive peer-review revision cycle and writing five additional technical articles (Articles 10–14) to extend the project’s article series to fourteen total. The paper revisions addressed detailed reviewer feedback spanning framing corrections, numerical accuracy improvements, and notation consistency. The new articles transition the series from technical development toward critical analysis, architectural integration, reproducibility, economic evaluation, and future synthesis. This was the primary writing and revision week of the program’s final phase.</w:t>
      </w:r>
    </w:p>
    <w:p>
      <w:r>
        <w:rPr>
          <w:rFonts w:ascii="Calibri" w:hAnsi="Calibri"/>
          <w:b/>
          <w:i w:val="0"/>
          <w:sz w:val="28"/>
        </w:rPr>
        <w:t>2. Paper Revisions: HYQAD and Q-ZTNA</w:t>
      </w:r>
    </w:p>
    <w:p>
      <w:r>
        <w:rPr>
          <w:rFonts w:ascii="Calibri" w:hAnsi="Calibri"/>
          <w:b w:val="0"/>
          <w:i w:val="0"/>
          <w:sz w:val="22"/>
        </w:rPr>
        <w:t>Both papers underwent thorough revision based on detailed peer review feedback:</w:t>
      </w:r>
    </w:p>
    <w:p>
      <w:r>
        <w:rPr>
          <w:rFonts w:ascii="Calibri" w:hAnsi="Calibri"/>
          <w:b/>
          <w:i w:val="0"/>
          <w:sz w:val="22"/>
        </w:rPr>
        <w:t>HYQAD Paper (paper.pdf, 8 pages)</w:t>
      </w:r>
    </w:p>
    <w:p>
      <w:r>
        <w:rPr>
          <w:rFonts w:ascii="Calibri" w:hAnsi="Calibri"/>
          <w:b w:val="0"/>
          <w:i w:val="0"/>
          <w:sz w:val="22"/>
        </w:rPr>
        <w:t>The HYQAD paper addressed a 12-item reviewer punch list with the following key changes:</w:t>
      </w:r>
    </w:p>
    <w:p>
      <w:r>
        <w:rPr>
          <w:rFonts w:ascii="Calibri" w:hAnsi="Calibri"/>
          <w:b w:val="0"/>
          <w:i w:val="0"/>
          <w:sz w:val="22"/>
        </w:rPr>
        <w:t>Items 1/2: Added cross-referencing between Table I and the GP-only ablation result in Table II. Simplified Eq. 19 to the GP-only case with explicit clarification that it is computed from the GP-alone posterior.</w:t>
      </w:r>
    </w:p>
    <w:p>
      <w:r>
        <w:rPr>
          <w:rFonts w:ascii="Calibri" w:hAnsi="Calibri"/>
          <w:b w:val="0"/>
          <w:i w:val="0"/>
          <w:sz w:val="22"/>
        </w:rPr>
        <w:t>Item 4: Reframed the central finding from “QK is not useful” to “QK is superfluous; the GP-only detector is strictly preferable,” positioning the work as a rigorous ablation study.</w:t>
      </w:r>
    </w:p>
    <w:p>
      <w:r>
        <w:rPr>
          <w:rFonts w:ascii="Calibri" w:hAnsi="Calibri"/>
          <w:b w:val="0"/>
          <w:i w:val="0"/>
          <w:sz w:val="22"/>
        </w:rPr>
        <w:t>Items 5/10: Verified multi-seed variance reporting conventions and ensured consistent bolding across both tables.</w:t>
      </w:r>
    </w:p>
    <w:p>
      <w:r>
        <w:rPr>
          <w:rFonts w:ascii="Calibri" w:hAnsi="Calibri"/>
          <w:b w:val="0"/>
          <w:i w:val="0"/>
          <w:sz w:val="22"/>
        </w:rPr>
        <w:t>Items 6/7: Clarified sample sizes and strengthened caveats about Random Forest’s unrealistic perfect performance on simulated data.</w:t>
      </w:r>
    </w:p>
    <w:p>
      <w:r>
        <w:rPr>
          <w:rFonts w:ascii="Calibri" w:hAnsi="Calibri"/>
          <w:b w:val="0"/>
          <w:i w:val="0"/>
          <w:sz w:val="22"/>
        </w:rPr>
        <w:t>Items 8/9: Added inline justifications for attack parameters and replaced placeholder references with verified real publications.</w:t>
      </w:r>
    </w:p>
    <w:p>
      <w:r>
        <w:rPr>
          <w:rFonts w:ascii="Calibri" w:hAnsi="Calibri"/>
          <w:b w:val="0"/>
          <w:i w:val="0"/>
          <w:sz w:val="22"/>
        </w:rPr>
        <w:t>Item 11: Generated a new GP scaling experiment (3 seeds x 6 sizes), producing Figure 12 showing systematic improvement from 0.741 to 0.889.</w:t>
      </w:r>
    </w:p>
    <w:p>
      <w:r>
        <w:rPr>
          <w:rFonts w:ascii="Calibri" w:hAnsi="Calibri"/>
          <w:b w:val="0"/>
          <w:i w:val="0"/>
          <w:sz w:val="22"/>
        </w:rPr>
        <w:t>Added ECE metrics (GP: 0.047, QK-SVM: 0.204) with a reliability diagram. Fixed latency arithmetic (8.5→7.0 ms, 0.997→0.994 accuracy). Updated the title. The paper now compiles cleanly with zero errors.</w:t>
      </w:r>
    </w:p>
    <w:p>
      <w:r>
        <w:rPr>
          <w:rFonts w:ascii="Calibri" w:hAnsi="Calibri"/>
          <w:b/>
          <w:i w:val="0"/>
          <w:sz w:val="22"/>
        </w:rPr>
        <w:t>Q-ZTNA Paper (qcyber.pdf, 18 pages)</w:t>
      </w:r>
    </w:p>
    <w:p>
      <w:r>
        <w:rPr>
          <w:rFonts w:ascii="Calibri" w:hAnsi="Calibri"/>
          <w:b w:val="0"/>
          <w:i w:val="0"/>
          <w:sz w:val="22"/>
        </w:rPr>
        <w:t>The Q-ZTNA paper underwent a more extensive revision focused on honest reframing:</w:t>
      </w:r>
    </w:p>
    <w:p>
      <w:r>
        <w:rPr>
          <w:rFonts w:ascii="Calibri" w:hAnsi="Calibri"/>
          <w:b w:val="0"/>
          <w:i w:val="0"/>
          <w:sz w:val="22"/>
        </w:rPr>
        <w:t>Reframing: Title, abstract, introduction, and conclusion were all updated to describe the approach as “amplitude-encoding (cosine-similarity) kernel” rather than “quantum-enhanced,” acknowledging that the kernel is computed classically.</w:t>
      </w:r>
    </w:p>
    <w:p>
      <w:r>
        <w:rPr>
          <w:rFonts w:ascii="Calibri" w:hAnsi="Calibri"/>
          <w:b w:val="0"/>
          <w:i w:val="0"/>
          <w:sz w:val="22"/>
        </w:rPr>
        <w:t>Notation: Section 3 was converted from bra-ket/quantum-state notation to plain vector notation (K_A, \hat{x}). K_Q was renamed K_A throughout all equations and text. All figure labels updated from “QK-SVM” to “AE-SVM.”</w:t>
      </w:r>
    </w:p>
    <w:p>
      <w:r>
        <w:rPr>
          <w:rFonts w:ascii="Calibri" w:hAnsi="Calibri"/>
          <w:b w:val="0"/>
          <w:i w:val="0"/>
          <w:sz w:val="22"/>
        </w:rPr>
        <w:t>Figure Fixes: The matched-n figure was regenerated to show correct comparison kernels (AE-SVM vs. RBF/Laplacian/Poly, not HYQAD’s RF/GP/QK-only). Figure 1 caption typo fixed.</w:t>
      </w:r>
    </w:p>
    <w:p>
      <w:r>
        <w:rPr>
          <w:rFonts w:ascii="Calibri" w:hAnsi="Calibri"/>
          <w:b w:val="0"/>
          <w:i w:val="0"/>
          <w:sz w:val="22"/>
        </w:rPr>
        <w:t>Statistical Rigor: Bonferroni correction noted for pairwise comparisons. t-SNE separability caveat added. Matched-n text softened (no longer claims overlapping CIs at small n).</w:t>
      </w:r>
    </w:p>
    <w:p>
      <w:r>
        <w:rPr>
          <w:rFonts w:ascii="Calibri" w:hAnsi="Calibri"/>
          <w:b w:val="0"/>
          <w:i w:val="0"/>
          <w:sz w:val="22"/>
        </w:rPr>
        <w:t>Kernel Contradiction: The apparent contradiction between HYQAD (QK is superfluous) and Q-ZTNA (AE-SVM is competitive) was resolved via a cross-paper self-citation and an alignment-analysis explanation in the text.</w:t>
      </w:r>
    </w:p>
    <w:p>
      <w:r>
        <w:rPr>
          <w:rFonts w:ascii="Calibri" w:hAnsi="Calibri"/>
          <w:b w:val="0"/>
          <w:i w:val="0"/>
          <w:sz w:val="22"/>
        </w:rPr>
        <w:t>Both papers compile cleanly (0 errors, 0 warnings).</w:t>
      </w:r>
    </w:p>
    <w:p>
      <w:r>
        <w:rPr>
          <w:rFonts w:ascii="Calibri" w:hAnsi="Calibri"/>
          <w:b/>
          <w:i w:val="0"/>
          <w:sz w:val="28"/>
        </w:rPr>
        <w:t>3. Articles Written (Articles 10–14)</w:t>
      </w:r>
    </w:p>
    <w:p>
      <w:r>
        <w:rPr>
          <w:rFonts w:ascii="Calibri" w:hAnsi="Calibri"/>
          <w:b w:val="0"/>
          <w:i w:val="0"/>
          <w:sz w:val="22"/>
        </w:rPr>
        <w:t>Five new research articles were completed this week, extending the series from Article 9:</w:t>
      </w:r>
    </w:p>
    <w:p>
      <w:r>
        <w:rPr>
          <w:rFonts w:ascii="Calibri" w:hAnsi="Calibri"/>
          <w:b/>
          <w:i w:val="0"/>
          <w:sz w:val="22"/>
        </w:rPr>
        <w:t>Article 10: Limitations, Failure Modes, and Assumptions of Hybrid Quantum-Classical Security Monitors</w:t>
      </w:r>
    </w:p>
    <w:p>
      <w:r>
        <w:rPr>
          <w:rFonts w:ascii="Calibri" w:hAnsi="Calibri"/>
          <w:b w:val="0"/>
          <w:i w:val="0"/>
          <w:sz w:val="22"/>
        </w:rPr>
        <w:t>A critical examination of the HYQAD framework’s weaknesses across four categories: data-driven (sample efficiency, class imbalance, label quality), model-driven (kernel expressiveness, posterior approximation, distribution shift), deployment-driven (latency variability, simulator-to-reality gap), and evaluation-driven (benchmark contamination, temporal leakage, metric selection). Key finding: F1 degrades from 0.889 to 0.812 under 10% label noise and to 0.847 under temporal split evaluation.</w:t>
      </w:r>
    </w:p>
    <w:p>
      <w:r>
        <w:rPr>
          <w:rFonts w:ascii="Calibri" w:hAnsi="Calibri"/>
          <w:b/>
          <w:i w:val="0"/>
          <w:sz w:val="22"/>
        </w:rPr>
        <w:t>Article 11: Quantum Zero-Trust: Extending QKD Security Monitoring Principles to Broader Network Architectures</w:t>
      </w:r>
    </w:p>
    <w:p>
      <w:r>
        <w:rPr>
          <w:rFonts w:ascii="Calibri" w:hAnsi="Calibri"/>
          <w:b w:val="0"/>
          <w:i w:val="0"/>
          <w:sz w:val="22"/>
        </w:rPr>
        <w:t>Formalizes the connection between QKD security monitoring and NIST zero-trust architecture. Introduces the AE-SVM (squared cosine kernel) as a computationally efficient classifier that achieves ROC-AUC 0.943 with 15x faster inference than RBF-SVM. Proposes a zero-trust monitoring loop with the AE-SVM as the first verification layer.</w:t>
      </w:r>
    </w:p>
    <w:p>
      <w:r>
        <w:rPr>
          <w:rFonts w:ascii="Calibri" w:hAnsi="Calibri"/>
          <w:b/>
          <w:i w:val="0"/>
          <w:sz w:val="22"/>
        </w:rPr>
        <w:t>Article 12: Reproducibility and Rigor in Quantum Machine Learning Cybersecurity Research</w:t>
      </w:r>
    </w:p>
    <w:p>
      <w:r>
        <w:rPr>
          <w:rFonts w:ascii="Calibri" w:hAnsi="Calibri"/>
          <w:b w:val="0"/>
          <w:i w:val="0"/>
          <w:sz w:val="22"/>
        </w:rPr>
        <w:t>Documents the HYQAD reproducibility infrastructure: containerized environment (Docker), seed management (3 seeds per experiment), data versioning (YAML config, git-committed metadata), and extensive variance analysis. Reports that F1 scores vary by up to 0.023 across random seeds and 0.011 across library versions. Proposes an 8-item reproducibility checklist for QML cybersecurity papers.</w:t>
      </w:r>
    </w:p>
    <w:p>
      <w:r>
        <w:rPr>
          <w:rFonts w:ascii="Calibri" w:hAnsi="Calibri"/>
          <w:b/>
          <w:i w:val="0"/>
          <w:sz w:val="22"/>
        </w:rPr>
        <w:t>Article 13: Cost-Benefit Analysis for Deploying Quantum-Inspired Anomaly Detectors in Production QKD Networks</w:t>
      </w:r>
    </w:p>
    <w:p>
      <w:r>
        <w:rPr>
          <w:rFonts w:ascii="Calibri" w:hAnsi="Calibri"/>
          <w:b w:val="0"/>
          <w:i w:val="0"/>
          <w:sz w:val="22"/>
        </w:rPr>
        <w:t>Models the total cost of ownership over 3-year deployment for three configurations: QBER threshold (baseline), GP-only (sparse, edge), and GP+QK full hybrid. The GP-only configuration shows the best trade-off: USD 50,500 TCO with 73% attack loss reduction, yielding USD 16,820 net benefit over baseline for a 10-node network.</w:t>
      </w:r>
    </w:p>
    <w:p>
      <w:r>
        <w:rPr>
          <w:rFonts w:ascii="Calibri" w:hAnsi="Calibri"/>
          <w:b/>
          <w:i w:val="0"/>
          <w:sz w:val="22"/>
        </w:rPr>
        <w:t>Article 14: Synthesis and Future Directions: Toward Autonomous Quantum Network Security Operations</w:t>
      </w:r>
    </w:p>
    <w:p>
      <w:r>
        <w:rPr>
          <w:rFonts w:ascii="Calibri" w:hAnsi="Calibri"/>
          <w:b w:val="0"/>
          <w:i w:val="0"/>
          <w:sz w:val="22"/>
        </w:rPr>
        <w:t>Capstone article synthesizing all fourteen articles. Identifies five priority research directions: real-hardware validation, CV-QKD extension, online learning, adversarial robustness certification, and SDN-integrated automated response. Proposes a 4-phase research roadmap spanning 3-5 years.</w:t>
      </w:r>
    </w:p>
    <w:p>
      <w:r>
        <w:rPr>
          <w:rFonts w:ascii="Calibri" w:hAnsi="Calibri"/>
          <w:b/>
          <w:i w:val="0"/>
          <w:sz w:val="28"/>
        </w:rPr>
        <w:t>4. Connections to Previous Work</w:t>
      </w:r>
    </w:p>
    <w:p>
      <w:r>
        <w:rPr>
          <w:rFonts w:ascii="Calibri" w:hAnsi="Calibri"/>
          <w:b w:val="0"/>
          <w:i w:val="0"/>
          <w:sz w:val="22"/>
        </w:rPr>
        <w:t>The Week 5 work builds directly on all prior weeks:</w:t>
      </w:r>
    </w:p>
    <w:p>
      <w:r>
        <w:rPr>
          <w:rFonts w:ascii="Calibri" w:hAnsi="Calibri"/>
          <w:b w:val="0"/>
          <w:i w:val="0"/>
          <w:sz w:val="22"/>
        </w:rPr>
        <w:t>Weeks 1-2: The literature review and technical foundations informed the critical analysis in Article 10 and the benchmarking in Article 12.</w:t>
      </w:r>
    </w:p>
    <w:p>
      <w:r>
        <w:rPr>
          <w:rFonts w:ascii="Calibri" w:hAnsi="Calibri"/>
          <w:b w:val="0"/>
          <w:i w:val="0"/>
          <w:sz w:val="22"/>
        </w:rPr>
        <w:t>Week 3: The implemented HYQAD codebase enabled the variance analysis and reproducibility infrastructure documented in Article 12.</w:t>
      </w:r>
    </w:p>
    <w:p>
      <w:r>
        <w:rPr>
          <w:rFonts w:ascii="Calibri" w:hAnsi="Calibri"/>
          <w:b w:val="0"/>
          <w:i w:val="0"/>
          <w:sz w:val="22"/>
        </w:rPr>
        <w:t>Week 4: The paper revision process naturally continued into Week 5 with the Q-ZTNA reframing and HYQAD final fixes. Articles 10-14 extend the series logically from Article 9’s deployment focus into critical analysis, zero-trust integration, methodology, economics, and synthesis.</w:t>
      </w:r>
    </w:p>
    <w:p>
      <w:r>
        <w:rPr>
          <w:rFonts w:ascii="Calibri" w:hAnsi="Calibri"/>
          <w:b w:val="0"/>
          <w:i w:val="0"/>
          <w:sz w:val="22"/>
        </w:rPr>
        <w:t>The article series now spans fourteen articles covering the complete pipeline from literature review and simulation through deployment, critical analysis, and future roadmap.</w:t>
      </w:r>
    </w:p>
    <w:p>
      <w:r>
        <w:rPr>
          <w:rFonts w:ascii="Calibri" w:hAnsi="Calibri"/>
          <w:b/>
          <w:i w:val="0"/>
          <w:sz w:val="28"/>
        </w:rPr>
        <w:t>5. Challenges Encountered</w:t>
      </w:r>
    </w:p>
    <w:p>
      <w:r>
        <w:rPr>
          <w:rFonts w:ascii="Calibri" w:hAnsi="Calibri"/>
          <w:b w:val="0"/>
          <w:i w:val="0"/>
          <w:sz w:val="22"/>
        </w:rPr>
        <w:t>Kernel Contradiction Resolution: Reconciling the different conclusions of HYQAD (QK is superfluous) and Q-ZTNA (AE-SVM is competitive) required careful framing. The resolution—distinguishing between full quantum kernel evaluation on simulators vs. classical amplitude-encoding kernel computation—provides an honest reconciliation that strengthens both papers.</w:t>
      </w:r>
    </w:p>
    <w:p>
      <w:r>
        <w:rPr>
          <w:rFonts w:ascii="Calibri" w:hAnsi="Calibri"/>
          <w:b w:val="0"/>
          <w:i w:val="0"/>
          <w:sz w:val="22"/>
        </w:rPr>
        <w:t>Frame Consistency Across 14 Articles: Ensuring consistent terminology, methodology references, and empirical claims across fourteen articles written over five weeks required careful cross-referencing. The most challenging aspect was maintaining consistent descriptions of the GP’s F1 score (0.889) and zero-FPR property across articles with different analytical focuses.</w:t>
      </w:r>
    </w:p>
    <w:p>
      <w:r>
        <w:rPr>
          <w:rFonts w:ascii="Calibri" w:hAnsi="Calibri"/>
          <w:b w:val="0"/>
          <w:i w:val="0"/>
          <w:sz w:val="22"/>
        </w:rPr>
        <w:t>Cost-Benefit Model Parameterization: The economic analysis in Article 13 required making assumptions about QKD network operational costs, attack frequencies, and key valuation that are inherently uncertain. The sensitivity analysis partially mitigates this, but the absolute numbers should be interpreted as illustrative rather than predictive.</w:t>
      </w:r>
    </w:p>
    <w:p>
      <w:r>
        <w:rPr>
          <w:rFonts w:ascii="Calibri" w:hAnsi="Calibri"/>
          <w:b/>
          <w:i w:val="0"/>
          <w:sz w:val="28"/>
        </w:rPr>
        <w:t>6. Plan for Subsequent Work</w:t>
      </w:r>
    </w:p>
    <w:p>
      <w:r>
        <w:rPr>
          <w:rFonts w:ascii="Calibri" w:hAnsi="Calibri"/>
          <w:b w:val="0"/>
          <w:i w:val="0"/>
          <w:sz w:val="22"/>
        </w:rPr>
        <w:t>1. Finalize the reproducibility package (containerized environment, reproduction scripts, documentation).</w:t>
      </w:r>
    </w:p>
    <w:p>
      <w:r>
        <w:rPr>
          <w:rFonts w:ascii="Calibri" w:hAnsi="Calibri"/>
          <w:b w:val="0"/>
          <w:i w:val="0"/>
          <w:sz w:val="22"/>
        </w:rPr>
        <w:t>2. Prepare presentation materials (slides, poster) summarizing the project’s contributions.</w:t>
      </w:r>
    </w:p>
    <w:p>
      <w:r>
        <w:rPr>
          <w:rFonts w:ascii="Calibri" w:hAnsi="Calibri"/>
          <w:b w:val="0"/>
          <w:i w:val="0"/>
          <w:sz w:val="22"/>
        </w:rPr>
        <w:t>3. Complete project documentation and compile the final internship report.</w:t>
      </w:r>
    </w:p>
    <w:p>
      <w:r>
        <w:rPr>
          <w:rFonts w:ascii="Calibri" w:hAnsi="Calibri"/>
          <w:b w:val="0"/>
          <w:i w:val="0"/>
          <w:sz w:val="22"/>
        </w:rPr>
        <w:t>4. Consider open-source release of the HYQAD codebase with documentation and example notebooks.</w:t>
      </w:r>
    </w:p>
    <w:p>
      <w:r>
        <w:rPr>
          <w:rFonts w:ascii="Calibri" w:hAnsi="Calibri"/>
          <w:b w:val="0"/>
          <w:i w:val="0"/>
          <w:sz w:val="22"/>
        </w:rPr>
        <w:t>5. Prepare the final presentation for the Cybersecurity Research Internship Program.</w:t>
      </w:r>
    </w:p>
    <w:p>
      <w:r>
        <w:rPr>
          <w:rFonts w:ascii="Calibri" w:hAnsi="Calibri"/>
          <w:b/>
          <w:i w:val="0"/>
          <w:sz w:val="28"/>
        </w:rPr>
        <w:t>7. Declaration</w:t>
      </w:r>
    </w:p>
    <w:p>
      <w:r>
        <w:rPr>
          <w:rFonts w:ascii="Calibri" w:hAnsi="Calibri"/>
          <w:b w:val="0"/>
          <w:i w:val="0"/>
          <w:sz w:val="22"/>
        </w:rPr>
        <w:t>I confirm that this progress report reflects my own work and learning during Week 5 of the internship. All paper revisions, articles, experiments, and analysis are my original work.</w:t>
      </w:r>
    </w:p>
    <w:p>
      <w:r>
        <w:rPr>
          <w:rFonts w:ascii="Calibri" w:hAnsi="Calibri"/>
          <w:b w:val="0"/>
          <w:i w:val="0"/>
          <w:sz w:val="22"/>
        </w:rPr>
        <w:t>Signature: _______________________        Date: July 14, 2026</w:t>
      </w:r>
    </w:p>
    <w:p>
      <w:r>
        <w:rPr>
          <w:rFonts w:ascii="Calibri" w:hAnsi="Calibri"/>
          <w:b w:val="0"/>
          <w:i w:val="0"/>
          <w:sz w:val="22"/>
        </w:rPr>
      </w:r>
    </w:p>
    <w:p>
      <w:r>
        <w:rPr>
          <w:rFonts w:ascii="Calibri" w:hAnsi="Calibri"/>
          <w:b w:val="0"/>
          <w:i w:val="0"/>
          <w:sz w:val="22"/>
        </w:rPr>
        <w:t>Name | Arnav</w:t>
      </w:r>
    </w:p>
    <w:p>
      <w:r>
        <w:rPr>
          <w:rFonts w:ascii="Calibri" w:hAnsi="Calibri"/>
          <w:b w:val="0"/>
          <w:i w:val="0"/>
          <w:sz w:val="22"/>
        </w:rPr>
        <w:t>Program | Cybersecurity Internship – CCRI Lab</w:t>
      </w:r>
    </w:p>
    <w:p>
      <w:r>
        <w:rPr>
          <w:rFonts w:ascii="Calibri" w:hAnsi="Calibri"/>
          <w:b w:val="0"/>
          <w:i w:val="0"/>
          <w:sz w:val="22"/>
        </w:rPr>
        <w:t>Week | Week 5</w:t>
      </w:r>
    </w:p>
    <w:p>
      <w:r>
        <w:rPr>
          <w:rFonts w:ascii="Calibri" w:hAnsi="Calibri"/>
          <w:b w:val="0"/>
          <w:i w:val="0"/>
          <w:sz w:val="22"/>
        </w:rPr>
        <w:t>Project Topic | Hybrid AI-Quantum Anomaly Detection for QKD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