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2"/>
        </w:rPr>
        <w:t>WEEKLY PROGRESS REPORT – WEEK 6</w:t>
      </w:r>
    </w:p>
    <w:p>
      <w:r>
        <w:rPr>
          <w:rFonts w:ascii="Calibri" w:hAnsi="Calibri"/>
          <w:b w:val="0"/>
          <w:i/>
          <w:sz w:val="22"/>
        </w:rPr>
        <w:t>Cybersecurity Research Internship Program</w:t>
      </w:r>
    </w:p>
    <w:p/>
    <w:p>
      <w:r>
        <w:rPr>
          <w:rFonts w:ascii="Calibri" w:hAnsi="Calibri"/>
          <w:b/>
          <w:i w:val="0"/>
          <w:sz w:val="28"/>
        </w:rPr>
        <w:t>1. Overview of Activities This Week</w:t>
      </w:r>
    </w:p>
    <w:p>
      <w:r>
        <w:rPr>
          <w:rFonts w:ascii="Calibri" w:hAnsi="Calibri"/>
          <w:b w:val="0"/>
          <w:i w:val="0"/>
          <w:sz w:val="22"/>
        </w:rPr>
        <w:t>During Week 6, I focused on finalizing the project deliverables: completing the reproducibility package, preparing presentation materials, writing the final project documentation, and ensuring all fourteen articles and both research papers are publication-ready. This marks the primary completion phase of the Cybersecurity Research Internship Program, transitioning from active development and writing to documentation, packaging, and presentation preparation.</w:t>
      </w:r>
    </w:p>
    <w:p>
      <w:r>
        <w:rPr>
          <w:rFonts w:ascii="Calibri" w:hAnsi="Calibri"/>
          <w:b/>
          <w:i w:val="0"/>
          <w:sz w:val="28"/>
        </w:rPr>
        <w:t>2. Reproducibility Package Completion</w:t>
      </w:r>
    </w:p>
    <w:p>
      <w:r>
        <w:rPr>
          <w:rFonts w:ascii="Calibri" w:hAnsi="Calibri"/>
          <w:b w:val="0"/>
          <w:i w:val="0"/>
          <w:sz w:val="22"/>
        </w:rPr>
        <w:t>The HYQAD reproducibility package was finalized this week, comprising:</w:t>
      </w:r>
    </w:p>
    <w:p>
      <w:r>
        <w:rPr>
          <w:rFonts w:ascii="Calibri" w:hAnsi="Calibri"/>
          <w:b w:val="0"/>
          <w:i w:val="0"/>
          <w:sz w:val="22"/>
        </w:rPr>
        <w:t>Dockerfile: Pinned execution environment with Python 3.10.12, PennyLane 0.35.1, scikit-learn 1.3.2, PyTorch 2.1.0, and all dependencies. The container includes all source code, data generation scripts, and evaluation notebooks.</w:t>
      </w:r>
    </w:p>
    <w:p>
      <w:r>
        <w:rPr>
          <w:rFonts w:ascii="Calibri" w:hAnsi="Calibri"/>
          <w:b w:val="0"/>
          <w:i w:val="0"/>
          <w:sz w:val="22"/>
        </w:rPr>
        <w:t>Makefile: Build targets for make reproduce (runs all experiments), make figures (regenerates all figures), make paper (compiles LaTeX manuscripts), and make clean (removes generated artifacts).</w:t>
      </w:r>
    </w:p>
    <w:p>
      <w:r>
        <w:rPr>
          <w:rFonts w:ascii="Calibri" w:hAnsi="Calibri"/>
          <w:b w:val="0"/>
          <w:i w:val="0"/>
          <w:sz w:val="22"/>
        </w:rPr>
        <w:t>Seed Management: Central seeds.toml configuration with experiment-specific seeds. Multi-seed experiments use seeds [7, 42, 123] with automatic aggregation.</w:t>
      </w:r>
    </w:p>
    <w:p>
      <w:r>
        <w:rPr>
          <w:rFonts w:ascii="Calibri" w:hAnsi="Calibri"/>
          <w:b w:val="0"/>
          <w:i w:val="0"/>
          <w:sz w:val="22"/>
        </w:rPr>
        <w:t>Data Versioning: YAML-based simulator configuration (sim_config.yaml) with metadata.json generation for each dataset recording parameters, timestamp, and git commit hash.</w:t>
      </w:r>
    </w:p>
    <w:p>
      <w:r>
        <w:rPr>
          <w:rFonts w:ascii="Calibri" w:hAnsi="Calibri"/>
          <w:b w:val="0"/>
          <w:i w:val="0"/>
          <w:sz w:val="22"/>
        </w:rPr>
        <w:t>The package was validated on three environments: the primary development machine (Ubuntu 22.04, Intel i7-12700), a clean Docker container on the same hardware, and a separate machine (Ubuntu 24.04, AMD Ryzen 7). All environments produce F1 scores within 0.005 agreement.</w:t>
      </w:r>
    </w:p>
    <w:p>
      <w:r>
        <w:rPr>
          <w:rFonts w:ascii="Calibri" w:hAnsi="Calibri"/>
          <w:b/>
          <w:i w:val="0"/>
          <w:sz w:val="28"/>
        </w:rPr>
        <w:t>3. Presentation Preparation</w:t>
      </w:r>
    </w:p>
    <w:p>
      <w:r>
        <w:rPr>
          <w:rFonts w:ascii="Calibri" w:hAnsi="Calibri"/>
          <w:b w:val="0"/>
          <w:i w:val="0"/>
          <w:sz w:val="22"/>
        </w:rPr>
        <w:t>Presentation materials were developed for the program’s final review:</w:t>
      </w:r>
    </w:p>
    <w:p>
      <w:r>
        <w:rPr>
          <w:rFonts w:ascii="Calibri" w:hAnsi="Calibri"/>
          <w:b w:val="0"/>
          <w:i w:val="0"/>
          <w:sz w:val="22"/>
        </w:rPr>
        <w:t>Technical Slides: A 20-slide presentation covering the project’s motivation, methodology, key results, and conclusions. The slide deck follows a narrative arc: (1) the QKD security problem and the limitations of threshold-based monitoring, (2) the HYQAD framework architecture, (3) experimental results and calibration analysis, (4) adversarial robustness and deployment considerations, (5) the zero-trust extension (Q-ZTNA), and (6) conclusions and future work.</w:t>
      </w:r>
    </w:p>
    <w:p>
      <w:r>
        <w:rPr>
          <w:rFonts w:ascii="Calibri" w:hAnsi="Calibri"/>
          <w:b w:val="0"/>
          <w:i w:val="0"/>
          <w:sz w:val="22"/>
        </w:rPr>
        <w:t>Poster: A conference-style research poster (48” x 36”) summarizing the project’s contributions, with sections for framework architecture, key results tables, calibration/reliability diagrams, and deployment resource footprint.</w:t>
      </w:r>
    </w:p>
    <w:p>
      <w:r>
        <w:rPr>
          <w:rFonts w:ascii="Calibri" w:hAnsi="Calibri"/>
          <w:b w:val="0"/>
          <w:i w:val="0"/>
          <w:sz w:val="22"/>
        </w:rPr>
        <w:t>Demo: A live demonstration script that walks through the QKD simulator, attack generation, feature engineering pipeline, and detector inference on sample data.</w:t>
      </w:r>
    </w:p>
    <w:p>
      <w:r>
        <w:rPr>
          <w:rFonts w:ascii="Calibri" w:hAnsi="Calibri"/>
          <w:b/>
          <w:i w:val="0"/>
          <w:sz w:val="28"/>
        </w:rPr>
        <w:t>4. Final Project Documentation</w:t>
      </w:r>
    </w:p>
    <w:p>
      <w:r>
        <w:rPr>
          <w:rFonts w:ascii="Calibri" w:hAnsi="Calibri"/>
          <w:b w:val="0"/>
          <w:i w:val="0"/>
          <w:sz w:val="22"/>
        </w:rPr>
        <w:t>Comprehensive project documentation was completed:</w:t>
      </w:r>
    </w:p>
    <w:p>
      <w:r>
        <w:rPr>
          <w:rFonts w:ascii="Calibri" w:hAnsi="Calibri"/>
          <w:b w:val="0"/>
          <w:i w:val="0"/>
          <w:sz w:val="22"/>
        </w:rPr>
        <w:t>README.md: Project overview, installation instructions, usage examples, and links to all fourteen articles and both research papers.</w:t>
      </w:r>
    </w:p>
    <w:p>
      <w:r>
        <w:rPr>
          <w:rFonts w:ascii="Calibri" w:hAnsi="Calibri"/>
          <w:b w:val="0"/>
          <w:i w:val="0"/>
          <w:sz w:val="22"/>
        </w:rPr>
        <w:t>API Documentation: Auto-generated documentation for all Python modules (qkd_simulator, attack_library, feature_engineering, detectors, evaluation, deployment) using Sphinx with the Napoleon extension for Google-style docstrings.</w:t>
      </w:r>
    </w:p>
    <w:p>
      <w:r>
        <w:rPr>
          <w:rFonts w:ascii="Calibri" w:hAnsi="Calibri"/>
          <w:b w:val="0"/>
          <w:i w:val="0"/>
          <w:sz w:val="22"/>
        </w:rPr>
        <w:t>Article Compendium: The fourteen articles are organized into a unified document with a common table of contents, cross-references between articles, and a master bibliography.</w:t>
      </w:r>
    </w:p>
    <w:p>
      <w:r>
        <w:rPr>
          <w:rFonts w:ascii="Calibri" w:hAnsi="Calibri"/>
          <w:b/>
          <w:i w:val="0"/>
          <w:sz w:val="28"/>
        </w:rPr>
        <w:t>5. Research Papers Status</w:t>
      </w:r>
    </w:p>
    <w:p>
      <w:r>
        <w:rPr>
          <w:rFonts w:ascii="Calibri" w:hAnsi="Calibri"/>
          <w:b w:val="0"/>
          <w:i w:val="0"/>
          <w:sz w:val="22"/>
        </w:rPr>
        <w:t>Both research papers are finalized and publication-ready:</w:t>
      </w:r>
    </w:p>
    <w:p>
      <w:r>
        <w:rPr>
          <w:rFonts w:ascii="Calibri" w:hAnsi="Calibri"/>
          <w:b w:val="0"/>
          <w:i w:val="0"/>
          <w:sz w:val="22"/>
        </w:rPr>
        <w:t>HYQAD Paper (paper.pdf, 8 pages): Title “When Advanced Is Not Better: A Scale-Limited Study of Amplitude-Encoding Kernels for QKD Anomaly Detection.” Presents the hybrid Bayesian GP + quantum kernel detector with rigorous ablation showing the GP-only configuration is strictly preferable. Key finding: the quantum kernel adds computational cost without accuracy benefit at current scales. ECE metrics, GP scaling study, and comprehensive benchmarking included. Compiles with zero errors.</w:t>
      </w:r>
    </w:p>
    <w:p>
      <w:r>
        <w:rPr>
          <w:rFonts w:ascii="Calibri" w:hAnsi="Calibri"/>
          <w:b w:val="0"/>
          <w:i w:val="0"/>
          <w:sz w:val="22"/>
        </w:rPr>
        <w:t>Q-ZTNA Paper (qcyber.pdf, 18 pages): Title “Leveraging Amplitude-Encoding Kernel Methods for Zero-Trust Anomaly Detection in QKD-Enabled Networks.” Introduces the AE-SVM with squared-cosine kernel as a lightweight classifier for continuous QKD channel verification within a zero-trust architecture. Compares against RBF, Laplacian, and polynomial kernels across multiple metrics. All figures regenerated with corrected labels. Compiles with zero errors.</w:t>
      </w:r>
    </w:p>
    <w:p>
      <w:r>
        <w:rPr>
          <w:rFonts w:ascii="Calibri" w:hAnsi="Calibri"/>
          <w:b w:val="0"/>
          <w:i w:val="0"/>
          <w:sz w:val="22"/>
        </w:rPr>
        <w:t>A reviewer response letter has been prepared for each paper, addressing every point in the review feedback with references to specific changes in the revised manuscripts.</w:t>
      </w:r>
    </w:p>
    <w:p>
      <w:r>
        <w:rPr>
          <w:rFonts w:ascii="Calibri" w:hAnsi="Calibri"/>
          <w:b/>
          <w:i w:val="0"/>
          <w:sz w:val="28"/>
        </w:rPr>
        <w:t>6. Summary of Project Deliverables</w:t>
      </w:r>
    </w:p>
    <w:p>
      <w:r>
        <w:rPr>
          <w:rFonts w:ascii="Calibri" w:hAnsi="Calibri"/>
          <w:b w:val="0"/>
          <w:i w:val="0"/>
          <w:sz w:val="22"/>
        </w:rPr>
        <w:t>The complete project deliverables for the Cybersecurity Research Internship Program are:</w:t>
      </w:r>
    </w:p>
    <w:p>
      <w:r>
        <w:rPr>
          <w:rFonts w:ascii="Calibri" w:hAnsi="Calibri"/>
          <w:b w:val="0"/>
          <w:i w:val="0"/>
          <w:sz w:val="22"/>
        </w:rPr>
        <w:t>Research Papers: 2 (HYQAD: 8 pages, Q-ZTNA: 18 pages), both compiling cleanly</w:t>
      </w:r>
    </w:p>
    <w:p>
      <w:r>
        <w:rPr>
          <w:rFonts w:ascii="Calibri" w:hAnsi="Calibri"/>
          <w:b w:val="0"/>
          <w:i w:val="0"/>
          <w:sz w:val="22"/>
        </w:rPr>
        <w:t>Technical Articles: 14, covering the full pipeline from literature review to future roadmap</w:t>
      </w:r>
    </w:p>
    <w:p>
      <w:r>
        <w:rPr>
          <w:rFonts w:ascii="Calibri" w:hAnsi="Calibri"/>
          <w:b w:val="0"/>
          <w:i w:val="0"/>
          <w:sz w:val="22"/>
        </w:rPr>
        <w:t>Progress Reports: 6 (Weeks 1–6)</w:t>
      </w:r>
    </w:p>
    <w:p>
      <w:r>
        <w:rPr>
          <w:rFonts w:ascii="Calibri" w:hAnsi="Calibri"/>
          <w:b w:val="0"/>
          <w:i w:val="0"/>
          <w:sz w:val="22"/>
        </w:rPr>
        <w:t>Software: ~2,500 lines of Python across 8 modules (QKD simulator, attack library, feature engineering, detectors, evaluation suite, optimization, deployment, utilities)</w:t>
      </w:r>
    </w:p>
    <w:p>
      <w:r>
        <w:rPr>
          <w:rFonts w:ascii="Calibri" w:hAnsi="Calibri"/>
          <w:b w:val="0"/>
          <w:i w:val="0"/>
          <w:sz w:val="22"/>
        </w:rPr>
        <w:t>Reproducibility Package: Dockerfile, Makefile, seed management, data versioning, validated across 3 environments</w:t>
      </w:r>
    </w:p>
    <w:p>
      <w:r>
        <w:rPr>
          <w:rFonts w:ascii="Calibri" w:hAnsi="Calibri"/>
          <w:b w:val="0"/>
          <w:i w:val="0"/>
          <w:sz w:val="22"/>
        </w:rPr>
        <w:t>Presentation Materials: 20-slide deck, research poster, live demo script</w:t>
      </w:r>
    </w:p>
    <w:p>
      <w:r>
        <w:rPr>
          <w:rFonts w:ascii="Calibri" w:hAnsi="Calibri"/>
          <w:b w:val="0"/>
          <w:i w:val="0"/>
          <w:sz w:val="22"/>
        </w:rPr>
        <w:t>Documentation: README, Sphinx API docs, article compendium</w:t>
      </w:r>
    </w:p>
    <w:p>
      <w:r>
        <w:rPr>
          <w:rFonts w:ascii="Calibri" w:hAnsi="Calibri"/>
          <w:b/>
          <w:i w:val="0"/>
          <w:sz w:val="28"/>
        </w:rPr>
        <w:t>7. Lessons Learned</w:t>
      </w:r>
    </w:p>
    <w:p>
      <w:r>
        <w:rPr>
          <w:rFonts w:ascii="Calibri" w:hAnsi="Calibri"/>
          <w:b w:val="0"/>
          <w:i w:val="0"/>
          <w:sz w:val="22"/>
        </w:rPr>
        <w:t>Several key lessons emerged from the six-week project:</w:t>
      </w:r>
    </w:p>
    <w:p>
      <w:r>
        <w:rPr>
          <w:rFonts w:ascii="Calibri" w:hAnsi="Calibri"/>
          <w:b w:val="0"/>
          <w:i w:val="0"/>
          <w:sz w:val="22"/>
        </w:rPr>
        <w:t>Bayesian methods for security: The project confirmed that calibrated uncertainty quantification is not merely a nice-to-have but a fundamental requirement for security-critical ML deployments. The GP’s ability to say “I don’t know” through selective prediction proved more operationally valuable than marginal accuracy improvements from more complex models.</w:t>
      </w:r>
    </w:p>
    <w:p>
      <w:r>
        <w:rPr>
          <w:rFonts w:ascii="Calibri" w:hAnsi="Calibri"/>
          <w:b w:val="0"/>
          <w:i w:val="0"/>
          <w:sz w:val="22"/>
        </w:rPr>
        <w:t>Honest framing is essential: The Q-ZTNA paper’s initial framing as “quantum-enhanced” overstated the quantum contribution. The honest reframe to “amplitude-encoding kernel methods” improved scientific accuracy and actually strengthened the paper by making it clear what the contribution is.</w:t>
      </w:r>
    </w:p>
    <w:p>
      <w:r>
        <w:rPr>
          <w:rFonts w:ascii="Calibri" w:hAnsi="Calibri"/>
          <w:b w:val="0"/>
          <w:i w:val="0"/>
          <w:sz w:val="22"/>
        </w:rPr>
        <w:t>Reproducibility requires infrastructure: Good intentions are insufficient for reproducibility. The containerized environment and systematic seed management were essential for the variance analysis and cross-environment validation.</w:t>
      </w:r>
    </w:p>
    <w:p>
      <w:r>
        <w:rPr>
          <w:rFonts w:ascii="Calibri" w:hAnsi="Calibri"/>
          <w:b w:val="0"/>
          <w:i w:val="0"/>
          <w:sz w:val="22"/>
        </w:rPr>
        <w:t>The whole is greater than the sum of parts: The fourteen-article series has more impact as a unified body of work than the individual articles would have alone. The cross-references and progressive development create a coherent narrative that no single article captures.</w:t>
      </w:r>
    </w:p>
    <w:p>
      <w:r>
        <w:rPr>
          <w:rFonts w:ascii="Calibri" w:hAnsi="Calibri"/>
          <w:b/>
          <w:i w:val="0"/>
          <w:sz w:val="28"/>
        </w:rPr>
        <w:t>8. Plan for Subsequent Work</w:t>
      </w:r>
    </w:p>
    <w:p>
      <w:r>
        <w:rPr>
          <w:rFonts w:ascii="Calibri" w:hAnsi="Calibri"/>
          <w:b w:val="0"/>
          <w:i w:val="0"/>
          <w:sz w:val="22"/>
        </w:rPr>
        <w:t>1. Prepare for the final presentation and program review.</w:t>
      </w:r>
    </w:p>
    <w:p>
      <w:r>
        <w:rPr>
          <w:rFonts w:ascii="Calibri" w:hAnsi="Calibri"/>
          <w:b w:val="0"/>
          <w:i w:val="0"/>
          <w:sz w:val="22"/>
        </w:rPr>
        <w:t>2. Finalize the open-source release of the HYQAD codebase.</w:t>
      </w:r>
    </w:p>
    <w:p>
      <w:r>
        <w:rPr>
          <w:rFonts w:ascii="Calibri" w:hAnsi="Calibri"/>
          <w:b w:val="0"/>
          <w:i w:val="0"/>
          <w:sz w:val="22"/>
        </w:rPr>
        <w:t>3. Complete the final internship report and submit to the program coordinator.</w:t>
      </w:r>
    </w:p>
    <w:p>
      <w:r>
        <w:rPr>
          <w:rFonts w:ascii="Calibri" w:hAnsi="Calibri"/>
          <w:b w:val="0"/>
          <w:i w:val="0"/>
          <w:sz w:val="22"/>
        </w:rPr>
        <w:t>4. Consider submitting the HYQAD and Q-ZTNA papers to target venues (e.g., IEEE QCE, ACM CCS Workshop on Quantum Security).</w:t>
      </w:r>
    </w:p>
    <w:p>
      <w:r>
        <w:rPr>
          <w:rFonts w:ascii="Calibri" w:hAnsi="Calibri"/>
          <w:b/>
          <w:i w:val="0"/>
          <w:sz w:val="28"/>
        </w:rPr>
        <w:t>9. Declaration</w:t>
      </w:r>
    </w:p>
    <w:p>
      <w:r>
        <w:rPr>
          <w:rFonts w:ascii="Calibri" w:hAnsi="Calibri"/>
          <w:b w:val="0"/>
          <w:i w:val="0"/>
          <w:sz w:val="22"/>
        </w:rPr>
        <w:t>I confirm that this progress report reflects my own work and learning during Week 6 of the internship. All documentation, presentation materials, and final deliverables are my original work.</w:t>
      </w:r>
    </w:p>
    <w:p>
      <w:r>
        <w:rPr>
          <w:rFonts w:ascii="Calibri" w:hAnsi="Calibri"/>
          <w:b w:val="0"/>
          <w:i w:val="0"/>
          <w:sz w:val="22"/>
        </w:rPr>
        <w:t>Signature: _______________________        Date: July 21, 2026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Name | Arnav</w:t>
      </w:r>
    </w:p>
    <w:p>
      <w:r>
        <w:rPr>
          <w:rFonts w:ascii="Calibri" w:hAnsi="Calibri"/>
          <w:b w:val="0"/>
          <w:i w:val="0"/>
          <w:sz w:val="22"/>
        </w:rPr>
        <w:t>Program | Cybersecurity Internship – CCRI Lab</w:t>
      </w:r>
    </w:p>
    <w:p>
      <w:r>
        <w:rPr>
          <w:rFonts w:ascii="Calibri" w:hAnsi="Calibri"/>
          <w:b w:val="0"/>
          <w:i w:val="0"/>
          <w:sz w:val="22"/>
        </w:rPr>
        <w:t>Week | Week 6</w:t>
      </w:r>
    </w:p>
    <w:p>
      <w:r>
        <w:rPr>
          <w:rFonts w:ascii="Calibri" w:hAnsi="Calibri"/>
          <w:b w:val="0"/>
          <w:i w:val="0"/>
          <w:sz w:val="22"/>
        </w:rPr>
        <w:t>Project Topic | Hybrid AI-Quantum Anomaly Detection for QKD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