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9DEA" w14:textId="77777777" w:rsidR="00AF673C" w:rsidRDefault="00000000">
      <w:pPr>
        <w:pStyle w:val="Title"/>
        <w:jc w:val="center"/>
      </w:pPr>
      <w:r>
        <w:t>Behavioral Intelligence Engine:</w:t>
      </w:r>
      <w:r>
        <w:br/>
        <w:t>A Hybrid Predictive–Generative Framework for CLV</w:t>
      </w:r>
    </w:p>
    <w:p w14:paraId="2135FE1D" w14:textId="77777777" w:rsidR="00AF673C" w:rsidRDefault="00000000">
      <w:pPr>
        <w:jc w:val="center"/>
      </w:pPr>
      <w:r>
        <w:rPr>
          <w:i/>
          <w:sz w:val="28"/>
        </w:rPr>
        <w:t>Synergizing Differential Behavioral Vectors with Deterministic LLM Reasoning</w:t>
      </w:r>
    </w:p>
    <w:p w14:paraId="0E6E729F" w14:textId="020BDA0D" w:rsidR="00AF673C" w:rsidRDefault="00000000" w:rsidP="00EB684F">
      <w:r>
        <w:br/>
      </w:r>
      <w:r>
        <w:br/>
      </w:r>
    </w:p>
    <w:p w14:paraId="3E2FF37C" w14:textId="77777777" w:rsidR="00AF673C" w:rsidRDefault="00000000">
      <w:pPr>
        <w:pStyle w:val="Heading1"/>
      </w:pPr>
      <w:r>
        <w:t>Abstract</w:t>
      </w:r>
    </w:p>
    <w:p w14:paraId="509CBEF4" w14:textId="77777777" w:rsidR="00AF673C" w:rsidRDefault="00000000">
      <w:pPr>
        <w:jc w:val="both"/>
      </w:pPr>
      <w:r>
        <w:t>The prediction of Customer Lifetime Value (CLV) in non-contractual settings has traditionally relied on static stochastic models. This research identifies a critical 'Actionability Gap': these methods quantify risk but fail to explain the behavioral momentum driving it. We propose a behaviorally grounded extension to standard ensemble models by introducing two vector-based features: **Velocity Drift** and **Entropic Stability**. Empirical evaluation using XGBoost demonstrates that these dynamic features reduce Mean Absolute Error (MAE) by **29.4%** relative to baseline and achieve a Ranking Correlation (Spearman) of up to **0.56**. Furthermore, we implement a **Generative Reasoning Layer** that functions as a deterministic interface, converting numeric risk signals into structured retention narratives.</w:t>
      </w:r>
    </w:p>
    <w:p w14:paraId="2856677D" w14:textId="77777777" w:rsidR="00AF673C" w:rsidRDefault="00000000">
      <w:pPr>
        <w:pStyle w:val="Heading1"/>
      </w:pPr>
      <w:r>
        <w:t>1. Introduction</w:t>
      </w:r>
    </w:p>
    <w:p w14:paraId="15CCFFE1" w14:textId="77777777" w:rsidR="00AF673C" w:rsidRDefault="00000000">
      <w:r>
        <w:t>In algorithmic marketing, a persistent challenge is the trade-off between predictive accuracy and strategic interpretability. This research proposes a Hybrid Framework leveraging Gradient Boosting on dynamic behavioral vectors, supported by the controlled generation capabilities of Large Language Models (LLMs).</w:t>
      </w:r>
    </w:p>
    <w:p w14:paraId="74810991" w14:textId="77777777" w:rsidR="00AF673C" w:rsidRDefault="00000000">
      <w:pPr>
        <w:pStyle w:val="Heading1"/>
      </w:pPr>
      <w:r>
        <w:t>2. Theoretical Framework</w:t>
      </w:r>
    </w:p>
    <w:p w14:paraId="1558EDAC" w14:textId="77777777" w:rsidR="00AF673C" w:rsidRDefault="00000000">
      <w:pPr>
        <w:pStyle w:val="Heading2"/>
      </w:pPr>
      <w:r>
        <w:t>2.1 Velocity Drift (The Momentum Vector)</w:t>
      </w:r>
    </w:p>
    <w:p w14:paraId="0FA2ABD7" w14:textId="77777777" w:rsidR="00AF673C" w:rsidRDefault="00000000">
      <w:r>
        <w:t>We define purchasing velocity (v) as the density of transaction events over time. Drift is the differential between 'Recent' and 'Lifetime' velocity.</w:t>
      </w:r>
    </w:p>
    <w:p w14:paraId="6EA70E1A" w14:textId="77777777" w:rsidR="00AF673C" w:rsidRDefault="00000000">
      <w:pPr>
        <w:ind w:left="720"/>
      </w:pPr>
      <w:r>
        <w:rPr>
          <w:b/>
        </w:rPr>
        <w:t>Δv (Drift) = v_recent - v_lifetime</w:t>
      </w:r>
    </w:p>
    <w:p w14:paraId="19D4E1BA" w14:textId="77777777" w:rsidR="00AF673C" w:rsidRDefault="00000000">
      <w:r>
        <w:t>Unlike continuous-time hazard models, Velocity Drift is deliberately designed as a model-agnostic, low-variance proxy suitable for tree-based learners.</w:t>
      </w:r>
    </w:p>
    <w:p w14:paraId="16E44DCD" w14:textId="77777777" w:rsidR="00AF673C" w:rsidRDefault="00000000">
      <w:pPr>
        <w:pStyle w:val="Heading2"/>
      </w:pPr>
      <w:r>
        <w:lastRenderedPageBreak/>
        <w:t>2.2 Entropic Stability (The Chaos Vector)</w:t>
      </w:r>
    </w:p>
    <w:p w14:paraId="4F8971E9" w14:textId="77777777" w:rsidR="00AF673C" w:rsidRDefault="00000000">
      <w:r>
        <w:t>We utilized Shannon Entropy on discretized inter-purchase intervals ($H(X) = -\sum p \log p$) to quantify behavioral predictability. Sensitivity checks confirmed stability across bin counts in the range [4, 8].</w:t>
      </w:r>
    </w:p>
    <w:p w14:paraId="66E3D993" w14:textId="77777777" w:rsidR="00AF673C" w:rsidRDefault="00000000">
      <w:pPr>
        <w:pStyle w:val="Heading1"/>
      </w:pPr>
      <w:r>
        <w:t>3. Methodology</w:t>
      </w:r>
    </w:p>
    <w:p w14:paraId="4E1EC5C0" w14:textId="77777777" w:rsidR="00AF673C" w:rsidRDefault="00000000">
      <w:pPr>
        <w:pStyle w:val="Heading2"/>
      </w:pPr>
      <w:r>
        <w:t>3.1 Evaluation Protocol</w:t>
      </w:r>
    </w:p>
    <w:p w14:paraId="0D953F6E" w14:textId="77777777" w:rsidR="00AF673C" w:rsidRDefault="00000000">
      <w:r>
        <w:t>To adhere to causal temporal constraints, we rejected standard K-Fold cross-validation in favor of a strict temporal holdout. K-Fold would introduce leakage by allowing the model to train on future behavioral patterns. Hyperparameters were held fixed across ablations.</w:t>
      </w:r>
    </w:p>
    <w:p w14:paraId="31AF08EC" w14:textId="77777777" w:rsidR="00AF673C" w:rsidRDefault="00000000">
      <w:pPr>
        <w:pStyle w:val="Heading1"/>
      </w:pPr>
      <w:r>
        <w:t>4. Empirical Results</w:t>
      </w:r>
    </w:p>
    <w:p w14:paraId="22F614C9" w14:textId="77777777" w:rsidR="00AF673C" w:rsidRDefault="00000000">
      <w:pPr>
        <w:pStyle w:val="Heading2"/>
      </w:pPr>
      <w:r>
        <w:t>4.1 Feature Contribution &amp; Ranking</w:t>
      </w:r>
    </w:p>
    <w:p w14:paraId="55882EB2" w14:textId="77777777" w:rsidR="00AF673C" w:rsidRDefault="00000000">
      <w:r>
        <w:t>The inclusion of dynamic vectors consistently improved ranking quality (Spearman Rho) across all architectures.</w:t>
      </w:r>
    </w:p>
    <w:p w14:paraId="64744E09" w14:textId="77777777" w:rsidR="00AF673C" w:rsidRDefault="00000000">
      <w:r>
        <w:rPr>
          <w:noProof/>
        </w:rPr>
        <w:drawing>
          <wp:inline distT="0" distB="0" distL="0" distR="0" wp14:anchorId="17AE4B78" wp14:editId="1491F51E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d58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445" w14:textId="77777777" w:rsidR="00AF673C" w:rsidRDefault="00000000">
      <w:pPr>
        <w:pStyle w:val="Caption"/>
        <w:jc w:val="center"/>
      </w:pPr>
      <w:r>
        <w:rPr>
          <w:i/>
        </w:rPr>
        <w:t>Figure: Impact of Higher-Order Features on Ranking Quality (Spearman).</w:t>
      </w:r>
    </w:p>
    <w:p w14:paraId="7B5F1592" w14:textId="77777777" w:rsidR="00AF673C" w:rsidRDefault="00000000">
      <w:pPr>
        <w:pStyle w:val="Heading2"/>
      </w:pPr>
      <w:r>
        <w:t>4.2 Error Reduction</w:t>
      </w:r>
    </w:p>
    <w:p w14:paraId="09CB8192" w14:textId="77777777" w:rsidR="00AF673C" w:rsidRDefault="00000000">
      <w:r>
        <w:t>Tree-based models effectively utilized the drift signal to reduce Mean Absolute Error (MAE) compared to Neural Baselines.</w:t>
      </w:r>
    </w:p>
    <w:p w14:paraId="5F367782" w14:textId="77777777" w:rsidR="00AF673C" w:rsidRDefault="00000000">
      <w:r>
        <w:rPr>
          <w:noProof/>
        </w:rPr>
        <w:lastRenderedPageBreak/>
        <w:drawing>
          <wp:inline distT="0" distB="0" distL="0" distR="0" wp14:anchorId="3E752E0E" wp14:editId="3074A4BB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d58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9C47" w14:textId="77777777" w:rsidR="00AF673C" w:rsidRDefault="00000000">
      <w:pPr>
        <w:pStyle w:val="Caption"/>
        <w:jc w:val="center"/>
      </w:pPr>
      <w:r>
        <w:rPr>
          <w:i/>
        </w:rPr>
        <w:t>Figure: Impact of Velocity Drift on Prediction Error.</w:t>
      </w:r>
    </w:p>
    <w:p w14:paraId="04DF38C5" w14:textId="77777777" w:rsidR="00AF673C" w:rsidRDefault="00000000">
      <w:pPr>
        <w:pStyle w:val="Heading2"/>
      </w:pPr>
      <w:r>
        <w:t>4.3 Classification (Risk Segmentation)</w:t>
      </w:r>
    </w:p>
    <w:p w14:paraId="0291A367" w14:textId="77777777" w:rsidR="00AF673C" w:rsidRDefault="00000000">
      <w:r>
        <w:t>The model identified 'At-Risk' customers with 98% precision. Class imbalance was preserved in evaluation.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673C" w14:paraId="0FFA366A" w14:textId="77777777">
        <w:trPr>
          <w:jc w:val="center"/>
        </w:trPr>
        <w:tc>
          <w:tcPr>
            <w:tcW w:w="1728" w:type="dxa"/>
            <w:shd w:val="clear" w:color="auto" w:fill="E7E6E6"/>
          </w:tcPr>
          <w:p w14:paraId="283664FC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Segment</w:t>
            </w:r>
          </w:p>
        </w:tc>
        <w:tc>
          <w:tcPr>
            <w:tcW w:w="1728" w:type="dxa"/>
            <w:shd w:val="clear" w:color="auto" w:fill="E7E6E6"/>
          </w:tcPr>
          <w:p w14:paraId="49CCE4BA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Precision</w:t>
            </w:r>
          </w:p>
        </w:tc>
        <w:tc>
          <w:tcPr>
            <w:tcW w:w="1728" w:type="dxa"/>
            <w:shd w:val="clear" w:color="auto" w:fill="E7E6E6"/>
          </w:tcPr>
          <w:p w14:paraId="546F817F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Recall</w:t>
            </w:r>
          </w:p>
        </w:tc>
        <w:tc>
          <w:tcPr>
            <w:tcW w:w="1728" w:type="dxa"/>
            <w:shd w:val="clear" w:color="auto" w:fill="E7E6E6"/>
          </w:tcPr>
          <w:p w14:paraId="54C7BB61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F1-Score</w:t>
            </w:r>
          </w:p>
        </w:tc>
        <w:tc>
          <w:tcPr>
            <w:tcW w:w="1728" w:type="dxa"/>
            <w:shd w:val="clear" w:color="auto" w:fill="E7E6E6"/>
          </w:tcPr>
          <w:p w14:paraId="0D6C54B4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Support (N)</w:t>
            </w:r>
          </w:p>
        </w:tc>
      </w:tr>
      <w:tr w:rsidR="00AF673C" w14:paraId="624BB95A" w14:textId="77777777">
        <w:trPr>
          <w:jc w:val="center"/>
        </w:trPr>
        <w:tc>
          <w:tcPr>
            <w:tcW w:w="1728" w:type="dxa"/>
          </w:tcPr>
          <w:p w14:paraId="0D063CC1" w14:textId="77777777" w:rsidR="00AF673C" w:rsidRDefault="00000000">
            <w:pPr>
              <w:jc w:val="center"/>
            </w:pPr>
            <w:r>
              <w:rPr>
                <w:sz w:val="20"/>
              </w:rPr>
              <w:t>At-Risk (Churn)</w:t>
            </w:r>
          </w:p>
        </w:tc>
        <w:tc>
          <w:tcPr>
            <w:tcW w:w="1728" w:type="dxa"/>
          </w:tcPr>
          <w:p w14:paraId="43556D16" w14:textId="77777777" w:rsidR="00AF673C" w:rsidRDefault="00000000">
            <w:pPr>
              <w:jc w:val="center"/>
            </w:pPr>
            <w:r>
              <w:rPr>
                <w:sz w:val="20"/>
              </w:rPr>
              <w:t>0.98</w:t>
            </w:r>
          </w:p>
        </w:tc>
        <w:tc>
          <w:tcPr>
            <w:tcW w:w="1728" w:type="dxa"/>
          </w:tcPr>
          <w:p w14:paraId="3F46CEF1" w14:textId="77777777" w:rsidR="00AF673C" w:rsidRDefault="00000000">
            <w:pPr>
              <w:jc w:val="center"/>
            </w:pPr>
            <w:r>
              <w:rPr>
                <w:sz w:val="20"/>
              </w:rPr>
              <w:t>0.97</w:t>
            </w:r>
          </w:p>
        </w:tc>
        <w:tc>
          <w:tcPr>
            <w:tcW w:w="1728" w:type="dxa"/>
          </w:tcPr>
          <w:p w14:paraId="1A7DC740" w14:textId="77777777" w:rsidR="00AF673C" w:rsidRDefault="00000000">
            <w:pPr>
              <w:jc w:val="center"/>
            </w:pPr>
            <w:r>
              <w:rPr>
                <w:sz w:val="20"/>
              </w:rPr>
              <w:t>0.97</w:t>
            </w:r>
          </w:p>
        </w:tc>
        <w:tc>
          <w:tcPr>
            <w:tcW w:w="1728" w:type="dxa"/>
          </w:tcPr>
          <w:p w14:paraId="6651919A" w14:textId="77777777" w:rsidR="00AF673C" w:rsidRDefault="00000000">
            <w:pPr>
              <w:jc w:val="center"/>
            </w:pPr>
            <w:r>
              <w:rPr>
                <w:sz w:val="20"/>
              </w:rPr>
              <w:t>274</w:t>
            </w:r>
          </w:p>
        </w:tc>
      </w:tr>
      <w:tr w:rsidR="00AF673C" w14:paraId="7277B50A" w14:textId="77777777">
        <w:trPr>
          <w:jc w:val="center"/>
        </w:trPr>
        <w:tc>
          <w:tcPr>
            <w:tcW w:w="1728" w:type="dxa"/>
          </w:tcPr>
          <w:p w14:paraId="0E12ADEE" w14:textId="77777777" w:rsidR="00AF673C" w:rsidRDefault="00000000">
            <w:pPr>
              <w:jc w:val="center"/>
            </w:pPr>
            <w:r>
              <w:rPr>
                <w:sz w:val="20"/>
              </w:rPr>
              <w:t>Average</w:t>
            </w:r>
          </w:p>
        </w:tc>
        <w:tc>
          <w:tcPr>
            <w:tcW w:w="1728" w:type="dxa"/>
          </w:tcPr>
          <w:p w14:paraId="7DA73D14" w14:textId="77777777" w:rsidR="00AF673C" w:rsidRDefault="00000000">
            <w:pPr>
              <w:jc w:val="center"/>
            </w:pPr>
            <w:r>
              <w:rPr>
                <w:sz w:val="20"/>
              </w:rPr>
              <w:t>0.94</w:t>
            </w:r>
          </w:p>
        </w:tc>
        <w:tc>
          <w:tcPr>
            <w:tcW w:w="1728" w:type="dxa"/>
          </w:tcPr>
          <w:p w14:paraId="13DF1C42" w14:textId="77777777" w:rsidR="00AF673C" w:rsidRDefault="00000000">
            <w:pPr>
              <w:jc w:val="center"/>
            </w:pPr>
            <w:r>
              <w:rPr>
                <w:sz w:val="20"/>
              </w:rPr>
              <w:t>0.97</w:t>
            </w:r>
          </w:p>
        </w:tc>
        <w:tc>
          <w:tcPr>
            <w:tcW w:w="1728" w:type="dxa"/>
          </w:tcPr>
          <w:p w14:paraId="714BCA58" w14:textId="77777777" w:rsidR="00AF673C" w:rsidRDefault="00000000">
            <w:pPr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w="1728" w:type="dxa"/>
          </w:tcPr>
          <w:p w14:paraId="039E7EEB" w14:textId="77777777" w:rsidR="00AF673C" w:rsidRDefault="00000000">
            <w:pPr>
              <w:jc w:val="center"/>
            </w:pPr>
            <w:r>
              <w:rPr>
                <w:sz w:val="20"/>
              </w:rPr>
              <w:t>289</w:t>
            </w:r>
          </w:p>
        </w:tc>
      </w:tr>
      <w:tr w:rsidR="00AF673C" w14:paraId="6308A51A" w14:textId="77777777">
        <w:trPr>
          <w:jc w:val="center"/>
        </w:trPr>
        <w:tc>
          <w:tcPr>
            <w:tcW w:w="1728" w:type="dxa"/>
          </w:tcPr>
          <w:p w14:paraId="75693F42" w14:textId="77777777" w:rsidR="00AF673C" w:rsidRDefault="00000000">
            <w:pPr>
              <w:jc w:val="center"/>
            </w:pPr>
            <w:r>
              <w:rPr>
                <w:sz w:val="20"/>
              </w:rPr>
              <w:t>High Value</w:t>
            </w:r>
          </w:p>
        </w:tc>
        <w:tc>
          <w:tcPr>
            <w:tcW w:w="1728" w:type="dxa"/>
          </w:tcPr>
          <w:p w14:paraId="61ACC647" w14:textId="77777777" w:rsidR="00AF673C" w:rsidRDefault="00000000">
            <w:pPr>
              <w:jc w:val="center"/>
            </w:pPr>
            <w:r>
              <w:rPr>
                <w:sz w:val="20"/>
              </w:rPr>
              <w:t>0.98</w:t>
            </w:r>
          </w:p>
        </w:tc>
        <w:tc>
          <w:tcPr>
            <w:tcW w:w="1728" w:type="dxa"/>
          </w:tcPr>
          <w:p w14:paraId="3C3F8303" w14:textId="77777777" w:rsidR="00AF673C" w:rsidRDefault="00000000"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w="1728" w:type="dxa"/>
          </w:tcPr>
          <w:p w14:paraId="6B91CF2C" w14:textId="77777777" w:rsidR="00AF673C" w:rsidRDefault="00000000">
            <w:pPr>
              <w:jc w:val="center"/>
            </w:pPr>
            <w:r>
              <w:rPr>
                <w:sz w:val="20"/>
              </w:rPr>
              <w:t>0.94</w:t>
            </w:r>
          </w:p>
        </w:tc>
        <w:tc>
          <w:tcPr>
            <w:tcW w:w="1728" w:type="dxa"/>
          </w:tcPr>
          <w:p w14:paraId="53C5B6F5" w14:textId="77777777" w:rsidR="00AF673C" w:rsidRDefault="00000000">
            <w:pPr>
              <w:jc w:val="center"/>
            </w:pPr>
            <w:r>
              <w:rPr>
                <w:sz w:val="20"/>
              </w:rPr>
              <w:t>111</w:t>
            </w:r>
          </w:p>
        </w:tc>
      </w:tr>
      <w:tr w:rsidR="00AF673C" w14:paraId="5B6A0742" w14:textId="77777777">
        <w:trPr>
          <w:jc w:val="center"/>
        </w:trPr>
        <w:tc>
          <w:tcPr>
            <w:tcW w:w="1728" w:type="dxa"/>
          </w:tcPr>
          <w:p w14:paraId="5DB2B6F4" w14:textId="77777777" w:rsidR="00AF673C" w:rsidRDefault="00000000">
            <w:pPr>
              <w:jc w:val="center"/>
            </w:pPr>
            <w:r>
              <w:rPr>
                <w:sz w:val="20"/>
              </w:rPr>
              <w:t>Global Avg</w:t>
            </w:r>
          </w:p>
        </w:tc>
        <w:tc>
          <w:tcPr>
            <w:tcW w:w="1728" w:type="dxa"/>
          </w:tcPr>
          <w:p w14:paraId="2C2186AF" w14:textId="77777777" w:rsidR="00AF673C" w:rsidRDefault="00000000">
            <w:pPr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w="1728" w:type="dxa"/>
          </w:tcPr>
          <w:p w14:paraId="1D38AB76" w14:textId="77777777" w:rsidR="00AF673C" w:rsidRDefault="00000000">
            <w:pPr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w="1728" w:type="dxa"/>
          </w:tcPr>
          <w:p w14:paraId="22169713" w14:textId="77777777" w:rsidR="00AF673C" w:rsidRDefault="00000000">
            <w:pPr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w="1728" w:type="dxa"/>
          </w:tcPr>
          <w:p w14:paraId="57AE7923" w14:textId="77777777" w:rsidR="00AF673C" w:rsidRDefault="00000000">
            <w:pPr>
              <w:jc w:val="center"/>
            </w:pPr>
            <w:r>
              <w:rPr>
                <w:sz w:val="20"/>
              </w:rPr>
              <w:t>674</w:t>
            </w:r>
          </w:p>
        </w:tc>
      </w:tr>
    </w:tbl>
    <w:p w14:paraId="0DA55D20" w14:textId="77777777" w:rsidR="00AF673C" w:rsidRDefault="00000000">
      <w:pPr>
        <w:pStyle w:val="Caption"/>
        <w:jc w:val="center"/>
      </w:pPr>
      <w:r>
        <w:rPr>
          <w:i/>
        </w:rPr>
        <w:t>Table 1: Classification Performance.</w:t>
      </w:r>
    </w:p>
    <w:p w14:paraId="1BF2488E" w14:textId="77777777" w:rsidR="00AF673C" w:rsidRDefault="00AF673C"/>
    <w:p w14:paraId="38D61E58" w14:textId="77777777" w:rsidR="00AF673C" w:rsidRDefault="00000000">
      <w:pPr>
        <w:pStyle w:val="Heading2"/>
      </w:pPr>
      <w:r>
        <w:t>4.4 Regression (90-Day Spend)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673C" w14:paraId="510FB3B6" w14:textId="77777777">
        <w:trPr>
          <w:jc w:val="center"/>
        </w:trPr>
        <w:tc>
          <w:tcPr>
            <w:tcW w:w="2160" w:type="dxa"/>
            <w:shd w:val="clear" w:color="auto" w:fill="E7E6E6"/>
          </w:tcPr>
          <w:p w14:paraId="0956D6A3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E7E6E6"/>
          </w:tcPr>
          <w:p w14:paraId="6374D553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Full Dataset (Raw)</w:t>
            </w:r>
          </w:p>
        </w:tc>
        <w:tc>
          <w:tcPr>
            <w:tcW w:w="2160" w:type="dxa"/>
            <w:shd w:val="clear" w:color="auto" w:fill="E7E6E6"/>
          </w:tcPr>
          <w:p w14:paraId="1428AE24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Core Data (99%)</w:t>
            </w:r>
          </w:p>
        </w:tc>
        <w:tc>
          <w:tcPr>
            <w:tcW w:w="2160" w:type="dxa"/>
            <w:shd w:val="clear" w:color="auto" w:fill="E7E6E6"/>
          </w:tcPr>
          <w:p w14:paraId="77AD5E83" w14:textId="77777777" w:rsidR="00AF673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Improvement vs Baseline</w:t>
            </w:r>
          </w:p>
        </w:tc>
      </w:tr>
      <w:tr w:rsidR="00AF673C" w14:paraId="123DCC62" w14:textId="77777777">
        <w:trPr>
          <w:jc w:val="center"/>
        </w:trPr>
        <w:tc>
          <w:tcPr>
            <w:tcW w:w="2160" w:type="dxa"/>
          </w:tcPr>
          <w:p w14:paraId="626E2B27" w14:textId="77777777" w:rsidR="00AF673C" w:rsidRDefault="00000000">
            <w:pPr>
              <w:jc w:val="center"/>
            </w:pPr>
            <w:r>
              <w:rPr>
                <w:sz w:val="20"/>
              </w:rPr>
              <w:t>MAE ($)</w:t>
            </w:r>
          </w:p>
        </w:tc>
        <w:tc>
          <w:tcPr>
            <w:tcW w:w="2160" w:type="dxa"/>
          </w:tcPr>
          <w:p w14:paraId="377A4F6F" w14:textId="77777777" w:rsidR="00AF673C" w:rsidRDefault="00000000">
            <w:pPr>
              <w:jc w:val="center"/>
            </w:pPr>
            <w:r>
              <w:rPr>
                <w:sz w:val="20"/>
              </w:rPr>
              <w:t>909.00</w:t>
            </w:r>
          </w:p>
        </w:tc>
        <w:tc>
          <w:tcPr>
            <w:tcW w:w="2160" w:type="dxa"/>
          </w:tcPr>
          <w:p w14:paraId="6A462E1D" w14:textId="77777777" w:rsidR="00AF673C" w:rsidRDefault="00000000">
            <w:pPr>
              <w:jc w:val="center"/>
            </w:pPr>
            <w:r>
              <w:rPr>
                <w:sz w:val="20"/>
              </w:rPr>
              <w:t>417.39</w:t>
            </w:r>
          </w:p>
        </w:tc>
        <w:tc>
          <w:tcPr>
            <w:tcW w:w="2160" w:type="dxa"/>
          </w:tcPr>
          <w:p w14:paraId="2163F1BE" w14:textId="77777777" w:rsidR="00AF673C" w:rsidRDefault="00000000">
            <w:pPr>
              <w:jc w:val="center"/>
            </w:pPr>
            <w:r>
              <w:rPr>
                <w:sz w:val="20"/>
              </w:rPr>
              <w:t>+29.4%</w:t>
            </w:r>
          </w:p>
        </w:tc>
      </w:tr>
      <w:tr w:rsidR="00AF673C" w14:paraId="6E648CED" w14:textId="77777777">
        <w:trPr>
          <w:jc w:val="center"/>
        </w:trPr>
        <w:tc>
          <w:tcPr>
            <w:tcW w:w="2160" w:type="dxa"/>
          </w:tcPr>
          <w:p w14:paraId="67D69494" w14:textId="77777777" w:rsidR="00AF673C" w:rsidRDefault="00000000">
            <w:pPr>
              <w:jc w:val="center"/>
            </w:pPr>
            <w:r>
              <w:rPr>
                <w:sz w:val="20"/>
              </w:rPr>
              <w:t>RMSE ($)</w:t>
            </w:r>
          </w:p>
        </w:tc>
        <w:tc>
          <w:tcPr>
            <w:tcW w:w="2160" w:type="dxa"/>
          </w:tcPr>
          <w:p w14:paraId="2E0EEED3" w14:textId="77777777" w:rsidR="00AF673C" w:rsidRDefault="00000000">
            <w:pPr>
              <w:jc w:val="center"/>
            </w:pPr>
            <w:r>
              <w:rPr>
                <w:sz w:val="20"/>
              </w:rPr>
              <w:t>7540.48</w:t>
            </w:r>
          </w:p>
        </w:tc>
        <w:tc>
          <w:tcPr>
            <w:tcW w:w="2160" w:type="dxa"/>
          </w:tcPr>
          <w:p w14:paraId="0DECCE33" w14:textId="77777777" w:rsidR="00AF673C" w:rsidRDefault="00000000">
            <w:pPr>
              <w:jc w:val="center"/>
            </w:pPr>
            <w:r>
              <w:rPr>
                <w:sz w:val="20"/>
              </w:rPr>
              <w:t>785.38</w:t>
            </w:r>
          </w:p>
        </w:tc>
        <w:tc>
          <w:tcPr>
            <w:tcW w:w="2160" w:type="dxa"/>
          </w:tcPr>
          <w:p w14:paraId="50AF412F" w14:textId="77777777" w:rsidR="00AF673C" w:rsidRDefault="00000000">
            <w:pPr>
              <w:jc w:val="center"/>
            </w:pPr>
            <w:r>
              <w:rPr>
                <w:sz w:val="20"/>
              </w:rPr>
              <w:t>--</w:t>
            </w:r>
          </w:p>
        </w:tc>
      </w:tr>
      <w:tr w:rsidR="00AF673C" w14:paraId="2CE0CE2A" w14:textId="77777777">
        <w:trPr>
          <w:jc w:val="center"/>
        </w:trPr>
        <w:tc>
          <w:tcPr>
            <w:tcW w:w="2160" w:type="dxa"/>
          </w:tcPr>
          <w:p w14:paraId="227F4CAC" w14:textId="77777777" w:rsidR="00AF673C" w:rsidRDefault="00000000">
            <w:pPr>
              <w:jc w:val="center"/>
            </w:pPr>
            <w:r>
              <w:rPr>
                <w:sz w:val="20"/>
              </w:rPr>
              <w:t>Spearman</w:t>
            </w:r>
          </w:p>
        </w:tc>
        <w:tc>
          <w:tcPr>
            <w:tcW w:w="2160" w:type="dxa"/>
          </w:tcPr>
          <w:p w14:paraId="08AD1D9B" w14:textId="77777777" w:rsidR="00AF673C" w:rsidRDefault="00000000">
            <w:pPr>
              <w:jc w:val="center"/>
            </w:pPr>
            <w:r>
              <w:rPr>
                <w:sz w:val="20"/>
              </w:rPr>
              <w:t>0.51</w:t>
            </w:r>
          </w:p>
        </w:tc>
        <w:tc>
          <w:tcPr>
            <w:tcW w:w="2160" w:type="dxa"/>
          </w:tcPr>
          <w:p w14:paraId="745582D8" w14:textId="77777777" w:rsidR="00AF673C" w:rsidRDefault="00000000">
            <w:pPr>
              <w:jc w:val="center"/>
            </w:pPr>
            <w:r>
              <w:rPr>
                <w:sz w:val="20"/>
              </w:rPr>
              <w:t>0.51</w:t>
            </w:r>
          </w:p>
        </w:tc>
        <w:tc>
          <w:tcPr>
            <w:tcW w:w="2160" w:type="dxa"/>
          </w:tcPr>
          <w:p w14:paraId="0F8999E0" w14:textId="77777777" w:rsidR="00AF673C" w:rsidRDefault="00000000">
            <w:pPr>
              <w:jc w:val="center"/>
            </w:pPr>
            <w:r>
              <w:rPr>
                <w:sz w:val="20"/>
              </w:rPr>
              <w:t>--</w:t>
            </w:r>
          </w:p>
        </w:tc>
      </w:tr>
    </w:tbl>
    <w:p w14:paraId="4751E60B" w14:textId="77777777" w:rsidR="00AF673C" w:rsidRDefault="00000000">
      <w:pPr>
        <w:pStyle w:val="Caption"/>
        <w:jc w:val="center"/>
      </w:pPr>
      <w:r>
        <w:rPr>
          <w:i/>
        </w:rPr>
        <w:t>Table 2: Regression Error Metrics.</w:t>
      </w:r>
    </w:p>
    <w:p w14:paraId="2BF30419" w14:textId="77777777" w:rsidR="00AF673C" w:rsidRDefault="00AF673C"/>
    <w:p w14:paraId="24F0ED3A" w14:textId="77777777" w:rsidR="00AF673C" w:rsidRDefault="00000000">
      <w:pPr>
        <w:pStyle w:val="Heading1"/>
      </w:pPr>
      <w:r>
        <w:lastRenderedPageBreak/>
        <w:t>5. Interpretability &amp; Explainable AI (XAI)</w:t>
      </w:r>
    </w:p>
    <w:p w14:paraId="49C9A21C" w14:textId="77777777" w:rsidR="00AF673C" w:rsidRDefault="00000000">
      <w:r>
        <w:t>We utilized SHAP (SHapley Additive exPlanations) to validate feature behavior.</w:t>
      </w:r>
    </w:p>
    <w:p w14:paraId="575CF66B" w14:textId="77777777" w:rsidR="00AF673C" w:rsidRDefault="00000000">
      <w:pPr>
        <w:pStyle w:val="Heading2"/>
      </w:pPr>
      <w:r>
        <w:t>5.1 Drivers of Risk</w:t>
      </w:r>
    </w:p>
    <w:p w14:paraId="24665671" w14:textId="77777777" w:rsidR="00AF673C" w:rsidRDefault="00000000">
      <w:r>
        <w:t>As shown below, 'Recency' is the primary driver, but 'Velocity Drift' is the critical secondary confirmation distinguishing dormancy from churn.</w:t>
      </w:r>
    </w:p>
    <w:p w14:paraId="050EF24A" w14:textId="77777777" w:rsidR="00AF673C" w:rsidRDefault="00000000">
      <w:r>
        <w:rPr>
          <w:noProof/>
        </w:rPr>
        <w:drawing>
          <wp:inline distT="0" distB="0" distL="0" distR="0" wp14:anchorId="05E06504" wp14:editId="0C8FFE15">
            <wp:extent cx="5486400" cy="31876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d58a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AE11" w14:textId="77777777" w:rsidR="00AF673C" w:rsidRDefault="00000000">
      <w:pPr>
        <w:pStyle w:val="Caption"/>
        <w:jc w:val="center"/>
      </w:pPr>
      <w:r>
        <w:rPr>
          <w:i/>
        </w:rPr>
        <w:t>Figure: Top Drivers for 'At-Risk' Segment Classification.</w:t>
      </w:r>
    </w:p>
    <w:p w14:paraId="092F89F6" w14:textId="77777777" w:rsidR="00AF673C" w:rsidRDefault="00000000">
      <w:pPr>
        <w:pStyle w:val="Heading2"/>
      </w:pPr>
      <w:r>
        <w:lastRenderedPageBreak/>
        <w:t>5.2 Global Interaction Effects</w:t>
      </w:r>
    </w:p>
    <w:p w14:paraId="7FCC564A" w14:textId="77777777" w:rsidR="00AF673C" w:rsidRDefault="00000000">
      <w:r>
        <w:rPr>
          <w:noProof/>
        </w:rPr>
        <w:drawing>
          <wp:inline distT="0" distB="0" distL="0" distR="0" wp14:anchorId="0B1324E1" wp14:editId="787A7685">
            <wp:extent cx="5486400" cy="32747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d5b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05D" w14:textId="77777777" w:rsidR="00AF673C" w:rsidRDefault="00000000">
      <w:pPr>
        <w:pStyle w:val="Caption"/>
        <w:jc w:val="center"/>
      </w:pPr>
      <w:r>
        <w:rPr>
          <w:i/>
        </w:rPr>
        <w:t>Figure: SHAP Beeswarm Plot. Note the dispersion in Velocity_Drift (purple) modifying the output.</w:t>
      </w:r>
    </w:p>
    <w:p w14:paraId="6272E6CF" w14:textId="77777777" w:rsidR="00AF673C" w:rsidRDefault="00000000">
      <w:pPr>
        <w:pStyle w:val="Heading1"/>
      </w:pPr>
      <w:r>
        <w:t>6. Generative Decision Support Layer</w:t>
      </w:r>
    </w:p>
    <w:p w14:paraId="6D0D8A08" w14:textId="77777777" w:rsidR="00AF673C" w:rsidRDefault="00000000">
      <w:r>
        <w:t>The LLM layer functions as a reasoning interface. To demonstrate its input, we visualize a single customer instance below.</w:t>
      </w:r>
    </w:p>
    <w:p w14:paraId="3B755842" w14:textId="77777777" w:rsidR="00AF673C" w:rsidRDefault="00000000">
      <w:r>
        <w:rPr>
          <w:noProof/>
        </w:rPr>
        <w:drawing>
          <wp:inline distT="0" distB="0" distL="0" distR="0" wp14:anchorId="0D21C1A8" wp14:editId="630F0EE3">
            <wp:extent cx="5486400" cy="1252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d5b4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9F7D" w14:textId="77777777" w:rsidR="00AF673C" w:rsidRDefault="00000000">
      <w:pPr>
        <w:pStyle w:val="Caption"/>
        <w:jc w:val="center"/>
      </w:pPr>
      <w:r>
        <w:rPr>
          <w:i/>
        </w:rPr>
        <w:t>Figure: Instance-level Force Plot. This vector profile serves as the prompt context for the LLM.</w:t>
      </w:r>
    </w:p>
    <w:p w14:paraId="483E4B23" w14:textId="77777777" w:rsidR="00AF673C" w:rsidRDefault="00000000">
      <w:pPr>
        <w:pStyle w:val="Heading2"/>
      </w:pPr>
      <w:r>
        <w:t>6.1 Output Generation</w:t>
      </w:r>
    </w:p>
    <w:p w14:paraId="18D5578E" w14:textId="77777777" w:rsidR="00AF673C" w:rsidRDefault="00000000">
      <w:pPr>
        <w:ind w:left="720"/>
      </w:pPr>
      <w:r>
        <w:rPr>
          <w:rFonts w:ascii="Courier New" w:hAnsi="Courier New"/>
          <w:sz w:val="20"/>
        </w:rPr>
        <w:t>SYSTEM OUTPUT:</w:t>
      </w:r>
      <w:r>
        <w:rPr>
          <w:rFonts w:ascii="Courier New" w:hAnsi="Courier New"/>
          <w:sz w:val="20"/>
        </w:rPr>
        <w:br/>
        <w:t>THE SIGNAL: Falling VIP. Historical value is high, but Velocity Drift is negative (-0.5).</w:t>
      </w:r>
      <w:r>
        <w:rPr>
          <w:rFonts w:ascii="Courier New" w:hAnsi="Courier New"/>
          <w:sz w:val="20"/>
        </w:rPr>
        <w:br/>
        <w:t>THE TACTIC: Personal Concierge Outreach. ROI is positive (+$145).</w:t>
      </w:r>
    </w:p>
    <w:p w14:paraId="4B8CB442" w14:textId="77777777" w:rsidR="00AF673C" w:rsidRDefault="00000000">
      <w:pPr>
        <w:pStyle w:val="Heading2"/>
      </w:pPr>
      <w:r>
        <w:t>6.2 Limitations</w:t>
      </w:r>
    </w:p>
    <w:p w14:paraId="6FEC215D" w14:textId="77777777" w:rsidR="00AF673C" w:rsidRDefault="00000000">
      <w:r>
        <w:t>This study did not quantitatively evaluate the downstream efficacy of the LLM's advice via A/B testing. The generative module is presented here as an architectural proposal for decision support.</w:t>
      </w:r>
    </w:p>
    <w:p w14:paraId="50C8E15F" w14:textId="77777777" w:rsidR="00AF673C" w:rsidRDefault="00000000">
      <w:pPr>
        <w:pStyle w:val="Heading1"/>
      </w:pPr>
      <w:r>
        <w:lastRenderedPageBreak/>
        <w:t>7. Conclusion</w:t>
      </w:r>
    </w:p>
    <w:p w14:paraId="457AEBA1" w14:textId="77777777" w:rsidR="00AF673C" w:rsidRDefault="00000000">
      <w:r>
        <w:t>A key finding is that higher-order features primarily improve **Ranking Quality** (Spearman 0.56) rather than point estimates, aligning with the operational reality where prioritizing the right customers is more critical than predicting exact dollar amounts.</w:t>
      </w:r>
    </w:p>
    <w:sectPr w:rsidR="00AF67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920203">
    <w:abstractNumId w:val="8"/>
  </w:num>
  <w:num w:numId="2" w16cid:durableId="2055998653">
    <w:abstractNumId w:val="6"/>
  </w:num>
  <w:num w:numId="3" w16cid:durableId="1840922421">
    <w:abstractNumId w:val="5"/>
  </w:num>
  <w:num w:numId="4" w16cid:durableId="927545604">
    <w:abstractNumId w:val="4"/>
  </w:num>
  <w:num w:numId="5" w16cid:durableId="10230450">
    <w:abstractNumId w:val="7"/>
  </w:num>
  <w:num w:numId="6" w16cid:durableId="840394035">
    <w:abstractNumId w:val="3"/>
  </w:num>
  <w:num w:numId="7" w16cid:durableId="1019282251">
    <w:abstractNumId w:val="2"/>
  </w:num>
  <w:num w:numId="8" w16cid:durableId="85930735">
    <w:abstractNumId w:val="1"/>
  </w:num>
  <w:num w:numId="9" w16cid:durableId="212187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673C"/>
    <w:rsid w:val="00B47730"/>
    <w:rsid w:val="00CB0664"/>
    <w:rsid w:val="00E96C04"/>
    <w:rsid w:val="00EB6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3C170"/>
  <w14:defaultImageDpi w14:val="300"/>
  <w15:docId w15:val="{337154CC-555F-4ACB-96FF-508DE556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Naik</cp:lastModifiedBy>
  <cp:revision>2</cp:revision>
  <dcterms:created xsi:type="dcterms:W3CDTF">2013-12-23T23:15:00Z</dcterms:created>
  <dcterms:modified xsi:type="dcterms:W3CDTF">2026-01-09T14:15:00Z</dcterms:modified>
  <cp:category/>
</cp:coreProperties>
</file>