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46A2" w:rsidRPr="007546A2" w:rsidRDefault="007546A2" w:rsidP="007546A2">
      <w:pPr>
        <w:pStyle w:val="Default"/>
        <w:suppressAutoHyphens/>
        <w:spacing w:before="0" w:after="281" w:line="240" w:lineRule="auto"/>
        <w:jc w:val="center"/>
        <w:rPr>
          <w:rFonts w:ascii="Arial" w:hAnsi="Arial" w:cs="Arial"/>
          <w:sz w:val="32"/>
          <w:szCs w:val="32"/>
          <w:lang w:val="en-IN"/>
        </w:rPr>
      </w:pPr>
      <w:r w:rsidRPr="007546A2">
        <w:rPr>
          <w:rFonts w:ascii="Arial" w:hAnsi="Arial" w:cs="Arial"/>
          <w:sz w:val="32"/>
          <w:szCs w:val="32"/>
        </w:rPr>
        <w:t>Fintech Domain:</w:t>
      </w:r>
    </w:p>
    <w:p w:rsidR="00A95099" w:rsidRPr="007546A2" w:rsidRDefault="002249E2" w:rsidP="00DC7476">
      <w:pPr>
        <w:pStyle w:val="Default"/>
        <w:numPr>
          <w:ilvl w:val="0"/>
          <w:numId w:val="5"/>
        </w:numPr>
        <w:suppressAutoHyphens/>
        <w:spacing w:before="0" w:after="281" w:line="240" w:lineRule="auto"/>
        <w:jc w:val="center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Automated Corporate Risk Radar</w:t>
      </w:r>
    </w:p>
    <w:p w:rsidR="00A95099" w:rsidRPr="007546A2" w:rsidRDefault="002249E2">
      <w:pPr>
        <w:pStyle w:val="Default"/>
        <w:suppressAutoHyphens/>
        <w:spacing w:before="0" w:after="319" w:line="240" w:lineRule="auto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Background</w:t>
      </w:r>
      <w:bookmarkStart w:id="0" w:name="_GoBack"/>
      <w:bookmarkEnd w:id="0"/>
    </w:p>
    <w:p w:rsidR="00A95099" w:rsidRPr="007546A2" w:rsidRDefault="002249E2">
      <w:pPr>
        <w:pStyle w:val="Default"/>
        <w:suppressAutoHyphens/>
        <w:spacing w:before="0" w:after="240" w:line="240" w:lineRule="auto"/>
        <w:rPr>
          <w:rFonts w:ascii="Arial" w:eastAsia="Times Roman" w:hAnsi="Arial" w:cs="Arial"/>
          <w:sz w:val="22"/>
          <w:szCs w:val="22"/>
        </w:rPr>
      </w:pPr>
      <w:r w:rsidRPr="007546A2">
        <w:rPr>
          <w:rFonts w:ascii="Arial" w:hAnsi="Arial" w:cs="Arial"/>
          <w:sz w:val="22"/>
          <w:szCs w:val="22"/>
        </w:rPr>
        <w:t>Financial analysts spend hours reading hundreds of public regulatory complaints, earnings call transcripts, and news items to spot companies heading into trouble. Most of this material is unstructured and</w:t>
      </w:r>
      <w:r w:rsidRPr="007546A2">
        <w:rPr>
          <w:rFonts w:ascii="Arial" w:hAnsi="Arial" w:cs="Arial"/>
          <w:sz w:val="22"/>
          <w:szCs w:val="22"/>
        </w:rPr>
        <w:t xml:space="preserve"> noisy, and the few items that signal serious legal or operational risk are easy to miss. By the time a pattern is noticed, the risk may already have escalated.</w:t>
      </w:r>
    </w:p>
    <w:p w:rsidR="00A95099" w:rsidRPr="007546A2" w:rsidRDefault="002249E2">
      <w:pPr>
        <w:pStyle w:val="Default"/>
        <w:suppressAutoHyphens/>
        <w:spacing w:before="0" w:after="319" w:line="240" w:lineRule="auto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Challenge</w:t>
      </w:r>
    </w:p>
    <w:p w:rsidR="00A95099" w:rsidRPr="007546A2" w:rsidRDefault="002249E2">
      <w:pPr>
        <w:pStyle w:val="Default"/>
        <w:suppressAutoHyphens/>
        <w:spacing w:before="0" w:after="240" w:line="240" w:lineRule="auto"/>
        <w:rPr>
          <w:rFonts w:ascii="Arial" w:eastAsia="Times Roman" w:hAnsi="Arial" w:cs="Arial"/>
          <w:sz w:val="22"/>
          <w:szCs w:val="22"/>
        </w:rPr>
      </w:pPr>
      <w:r w:rsidRPr="007546A2">
        <w:rPr>
          <w:rFonts w:ascii="Arial" w:hAnsi="Arial" w:cs="Arial"/>
          <w:sz w:val="22"/>
          <w:szCs w:val="22"/>
        </w:rPr>
        <w:t xml:space="preserve">Build an </w:t>
      </w:r>
      <w:r w:rsidRPr="007546A2">
        <w:rPr>
          <w:rFonts w:ascii="Arial" w:hAnsi="Arial" w:cs="Arial"/>
          <w:b/>
          <w:bCs/>
          <w:sz w:val="22"/>
          <w:szCs w:val="22"/>
        </w:rPr>
        <w:t>Automated Corporate Risk Radar</w:t>
      </w:r>
      <w:r w:rsidRPr="007546A2">
        <w:rPr>
          <w:rFonts w:ascii="Arial" w:hAnsi="Arial" w:cs="Arial"/>
          <w:sz w:val="22"/>
          <w:szCs w:val="22"/>
        </w:rPr>
        <w:t>: an end-to-end system that takes a continuous</w:t>
      </w:r>
      <w:r w:rsidRPr="007546A2">
        <w:rPr>
          <w:rFonts w:ascii="Arial" w:hAnsi="Arial" w:cs="Arial"/>
          <w:sz w:val="22"/>
          <w:szCs w:val="22"/>
        </w:rPr>
        <w:t xml:space="preserve"> stream of raw complaint and news text, identifies what is genuinely high-risk, and shows analysts in real time how each company</w:t>
      </w:r>
      <w:r w:rsidRPr="007546A2">
        <w:rPr>
          <w:rFonts w:ascii="Arial" w:hAnsi="Arial" w:cs="Arial"/>
          <w:sz w:val="22"/>
          <w:szCs w:val="22"/>
          <w:rtl/>
          <w:cs/>
        </w:rPr>
        <w:t>’</w:t>
      </w:r>
      <w:r w:rsidRPr="007546A2">
        <w:rPr>
          <w:rFonts w:ascii="Arial" w:hAnsi="Arial" w:cs="Arial"/>
          <w:sz w:val="22"/>
          <w:szCs w:val="22"/>
        </w:rPr>
        <w:t>s risk profile is changing and why.</w:t>
      </w:r>
    </w:p>
    <w:p w:rsidR="00A95099" w:rsidRPr="007546A2" w:rsidRDefault="002249E2">
      <w:pPr>
        <w:pStyle w:val="Default"/>
        <w:suppressAutoHyphens/>
        <w:spacing w:before="0" w:after="319" w:line="240" w:lineRule="auto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Expected Capabilities</w:t>
      </w:r>
    </w:p>
    <w:p w:rsidR="00A95099" w:rsidRPr="007546A2" w:rsidRDefault="002249E2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Arial" w:hAnsi="Arial" w:cs="Arial"/>
          <w:sz w:val="22"/>
          <w:szCs w:val="22"/>
          <w:lang w:val="de-DE"/>
        </w:rPr>
      </w:pPr>
      <w:r w:rsidRPr="007546A2">
        <w:rPr>
          <w:rFonts w:ascii="Arial" w:hAnsi="Arial" w:cs="Arial"/>
          <w:b/>
          <w:bCs/>
          <w:sz w:val="22"/>
          <w:szCs w:val="22"/>
          <w:lang w:val="de-DE"/>
        </w:rPr>
        <w:t>Ingest</w:t>
      </w:r>
      <w:r w:rsidRPr="007546A2">
        <w:rPr>
          <w:rFonts w:ascii="Arial" w:hAnsi="Arial" w:cs="Arial"/>
          <w:sz w:val="22"/>
          <w:szCs w:val="22"/>
        </w:rPr>
        <w:t xml:space="preserve"> a continuous stream of unstructured news and complaint text ab</w:t>
      </w:r>
      <w:r w:rsidRPr="007546A2">
        <w:rPr>
          <w:rFonts w:ascii="Arial" w:hAnsi="Arial" w:cs="Arial"/>
          <w:sz w:val="22"/>
          <w:szCs w:val="22"/>
        </w:rPr>
        <w:t>out multiple companies.</w:t>
      </w:r>
    </w:p>
    <w:p w:rsidR="00A95099" w:rsidRPr="007546A2" w:rsidRDefault="002249E2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Arial" w:hAnsi="Arial" w:cs="Arial"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Flag</w:t>
      </w:r>
      <w:r w:rsidRPr="007546A2">
        <w:rPr>
          <w:rFonts w:ascii="Arial" w:hAnsi="Arial" w:cs="Arial"/>
          <w:sz w:val="22"/>
          <w:szCs w:val="22"/>
        </w:rPr>
        <w:t xml:space="preserve"> items that point to serious legal, operational, or compliance threats, and separate them from general noise.</w:t>
      </w:r>
    </w:p>
    <w:p w:rsidR="00A95099" w:rsidRPr="007546A2" w:rsidRDefault="002249E2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Arial" w:hAnsi="Arial" w:cs="Arial"/>
          <w:sz w:val="22"/>
          <w:szCs w:val="22"/>
          <w:lang w:val="de-DE"/>
        </w:rPr>
      </w:pPr>
      <w:r w:rsidRPr="007546A2">
        <w:rPr>
          <w:rFonts w:ascii="Arial" w:hAnsi="Arial" w:cs="Arial"/>
          <w:b/>
          <w:bCs/>
          <w:sz w:val="22"/>
          <w:szCs w:val="22"/>
          <w:lang w:val="de-DE"/>
        </w:rPr>
        <w:t>Compute</w:t>
      </w:r>
      <w:r w:rsidRPr="007546A2">
        <w:rPr>
          <w:rFonts w:ascii="Arial" w:hAnsi="Arial" w:cs="Arial"/>
          <w:sz w:val="22"/>
          <w:szCs w:val="22"/>
        </w:rPr>
        <w:t xml:space="preserve"> a rolling </w:t>
      </w:r>
      <w:r w:rsidRPr="007546A2">
        <w:rPr>
          <w:rFonts w:ascii="Arial" w:hAnsi="Arial" w:cs="Arial"/>
          <w:b/>
          <w:bCs/>
          <w:sz w:val="22"/>
          <w:szCs w:val="22"/>
        </w:rPr>
        <w:t>Corporate Risk Index</w:t>
      </w:r>
      <w:r w:rsidRPr="007546A2">
        <w:rPr>
          <w:rFonts w:ascii="Arial" w:hAnsi="Arial" w:cs="Arial"/>
          <w:sz w:val="22"/>
          <w:szCs w:val="22"/>
        </w:rPr>
        <w:t xml:space="preserve"> for each company that moves as new information arrives.</w:t>
      </w:r>
    </w:p>
    <w:p w:rsidR="00A95099" w:rsidRPr="007546A2" w:rsidRDefault="002249E2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Arial" w:hAnsi="Arial" w:cs="Arial"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Explain</w:t>
      </w:r>
      <w:r w:rsidRPr="007546A2">
        <w:rPr>
          <w:rFonts w:ascii="Arial" w:hAnsi="Arial" w:cs="Arial"/>
          <w:sz w:val="22"/>
          <w:szCs w:val="22"/>
        </w:rPr>
        <w:t xml:space="preserve"> in plain langua</w:t>
      </w:r>
      <w:r w:rsidRPr="007546A2">
        <w:rPr>
          <w:rFonts w:ascii="Arial" w:hAnsi="Arial" w:cs="Arial"/>
          <w:sz w:val="22"/>
          <w:szCs w:val="22"/>
        </w:rPr>
        <w:t>ge why a company</w:t>
      </w:r>
      <w:r w:rsidRPr="007546A2">
        <w:rPr>
          <w:rFonts w:ascii="Arial" w:hAnsi="Arial" w:cs="Arial"/>
          <w:sz w:val="22"/>
          <w:szCs w:val="22"/>
          <w:rtl/>
          <w:cs/>
        </w:rPr>
        <w:t>’</w:t>
      </w:r>
      <w:r w:rsidRPr="007546A2">
        <w:rPr>
          <w:rFonts w:ascii="Arial" w:hAnsi="Arial" w:cs="Arial"/>
          <w:sz w:val="22"/>
          <w:szCs w:val="22"/>
        </w:rPr>
        <w:t>s risk is rising, supported by relevant context from that company</w:t>
      </w:r>
      <w:r w:rsidRPr="007546A2">
        <w:rPr>
          <w:rFonts w:ascii="Arial" w:hAnsi="Arial" w:cs="Arial"/>
          <w:sz w:val="22"/>
          <w:szCs w:val="22"/>
          <w:rtl/>
          <w:cs/>
        </w:rPr>
        <w:t>’</w:t>
      </w:r>
      <w:r w:rsidRPr="007546A2">
        <w:rPr>
          <w:rFonts w:ascii="Arial" w:hAnsi="Arial" w:cs="Arial"/>
          <w:sz w:val="22"/>
          <w:szCs w:val="22"/>
        </w:rPr>
        <w:t>s history.</w:t>
      </w:r>
    </w:p>
    <w:p w:rsidR="00A95099" w:rsidRPr="007546A2" w:rsidRDefault="002249E2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Arial" w:hAnsi="Arial" w:cs="Arial"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Display a live Risk Scoreboard dashboard covering five target companies.</w:t>
      </w:r>
      <w:r w:rsidRPr="007546A2">
        <w:rPr>
          <w:rFonts w:ascii="Arial" w:hAnsi="Arial" w:cs="Arial"/>
          <w:sz w:val="22"/>
          <w:szCs w:val="22"/>
        </w:rPr>
      </w:r>
      <w:r w:rsidRPr="007546A2">
        <w:rPr>
          <w:rFonts w:ascii="Arial" w:hAnsi="Arial" w:cs="Arial"/>
          <w:b/>
          <w:bCs/>
          <w:sz w:val="22"/>
          <w:szCs w:val="22"/>
        </w:rPr>
      </w:r>
      <w:r w:rsidRPr="007546A2">
        <w:rPr>
          <w:rFonts w:ascii="Arial" w:hAnsi="Arial" w:cs="Arial"/>
          <w:sz w:val="22"/>
          <w:szCs w:val="22"/>
        </w:rPr>
      </w:r>
      <w:r w:rsidRPr="007546A2">
        <w:rPr>
          <w:rFonts w:ascii="Arial" w:hAnsi="Arial" w:cs="Arial"/>
          <w:b/>
          <w:bCs/>
          <w:sz w:val="22"/>
          <w:szCs w:val="22"/>
        </w:rPr>
      </w:r>
      <w:r w:rsidRPr="007546A2">
        <w:rPr>
          <w:rFonts w:ascii="Arial" w:hAnsi="Arial" w:cs="Arial"/>
          <w:sz w:val="22"/>
          <w:szCs w:val="22"/>
        </w:rPr>
      </w:r>
    </w:p>
    <w:p w:rsidR="007546A2" w:rsidRDefault="007546A2">
      <w:pPr>
        <w:pStyle w:val="Default"/>
        <w:suppressAutoHyphens/>
        <w:spacing w:before="0" w:after="319" w:line="240" w:lineRule="auto"/>
        <w:rPr>
          <w:rFonts w:ascii="Arial" w:hAnsi="Arial" w:cs="Arial"/>
          <w:b/>
          <w:bCs/>
          <w:sz w:val="22"/>
          <w:szCs w:val="22"/>
        </w:rPr>
      </w:pPr>
    </w:p>
    <w:p w:rsidR="00A95099" w:rsidRPr="007546A2" w:rsidRDefault="002249E2">
      <w:pPr>
        <w:pStyle w:val="Default"/>
        <w:suppressAutoHyphens/>
        <w:spacing w:before="0" w:after="319" w:line="240" w:lineRule="auto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Desired Outcome</w:t>
      </w:r>
    </w:p>
    <w:p w:rsidR="00A95099" w:rsidRPr="007546A2" w:rsidRDefault="002249E2">
      <w:pPr>
        <w:pStyle w:val="Default"/>
        <w:suppressAutoHyphens/>
        <w:spacing w:before="0" w:after="240" w:line="240" w:lineRule="auto"/>
        <w:rPr>
          <w:rFonts w:ascii="Arial" w:eastAsia="Times Roman" w:hAnsi="Arial" w:cs="Arial"/>
          <w:sz w:val="22"/>
          <w:szCs w:val="22"/>
        </w:rPr>
      </w:pPr>
      <w:r w:rsidRPr="007546A2">
        <w:rPr>
          <w:rFonts w:ascii="Arial" w:hAnsi="Arial" w:cs="Arial"/>
          <w:sz w:val="22"/>
          <w:szCs w:val="22"/>
        </w:rPr>
        <w:t>An analyst can open one screen, see which companies are becoming riskier, an</w:t>
      </w:r>
      <w:r w:rsidRPr="007546A2">
        <w:rPr>
          <w:rFonts w:ascii="Arial" w:hAnsi="Arial" w:cs="Arial"/>
          <w:sz w:val="22"/>
          <w:szCs w:val="22"/>
        </w:rPr>
        <w:t>d understand the reasons within seconds, without reading the underlying documents.</w:t>
      </w:r>
    </w:p>
    <w:p w:rsidR="00A95099" w:rsidRPr="007546A2" w:rsidRDefault="002249E2">
      <w:pPr>
        <w:pStyle w:val="Default"/>
        <w:suppressAutoHyphens/>
        <w:spacing w:before="0" w:after="319" w:line="240" w:lineRule="auto"/>
        <w:rPr>
          <w:rFonts w:ascii="Arial" w:eastAsia="Times Roman" w:hAnsi="Arial" w:cs="Arial"/>
          <w:b/>
          <w:bCs/>
          <w:sz w:val="22"/>
          <w:szCs w:val="22"/>
        </w:rPr>
      </w:pPr>
      <w:r w:rsidRPr="007546A2">
        <w:rPr>
          <w:rFonts w:ascii="Arial" w:hAnsi="Arial" w:cs="Arial"/>
          <w:b/>
          <w:bCs/>
          <w:sz w:val="22"/>
          <w:szCs w:val="22"/>
        </w:rPr>
        <w:t>Evaluation Focus</w:t>
      </w:r>
    </w:p>
    <w:tbl>
      <w:tblPr>
        <w:tblW w:w="9918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580"/>
        <w:gridCol w:w="7338"/>
      </w:tblGrid>
      <w:tr w:rsidR="00A95099" w:rsidRPr="007546A2">
        <w:trPr>
          <w:trHeight w:val="402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jc w:val="center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Area</w:t>
            </w:r>
          </w:p>
        </w:tc>
        <w:tc>
          <w:tcPr>
            <w:tcW w:w="7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jc w:val="center"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What judges look for</w:t>
            </w:r>
          </w:p>
        </w:tc>
      </w:tr>
      <w:tr w:rsidR="00A95099" w:rsidRPr="007546A2">
        <w:trPr>
          <w:trHeight w:val="402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Detection quality</w:t>
            </w:r>
          </w:p>
        </w:tc>
        <w:tc>
          <w:tcPr>
            <w:tcW w:w="7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How well high-risk items are separated from routine or irrelevant text</w:t>
            </w:r>
          </w:p>
        </w:tc>
      </w:tr>
      <w:tr w:rsidR="00A95099" w:rsidRPr="007546A2">
        <w:trPr>
          <w:trHeight w:val="580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Context and explanation</w:t>
            </w:r>
          </w:p>
        </w:tc>
        <w:tc>
          <w:tcPr>
            <w:tcW w:w="7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Whether a newly flagged risk comes with accurate, history-aware reasoning</w:t>
            </w:r>
          </w:p>
        </w:tc>
      </w:tr>
      <w:tr w:rsidR="00A95099" w:rsidRPr="007546A2">
        <w:trPr>
          <w:trHeight w:val="402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Risk index design</w:t>
            </w:r>
          </w:p>
        </w:tc>
        <w:tc>
          <w:tcPr>
            <w:tcW w:w="7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Whether the index is meaningful, responsive, a</w:t>
            </w:r>
            <w:r w:rsidRPr="007546A2">
              <w:rPr>
                <w:rFonts w:ascii="Arial" w:hAnsi="Arial" w:cs="Arial"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nd easy to interpret</w:t>
            </w:r>
          </w:p>
        </w:tc>
      </w:tr>
      <w:tr w:rsidR="00A95099" w:rsidRPr="007546A2">
        <w:trPr>
          <w:trHeight w:val="580"/>
        </w:trPr>
        <w:tc>
          <w:tcPr>
            <w:tcW w:w="25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b/>
                <w:bCs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Dashboard and usability</w:t>
            </w:r>
          </w:p>
        </w:tc>
        <w:tc>
          <w:tcPr>
            <w:tcW w:w="73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:rsidR="00A95099" w:rsidRPr="007546A2" w:rsidRDefault="002249E2">
            <w:pPr>
              <w:suppressAutoHyphens/>
              <w:outlineLvl w:val="0"/>
              <w:rPr>
                <w:rFonts w:ascii="Arial" w:hAnsi="Arial" w:cs="Arial"/>
                <w:sz w:val="22"/>
                <w:szCs w:val="22"/>
              </w:rPr>
            </w:pPr>
            <w:r w:rsidRPr="007546A2">
              <w:rPr>
                <w:rFonts w:ascii="Arial" w:hAnsi="Arial" w:cs="Arial"/>
                <w:color w:val="000000"/>
                <w:sz w:val="22"/>
                <w:szCs w:val="2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Clarity, live updating, and how quickly an analyst can act on it</w:t>
            </w:r>
          </w:p>
        </w:tc>
      </w:tr>
    </w:tbl>
    <w:p w:rsidR="00A95099" w:rsidRPr="007546A2" w:rsidRDefault="00A95099">
      <w:pPr>
        <w:pStyle w:val="Default"/>
        <w:suppressAutoHyphens/>
        <w:spacing w:before="0" w:line="240" w:lineRule="auto"/>
        <w:rPr>
          <w:rFonts w:ascii="Arial" w:eastAsia="Times Roman" w:hAnsi="Arial" w:cs="Arial"/>
          <w:color w:val="808080"/>
          <w:sz w:val="22"/>
          <w:szCs w:val="22"/>
        </w:rPr>
      </w:pPr>
    </w:p>
    <w:p w:rsidR="00A95099" w:rsidRPr="007546A2" w:rsidRDefault="00A95099">
      <w:pPr>
        <w:pStyle w:val="Default"/>
        <w:suppressAutoHyphens/>
        <w:spacing w:before="0" w:line="240" w:lineRule="auto"/>
        <w:rPr>
          <w:rFonts w:ascii="Arial" w:eastAsia="Times Roman" w:hAnsi="Arial" w:cs="Arial"/>
          <w:color w:val="808080"/>
          <w:sz w:val="22"/>
          <w:szCs w:val="22"/>
        </w:rP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