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Fintech Domain</w:t>
      </w:r>
    </w:p>
    <w:p w:rsidR="00A95099" w:rsidRPr="007546A2" w:rsidRDefault="002249E2" w:rsidP="007546A2">
      <w:pPr>
        <w:pStyle w:val="Default"/>
        <w:suppressAutoHyphens/>
        <w:spacing w:before="0" w:after="281" w:line="240" w:lineRule="auto"/>
        <w:jc w:val="center"/>
        <w:rPr>
          <w:rFonts w:ascii="Arial" w:eastAsia="Times Roman" w:hAnsi="Arial" w:cs="Arial"/>
          <w:b/>
          <w:bCs/>
          <w:sz w:val="22"/>
          <w:szCs w:val="22"/>
        </w:rPr>
      </w:pPr>
      <w:r w:rsidRPr="007546A2">
        <w:rPr>
          <w:rFonts w:ascii="Arial" w:eastAsia="Times Roman" w:hAnsi="Arial" w:cs="Arial"/>
          <w:b/>
          <w:bCs/>
          <w:sz w:val="22"/>
          <w:szCs w:val="22"/>
        </w:rPr>
        <w:t>2. Peer-to-Peer Micro-Lending Matchmaker</w:t>
      </w:r>
      <w:r w:rsidRPr="007546A2">
        <w:rPr>
          <w:rFonts w:ascii="Arial" w:hAnsi="Arial" w:cs="Arial"/>
          <w:b/>
          <w:bCs/>
          <w:sz w:val="22"/>
          <w:szCs w:val="22"/>
        </w:rPr>
      </w:r>
      <w:r w:rsidR="007546A2">
        <w:rPr>
          <w:rFonts w:ascii="Arial" w:hAnsi="Arial" w:cs="Arial"/>
          <w:b/>
          <w:bCs/>
          <w:sz w:val="22"/>
          <w:szCs w:val="22"/>
        </w:rPr>
      </w:r>
      <w:r w:rsidRPr="007546A2">
        <w:rPr>
          <w:rFonts w:ascii="Arial" w:hAnsi="Arial" w:cs="Arial"/>
          <w:b/>
          <w:bCs/>
          <w:sz w:val="22"/>
          <w:szCs w:val="22"/>
        </w:rPr>
      </w:r>
    </w:p>
    <w:p w:rsidR="00A95099" w:rsidRPr="007546A2" w:rsidRDefault="002249E2">
      <w:pPr>
        <w:pStyle w:val="Default"/>
        <w:suppressAutoHyphens/>
        <w:spacing w:before="0" w:after="319" w:line="240" w:lineRule="auto"/>
        <w:rPr>
          <w:rFonts w:ascii="Arial" w:eastAsia="Times Roman" w:hAnsi="Arial" w:cs="Arial"/>
          <w:b/>
          <w:bCs/>
          <w:sz w:val="22"/>
          <w:szCs w:val="22"/>
        </w:rPr>
      </w:pPr>
      <w:r w:rsidRPr="007546A2">
        <w:rPr>
          <w:rFonts w:ascii="Arial" w:hAnsi="Arial" w:cs="Arial"/>
          <w:b/>
          <w:bCs/>
          <w:sz w:val="22"/>
          <w:szCs w:val="22"/>
        </w:rPr>
        <w:t>Background</w:t>
      </w:r>
    </w:p>
    <w:p w:rsidR="00A95099" w:rsidRPr="007546A2" w:rsidRDefault="002249E2">
      <w:pPr>
        <w:pStyle w:val="Default"/>
        <w:suppressAutoHyphens/>
        <w:spacing w:before="0" w:after="240" w:line="240" w:lineRule="auto"/>
        <w:rPr>
          <w:rFonts w:ascii="Arial" w:eastAsia="Times Roman" w:hAnsi="Arial" w:cs="Arial"/>
          <w:sz w:val="22"/>
          <w:szCs w:val="22"/>
        </w:rPr>
      </w:pPr>
      <w:r w:rsidRPr="007546A2">
        <w:rPr>
          <w:rFonts w:ascii="Arial" w:hAnsi="Arial" w:cs="Arial"/>
          <w:sz w:val="22"/>
          <w:szCs w:val="22"/>
        </w:rPr>
        <w:t xml:space="preserve">Traditional banks often turn down small-business and individual micro-loans. Peer-to-peer lending platforms fill that gap by letting </w:t>
      </w:r>
      <w:r w:rsidRPr="007546A2">
        <w:rPr>
          <w:rFonts w:ascii="Arial" w:hAnsi="Arial" w:cs="Arial"/>
          <w:sz w:val="22"/>
          <w:szCs w:val="22"/>
        </w:rPr>
        <w:t>everyday people lend small amounts directly to borrowers in return for interest. The difficulty is matching: investors differ widely in how much they can invest, what return they want, and how much risk they will accept, while borrowers differ widely in ho</w:t>
      </w:r>
      <w:r w:rsidRPr="007546A2">
        <w:rPr>
          <w:rFonts w:ascii="Arial" w:hAnsi="Arial" w:cs="Arial"/>
          <w:sz w:val="22"/>
          <w:szCs w:val="22"/>
        </w:rPr>
        <w:t>w likely they are to repay. Matching them by hand is slow and inconsistent.</w:t>
      </w:r>
    </w:p>
    <w:p w:rsidR="00A95099" w:rsidRPr="007546A2" w:rsidRDefault="002249E2">
      <w:pPr>
        <w:pStyle w:val="Default"/>
        <w:suppressAutoHyphens/>
        <w:spacing w:before="0" w:after="319" w:line="240" w:lineRule="auto"/>
        <w:rPr>
          <w:rFonts w:ascii="Arial" w:eastAsia="Times Roman" w:hAnsi="Arial" w:cs="Arial"/>
          <w:b/>
          <w:bCs/>
          <w:sz w:val="22"/>
          <w:szCs w:val="22"/>
        </w:rPr>
      </w:pPr>
      <w:r w:rsidRPr="007546A2">
        <w:rPr>
          <w:rFonts w:ascii="Arial" w:hAnsi="Arial" w:cs="Arial"/>
          <w:b/>
          <w:bCs/>
          <w:sz w:val="22"/>
          <w:szCs w:val="22"/>
        </w:rPr>
        <w:t>Challenge</w:t>
      </w:r>
    </w:p>
    <w:p w:rsidR="00A95099" w:rsidRPr="007546A2" w:rsidRDefault="002249E2">
      <w:pPr>
        <w:pStyle w:val="Default"/>
        <w:suppressAutoHyphens/>
        <w:spacing w:before="0" w:after="240" w:line="240" w:lineRule="auto"/>
        <w:rPr>
          <w:rFonts w:ascii="Arial" w:eastAsia="Times Roman" w:hAnsi="Arial" w:cs="Arial"/>
          <w:sz w:val="22"/>
          <w:szCs w:val="22"/>
        </w:rPr>
      </w:pPr>
      <w:r w:rsidRPr="007546A2">
        <w:rPr>
          <w:rFonts w:ascii="Arial" w:hAnsi="Arial" w:cs="Arial"/>
          <w:sz w:val="22"/>
          <w:szCs w:val="22"/>
        </w:rPr>
        <w:t xml:space="preserve">Build an </w:t>
      </w:r>
      <w:r w:rsidRPr="007546A2">
        <w:rPr>
          <w:rFonts w:ascii="Arial" w:hAnsi="Arial" w:cs="Arial"/>
          <w:b/>
          <w:bCs/>
          <w:sz w:val="22"/>
          <w:szCs w:val="22"/>
        </w:rPr>
        <w:t>Automated P2P Micro-Lending Matchmaker</w:t>
      </w:r>
      <w:r w:rsidRPr="007546A2">
        <w:rPr>
          <w:rFonts w:ascii="Arial" w:hAnsi="Arial" w:cs="Arial"/>
          <w:sz w:val="22"/>
          <w:szCs w:val="22"/>
        </w:rPr>
        <w:t xml:space="preserve"> that takes an investor</w:t>
      </w:r>
      <w:r w:rsidRPr="007546A2">
        <w:rPr>
          <w:rFonts w:ascii="Arial" w:hAnsi="Arial" w:cs="Arial"/>
          <w:sz w:val="22"/>
          <w:szCs w:val="22"/>
          <w:rtl/>
          <w:cs/>
        </w:rPr>
        <w:t>’</w:t>
      </w:r>
      <w:r w:rsidRPr="007546A2">
        <w:rPr>
          <w:rFonts w:ascii="Arial" w:hAnsi="Arial" w:cs="Arial"/>
          <w:sz w:val="22"/>
          <w:szCs w:val="22"/>
        </w:rPr>
        <w:t>s preferences and instantly ranks the open borrower listings from best to worst fit, balancing risk</w:t>
      </w:r>
      <w:r w:rsidRPr="007546A2">
        <w:rPr>
          <w:rFonts w:ascii="Arial" w:hAnsi="Arial" w:cs="Arial"/>
          <w:sz w:val="22"/>
          <w:szCs w:val="22"/>
        </w:rPr>
        <w:t xml:space="preserve"> against expected return.</w:t>
      </w:r>
    </w:p>
    <w:p w:rsidR="00A95099" w:rsidRPr="007546A2" w:rsidRDefault="002249E2">
      <w:pPr>
        <w:pStyle w:val="Default"/>
        <w:suppressAutoHyphens/>
        <w:spacing w:before="0" w:after="319" w:line="240" w:lineRule="auto"/>
        <w:rPr>
          <w:rFonts w:ascii="Arial" w:eastAsia="Times Roman" w:hAnsi="Arial" w:cs="Arial"/>
          <w:b/>
          <w:bCs/>
          <w:sz w:val="22"/>
          <w:szCs w:val="22"/>
        </w:rPr>
      </w:pPr>
      <w:r w:rsidRPr="007546A2">
        <w:rPr>
          <w:rFonts w:ascii="Arial" w:hAnsi="Arial" w:cs="Arial"/>
          <w:b/>
          <w:bCs/>
          <w:sz w:val="22"/>
          <w:szCs w:val="22"/>
        </w:rPr>
        <w:t>Expected Capabilities</w:t>
      </w:r>
    </w:p>
    <w:p w:rsidR="00A95099" w:rsidRPr="007546A2" w:rsidRDefault="002249E2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Arial" w:hAnsi="Arial" w:cs="Arial"/>
          <w:sz w:val="22"/>
          <w:szCs w:val="22"/>
        </w:rPr>
      </w:pPr>
      <w:r w:rsidRPr="007546A2">
        <w:rPr>
          <w:rFonts w:ascii="Arial" w:hAnsi="Arial" w:cs="Arial"/>
          <w:b/>
          <w:bCs/>
          <w:sz w:val="22"/>
          <w:szCs w:val="22"/>
        </w:rPr>
        <w:t>Accept</w:t>
      </w:r>
      <w:r w:rsidRPr="007546A2">
        <w:rPr>
          <w:rFonts w:ascii="Arial" w:hAnsi="Arial" w:cs="Arial"/>
          <w:sz w:val="22"/>
          <w:szCs w:val="22"/>
        </w:rPr>
        <w:t xml:space="preserve"> an investor</w:t>
      </w:r>
      <w:r w:rsidRPr="007546A2">
        <w:rPr>
          <w:rFonts w:ascii="Arial" w:hAnsi="Arial" w:cs="Arial"/>
          <w:sz w:val="22"/>
          <w:szCs w:val="22"/>
          <w:rtl/>
          <w:cs/>
        </w:rPr>
        <w:t>’</w:t>
      </w:r>
      <w:r w:rsidRPr="007546A2">
        <w:rPr>
          <w:rFonts w:ascii="Arial" w:hAnsi="Arial" w:cs="Arial"/>
          <w:sz w:val="22"/>
          <w:szCs w:val="22"/>
        </w:rPr>
        <w:t xml:space="preserve">s parameters, including their </w:t>
      </w:r>
      <w:r w:rsidRPr="007546A2">
        <w:rPr>
          <w:rFonts w:ascii="Arial" w:hAnsi="Arial" w:cs="Arial"/>
          <w:b/>
          <w:bCs/>
          <w:sz w:val="22"/>
          <w:szCs w:val="22"/>
        </w:rPr>
        <w:t>risk appetite</w:t>
      </w:r>
      <w:r w:rsidRPr="007546A2">
        <w:rPr>
          <w:rFonts w:ascii="Arial" w:hAnsi="Arial" w:cs="Arial"/>
          <w:sz w:val="22"/>
          <w:szCs w:val="22"/>
        </w:rPr>
        <w:t xml:space="preserve"> and the </w:t>
      </w:r>
      <w:r w:rsidRPr="007546A2">
        <w:rPr>
          <w:rFonts w:ascii="Arial" w:hAnsi="Arial" w:cs="Arial"/>
          <w:b/>
          <w:bCs/>
          <w:sz w:val="22"/>
          <w:szCs w:val="22"/>
        </w:rPr>
        <w:t>amount they want to invest</w:t>
      </w:r>
      <w:r w:rsidRPr="007546A2">
        <w:rPr>
          <w:rFonts w:ascii="Arial" w:hAnsi="Arial" w:cs="Arial"/>
          <w:sz w:val="22"/>
          <w:szCs w:val="22"/>
        </w:rPr>
        <w:t>.</w:t>
      </w:r>
    </w:p>
    <w:p w:rsidR="00A95099" w:rsidRPr="007546A2" w:rsidRDefault="002249E2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Arial" w:hAnsi="Arial" w:cs="Arial"/>
          <w:sz w:val="22"/>
          <w:szCs w:val="22"/>
        </w:rPr>
      </w:pPr>
      <w:r w:rsidRPr="007546A2">
        <w:rPr>
          <w:rFonts w:ascii="Arial" w:hAnsi="Arial" w:cs="Arial"/>
          <w:b/>
          <w:bCs/>
          <w:sz w:val="22"/>
          <w:szCs w:val="22"/>
        </w:rPr>
        <w:t>Rank</w:t>
      </w:r>
      <w:r w:rsidRPr="007546A2">
        <w:rPr>
          <w:rFonts w:ascii="Arial" w:hAnsi="Arial" w:cs="Arial"/>
          <w:sz w:val="22"/>
          <w:szCs w:val="22"/>
        </w:rPr>
        <w:t xml:space="preserve"> all open borrower listings from best to worst fit for that investor.</w:t>
      </w:r>
    </w:p>
    <w:p w:rsidR="00A95099" w:rsidRPr="007546A2" w:rsidRDefault="002249E2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Arial" w:hAnsi="Arial" w:cs="Arial"/>
          <w:sz w:val="22"/>
          <w:szCs w:val="22"/>
        </w:rPr>
      </w:pPr>
      <w:r w:rsidRPr="007546A2">
        <w:rPr>
          <w:rFonts w:ascii="Arial" w:hAnsi="Arial" w:cs="Arial"/>
          <w:b/>
          <w:bCs/>
          <w:sz w:val="22"/>
          <w:szCs w:val="22"/>
        </w:rPr>
        <w:t>Recommend the top five borrowers the investor should fund, each with an estimated Return on Investment (ROI).</w:t>
      </w:r>
      <w:r w:rsidRPr="007546A2">
        <w:rPr>
          <w:rFonts w:ascii="Arial" w:hAnsi="Arial" w:cs="Arial"/>
          <w:sz w:val="22"/>
          <w:szCs w:val="22"/>
        </w:rPr>
      </w:r>
      <w:r w:rsidRPr="007546A2">
        <w:rPr>
          <w:rFonts w:ascii="Arial" w:hAnsi="Arial" w:cs="Arial"/>
          <w:b/>
          <w:bCs/>
          <w:sz w:val="22"/>
          <w:szCs w:val="22"/>
        </w:rPr>
      </w:r>
      <w:r w:rsidRPr="007546A2">
        <w:rPr>
          <w:rFonts w:ascii="Arial" w:hAnsi="Arial" w:cs="Arial"/>
          <w:sz w:val="22"/>
          <w:szCs w:val="22"/>
        </w:rPr>
      </w:r>
      <w:r w:rsidRPr="007546A2">
        <w:rPr>
          <w:rFonts w:ascii="Arial" w:hAnsi="Arial" w:cs="Arial"/>
          <w:b/>
          <w:bCs/>
          <w:sz w:val="22"/>
          <w:szCs w:val="22"/>
        </w:rPr>
      </w:r>
      <w:r w:rsidRPr="007546A2">
        <w:rPr>
          <w:rFonts w:ascii="Arial" w:hAnsi="Arial" w:cs="Arial"/>
          <w:sz w:val="22"/>
          <w:szCs w:val="22"/>
        </w:rPr>
      </w:r>
    </w:p>
    <w:p w:rsidR="00A95099" w:rsidRPr="007546A2" w:rsidRDefault="002249E2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Arial" w:hAnsi="Arial" w:cs="Arial"/>
          <w:sz w:val="22"/>
          <w:szCs w:val="22"/>
        </w:rPr>
      </w:pPr>
      <w:r w:rsidRPr="007546A2">
        <w:rPr>
          <w:rFonts w:ascii="Arial" w:hAnsi="Arial" w:cs="Arial"/>
          <w:b/>
          <w:bCs/>
          <w:sz w:val="22"/>
          <w:szCs w:val="22"/>
        </w:rPr>
        <w:t>Update live</w:t>
      </w:r>
      <w:r w:rsidRPr="007546A2">
        <w:rPr>
          <w:rFonts w:ascii="Arial" w:hAnsi="Arial" w:cs="Arial"/>
          <w:sz w:val="22"/>
          <w:szCs w:val="22"/>
        </w:rPr>
        <w:t>: when the investor changes either input, the recommendations refresh immediately.</w:t>
      </w:r>
    </w:p>
    <w:p w:rsidR="00A95099" w:rsidRPr="007546A2" w:rsidRDefault="002249E2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Arial" w:hAnsi="Arial" w:cs="Arial"/>
          <w:sz w:val="22"/>
          <w:szCs w:val="22"/>
          <w:lang w:val="it-IT"/>
        </w:rPr>
      </w:pPr>
      <w:r w:rsidRPr="007546A2">
        <w:rPr>
          <w:rFonts w:ascii="Arial" w:hAnsi="Arial" w:cs="Arial"/>
          <w:b/>
          <w:bCs/>
          <w:sz w:val="22"/>
          <w:szCs w:val="22"/>
          <w:lang w:val="it-IT"/>
        </w:rPr>
        <w:t>Present</w:t>
      </w:r>
      <w:r w:rsidRPr="007546A2">
        <w:rPr>
          <w:rFonts w:ascii="Arial" w:hAnsi="Arial" w:cs="Arial"/>
          <w:sz w:val="22"/>
          <w:szCs w:val="22"/>
        </w:rPr>
        <w:t xml:space="preserve"> this through an interactive interface with adjustable controls for risk appe</w:t>
      </w:r>
      <w:r w:rsidRPr="007546A2">
        <w:rPr>
          <w:rFonts w:ascii="Arial" w:hAnsi="Arial" w:cs="Arial"/>
          <w:sz w:val="22"/>
          <w:szCs w:val="22"/>
        </w:rPr>
        <w:t>tite and investment amount.</w:t>
      </w:r>
    </w:p>
    <w:p w:rsidR="007546A2" w:rsidRDefault="007546A2">
      <w:pPr>
        <w:pStyle w:val="Default"/>
        <w:suppressAutoHyphens/>
        <w:spacing w:before="0" w:after="319" w:line="240" w:lineRule="auto"/>
        <w:rPr>
          <w:rFonts w:ascii="Arial" w:hAnsi="Arial" w:cs="Arial"/>
          <w:b/>
          <w:bCs/>
          <w:sz w:val="22"/>
          <w:szCs w:val="22"/>
        </w:rPr>
      </w:pPr>
    </w:p>
    <w:p w:rsidR="00A95099" w:rsidRPr="007546A2" w:rsidRDefault="002249E2">
      <w:pPr>
        <w:pStyle w:val="Default"/>
        <w:suppressAutoHyphens/>
        <w:spacing w:before="0" w:after="319" w:line="240" w:lineRule="auto"/>
        <w:rPr>
          <w:rFonts w:ascii="Arial" w:eastAsia="Times Roman" w:hAnsi="Arial" w:cs="Arial"/>
          <w:b/>
          <w:bCs/>
          <w:sz w:val="22"/>
          <w:szCs w:val="22"/>
        </w:rPr>
      </w:pPr>
      <w:r w:rsidRPr="007546A2">
        <w:rPr>
          <w:rFonts w:ascii="Arial" w:hAnsi="Arial" w:cs="Arial"/>
          <w:b/>
          <w:bCs/>
          <w:sz w:val="22"/>
          <w:szCs w:val="22"/>
        </w:rPr>
        <w:t>Desired Outcome</w:t>
      </w:r>
    </w:p>
    <w:p w:rsidR="00A95099" w:rsidRPr="007546A2" w:rsidRDefault="002249E2">
      <w:pPr>
        <w:pStyle w:val="Default"/>
        <w:suppressAutoHyphens/>
        <w:spacing w:before="0" w:after="240" w:line="240" w:lineRule="auto"/>
        <w:rPr>
          <w:rFonts w:ascii="Arial" w:eastAsia="Times Roman" w:hAnsi="Arial" w:cs="Arial"/>
          <w:sz w:val="22"/>
          <w:szCs w:val="22"/>
        </w:rPr>
      </w:pPr>
      <w:r w:rsidRPr="007546A2">
        <w:rPr>
          <w:rFonts w:ascii="Arial" w:hAnsi="Arial" w:cs="Arial"/>
          <w:sz w:val="22"/>
          <w:szCs w:val="22"/>
        </w:rPr>
        <w:t>An investor can change their risk appetite or investment amount and instantly see which borrowers to fund, with a clear sense of expected return and risk.</w:t>
      </w:r>
    </w:p>
    <w:p w:rsidR="00A95099" w:rsidRPr="007546A2" w:rsidRDefault="002249E2">
      <w:pPr>
        <w:pStyle w:val="Default"/>
        <w:suppressAutoHyphens/>
        <w:spacing w:before="0" w:after="319" w:line="240" w:lineRule="auto"/>
        <w:rPr>
          <w:rFonts w:ascii="Arial" w:eastAsia="Times Roman" w:hAnsi="Arial" w:cs="Arial"/>
          <w:b/>
          <w:bCs/>
          <w:sz w:val="22"/>
          <w:szCs w:val="22"/>
        </w:rPr>
      </w:pPr>
      <w:r w:rsidRPr="007546A2">
        <w:rPr>
          <w:rFonts w:ascii="Arial" w:hAnsi="Arial" w:cs="Arial"/>
          <w:b/>
          <w:bCs/>
          <w:sz w:val="22"/>
          <w:szCs w:val="22"/>
        </w:rPr>
        <w:t>Evaluation Focus</w:t>
      </w:r>
    </w:p>
    <w:tbl>
      <w:tblPr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268"/>
        <w:gridCol w:w="7092"/>
      </w:tblGrid>
      <w:tr w:rsidR="00A95099" w:rsidRPr="007546A2">
        <w:trPr>
          <w:trHeight w:val="402"/>
        </w:trPr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A95099" w:rsidRPr="007546A2" w:rsidRDefault="002249E2">
            <w:pPr>
              <w:suppressAutoHyphens/>
              <w:jc w:val="center"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7546A2">
              <w:rPr>
                <w:rFonts w:ascii="Arial" w:hAnsi="Arial" w:cs="Arial"/>
                <w:b/>
                <w:bCs/>
                <w:color w:val="000000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Area</w:t>
            </w:r>
          </w:p>
        </w:tc>
        <w:tc>
          <w:tcPr>
            <w:tcW w:w="70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A95099" w:rsidRPr="007546A2" w:rsidRDefault="002249E2">
            <w:pPr>
              <w:suppressAutoHyphens/>
              <w:jc w:val="center"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7546A2">
              <w:rPr>
                <w:rFonts w:ascii="Arial" w:hAnsi="Arial" w:cs="Arial"/>
                <w:b/>
                <w:bCs/>
                <w:color w:val="000000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What judges look for</w:t>
            </w:r>
          </w:p>
        </w:tc>
      </w:tr>
      <w:tr w:rsidR="00A95099" w:rsidRPr="007546A2">
        <w:trPr>
          <w:trHeight w:val="402"/>
        </w:trPr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A95099" w:rsidRPr="007546A2" w:rsidRDefault="002249E2">
            <w:pPr>
              <w:suppressAutoHyphens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7546A2">
              <w:rPr>
                <w:rFonts w:ascii="Arial" w:hAnsi="Arial" w:cs="Arial"/>
                <w:b/>
                <w:bCs/>
                <w:color w:val="000000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Match quality</w:t>
            </w:r>
          </w:p>
        </w:tc>
        <w:tc>
          <w:tcPr>
            <w:tcW w:w="70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A95099" w:rsidRPr="007546A2" w:rsidRDefault="002249E2">
            <w:pPr>
              <w:suppressAutoHyphens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7546A2">
              <w:rPr>
                <w:rFonts w:ascii="Arial" w:hAnsi="Arial" w:cs="Arial"/>
                <w:color w:val="000000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Whether rankings change logically as risk appetite and amount change</w:t>
            </w:r>
          </w:p>
        </w:tc>
      </w:tr>
      <w:tr w:rsidR="00A95099" w:rsidRPr="007546A2">
        <w:trPr>
          <w:trHeight w:val="580"/>
        </w:trPr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A95099" w:rsidRPr="007546A2" w:rsidRDefault="002249E2">
            <w:pPr>
              <w:suppressAutoHyphens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7546A2">
              <w:rPr>
                <w:rFonts w:ascii="Arial" w:hAnsi="Arial" w:cs="Arial"/>
                <w:b/>
                <w:bCs/>
                <w:color w:val="000000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Risk and return balance</w:t>
            </w:r>
          </w:p>
        </w:tc>
        <w:tc>
          <w:tcPr>
            <w:tcW w:w="70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A95099" w:rsidRPr="007546A2" w:rsidRDefault="002249E2">
            <w:pPr>
              <w:suppressAutoHyphens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7546A2">
              <w:rPr>
                <w:rFonts w:ascii="Arial" w:hAnsi="Arial" w:cs="Arial"/>
                <w:color w:val="000000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How sensibly the solution weighs likelihood of repayment against expected return</w:t>
            </w:r>
          </w:p>
        </w:tc>
      </w:tr>
      <w:tr w:rsidR="00A95099" w:rsidRPr="007546A2">
        <w:trPr>
          <w:trHeight w:val="402"/>
        </w:trPr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A95099" w:rsidRPr="007546A2" w:rsidRDefault="002249E2">
            <w:pPr>
              <w:suppressAutoHyphens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7546A2">
              <w:rPr>
                <w:rFonts w:ascii="Arial" w:hAnsi="Arial" w:cs="Arial"/>
                <w:b/>
                <w:bCs/>
                <w:color w:val="000000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Responsiveness</w:t>
            </w:r>
          </w:p>
        </w:tc>
        <w:tc>
          <w:tcPr>
            <w:tcW w:w="70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A95099" w:rsidRPr="007546A2" w:rsidRDefault="002249E2">
            <w:pPr>
              <w:suppressAutoHyphens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7546A2">
              <w:rPr>
                <w:rFonts w:ascii="Arial" w:hAnsi="Arial" w:cs="Arial"/>
                <w:color w:val="000000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How quickly and smoothly recommendations u</w:t>
            </w:r>
            <w:r w:rsidRPr="007546A2">
              <w:rPr>
                <w:rFonts w:ascii="Arial" w:hAnsi="Arial" w:cs="Arial"/>
                <w:color w:val="000000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pdate</w:t>
            </w:r>
          </w:p>
        </w:tc>
      </w:tr>
      <w:tr w:rsidR="00A95099" w:rsidRPr="007546A2">
        <w:trPr>
          <w:trHeight w:val="402"/>
        </w:trPr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A95099" w:rsidRPr="007546A2" w:rsidRDefault="002249E2">
            <w:pPr>
              <w:suppressAutoHyphens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7546A2">
              <w:rPr>
                <w:rFonts w:ascii="Arial" w:hAnsi="Arial" w:cs="Arial"/>
                <w:b/>
                <w:bCs/>
                <w:color w:val="000000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Interpretability</w:t>
            </w:r>
          </w:p>
        </w:tc>
        <w:tc>
          <w:tcPr>
            <w:tcW w:w="70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A95099" w:rsidRPr="007546A2" w:rsidRDefault="002249E2">
            <w:pPr>
              <w:suppressAutoHyphens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7546A2">
              <w:rPr>
                <w:rFonts w:ascii="Arial" w:hAnsi="Arial" w:cs="Arial"/>
                <w:color w:val="000000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How well the solution justifies why a borrower is ranked highly</w:t>
            </w:r>
          </w:p>
        </w:tc>
      </w:tr>
    </w:tbl>
    <w:p w:rsidR="00A95099" w:rsidRPr="007546A2" w:rsidRDefault="00A95099">
      <w:pPr>
        <w:pStyle w:val="Default"/>
        <w:suppressAutoHyphens/>
        <w:spacing w:before="0" w:line="240" w:lineRule="auto"/>
        <w:rPr>
          <w:rFonts w:ascii="Arial" w:hAnsi="Arial" w:cs="Arial"/>
          <w:sz w:val="22"/>
          <w:szCs w:val="22"/>
        </w:rPr>
      </w:pPr>
    </w:p>
    <w:sectPr w:rsidR="00A95099" w:rsidRPr="007546A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