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Healthcare Domain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outlineLvl w:val="2"/>
        <w:rPr>
          <w:rFonts w:eastAsia="Times New Roman"/>
          <w:b/>
          <w:bCs/>
          <w:sz w:val="32"/>
          <w:szCs w:val="32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32"/>
          <w:szCs w:val="32"/>
          <w:bdr w:val="none" w:sz="0" w:space="0" w:color="auto"/>
          <w:lang w:val="en-IN" w:eastAsia="ko-KR" w:bidi="hi-IN"/>
        </w:rPr>
        <w:t>Problem Statement: High-Efficiency Decoding of Genomic Regulatory Architecture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3"/>
        <w:rPr>
          <w:rFonts w:eastAsia="Times New Roman"/>
          <w:b/>
          <w:bCs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Biological Context and the Problem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In eukaryotic genomes, cellular function is governed by intricate regulatory codes embedded directly within DNA sequences. Beyond protein-coding regions, vast non-coding stretches dictate when, where, and how genes are expressed. Critical genomic landmarks—such as core promoters, transcription factor binding sites (TFBS), splice donor/acceptor junctions, and epigenetic histone marks—determine the operational state of a cell.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Identifying these functional signatures from raw sequencing reads is fundamental to understanding gene regulation, identifying disease-causing variants, and engineering synthetic biological circuits. However, biological syntax does not follow fixed-width rules. Regulatory motifs vary in length, exhibit degeneracies (wobble positions where multiple bases are functionally equivalent), and depend heavily on long-range contextual interactions spanning hundreds or thousands of base pairs.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3"/>
        <w:rPr>
          <w:rFonts w:eastAsia="Times New Roman"/>
          <w:b/>
          <w:bCs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The Bottleneck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Traditional computational workflows process DNA by slicing nucleotide sequences (</w:t>
      </w:r>
      <w:proofErr w:type="gramStart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A,T</w:t>
      </w:r>
      <w:proofErr w:type="gramEnd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,C,G) into rigid, overlapping chunks of fixed character lengths (such as continuous sliding windows of 5 or 6 base pairs). While straightforward to implement, this brute-force parsing strategy creates severe computational strain: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eastAsia="Times New Roman"/>
          <w:bdr w:val="none" w:sz="0" w:space="0" w:color="auto"/>
          <w:lang w:val="en-IN" w:eastAsia="ko-KR" w:bidi="hi-IN"/>
        </w:rPr>
        <w:br/>
      </w:r>
    </w:p>
    <w:p w:rsidR="001272FD" w:rsidRPr="001272FD" w:rsidRDefault="001272FD" w:rsidP="001272FD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Combinatorial Data Inflation:</w:t>
      </w: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 xml:space="preserve"> Slicing every overlapping fragment artificially multiplies the data volume, causing memory overflow when scaling to multi-species genome assemblies.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eastAsia="Times New Roman"/>
          <w:bdr w:val="none" w:sz="0" w:space="0" w:color="auto"/>
          <w:lang w:val="en-IN" w:eastAsia="ko-KR" w:bidi="hi-IN"/>
        </w:rPr>
        <w:lastRenderedPageBreak/>
        <w:br/>
      </w:r>
    </w:p>
    <w:p w:rsidR="001272FD" w:rsidRPr="001272FD" w:rsidRDefault="001272FD" w:rsidP="001272FD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Loss of Biological Grammar:</w:t>
      </w: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 xml:space="preserve"> Fixed-length slicing fractures natural biological motifs and fails to capture long-range dependencies where distant genomic segments interact with one another.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eastAsia="Times New Roman"/>
          <w:bdr w:val="none" w:sz="0" w:space="0" w:color="auto"/>
          <w:lang w:val="en-IN" w:eastAsia="ko-KR" w:bidi="hi-IN"/>
        </w:rPr>
        <w:br/>
      </w:r>
    </w:p>
    <w:p w:rsidR="001272FD" w:rsidRPr="001272FD" w:rsidRDefault="001272FD" w:rsidP="001272FD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Compute Barrier:</w:t>
      </w: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 xml:space="preserve"> Processing multi-</w:t>
      </w:r>
      <w:proofErr w:type="spellStart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kilobase</w:t>
      </w:r>
      <w:proofErr w:type="spellEnd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 xml:space="preserve"> sequences with naive slicing requires high-end server clusters, making rapid exploratory genomics inaccessible on standard hardware.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</w:p>
    <w:p w:rsid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3"/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</w:pP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3"/>
        <w:rPr>
          <w:rFonts w:eastAsia="Times New Roman"/>
          <w:b/>
          <w:bCs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The Objective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Build a pipeline that ingests raw nucleotide sequences of variable lengths (ranging from short 100-base-pair fragments to several thousand base pairs) and accurately predicts their biological functional class (such as promoter activity or regulatory binding potential).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Your system must handle sequence data natively, identifying meaningful biological patterns and structural boundaries without relying on bloated, memory-exhaustive representations.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40"/>
        <w:rPr>
          <w:rFonts w:eastAsia="Times New Roman"/>
          <w:bdr w:val="none" w:sz="0" w:space="0" w:color="auto"/>
          <w:lang w:val="en-IN" w:eastAsia="ko-KR" w:bidi="hi-IN"/>
        </w:rPr>
      </w:pP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3"/>
        <w:rPr>
          <w:rFonts w:eastAsia="Times New Roman"/>
          <w:b/>
          <w:bCs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Tooling &amp; AI Policy</w:t>
      </w:r>
    </w:p>
    <w:p w:rsidR="001272FD" w:rsidRPr="001272FD" w:rsidRDefault="001272FD" w:rsidP="001272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N" w:eastAsia="ko-KR" w:bidi="hi-IN"/>
        </w:rPr>
      </w:pPr>
      <w:r w:rsidRPr="001272FD">
        <w:rPr>
          <w:rFonts w:ascii="Arial" w:eastAsia="Times New Roman" w:hAnsi="Arial" w:cs="Arial"/>
          <w:b/>
          <w:bCs/>
          <w:color w:val="1F1F1F"/>
          <w:sz w:val="22"/>
          <w:szCs w:val="22"/>
          <w:bdr w:val="none" w:sz="0" w:space="0" w:color="auto"/>
          <w:lang w:val="en-IN" w:eastAsia="ko-KR" w:bidi="hi-IN"/>
        </w:rPr>
        <w:t>AI Assistance Permitted:</w:t>
      </w:r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 xml:space="preserve"> Participants are explicitly encouraged to use AI tools (such as Gemini, Claude, or </w:t>
      </w:r>
      <w:proofErr w:type="spellStart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ChatGPT</w:t>
      </w:r>
      <w:proofErr w:type="spellEnd"/>
      <w:r w:rsidRPr="001272FD">
        <w:rPr>
          <w:rFonts w:ascii="Arial" w:eastAsia="Times New Roman" w:hAnsi="Arial" w:cs="Arial"/>
          <w:color w:val="1F1F1F"/>
          <w:sz w:val="22"/>
          <w:szCs w:val="22"/>
          <w:bdr w:val="none" w:sz="0" w:space="0" w:color="auto"/>
          <w:lang w:val="en-IN" w:eastAsia="ko-KR" w:bidi="hi-IN"/>
        </w:rPr>
        <w:t>) to rapidly acquire biological domain knowledge, research state-of-the-art sequence representations, and debug implementation workflows. Your architecture design, code integration, and pipeline validation must be your team’s own work.</w:t>
      </w:r>
    </w:p>
    <w:p w:rsidR="001272FD" w:rsidRPr="001272FD" w:rsidRDefault="001272FD">
      <w:pPr>
        <w:pStyle w:val="Default"/>
        <w:suppressAutoHyphens/>
        <w:spacing w:before="0" w:after="240" w:line="240" w:lineRule="auto"/>
        <w:rPr>
          <w:lang w:val="en-IN"/>
        </w:rPr>
      </w:pPr>
    </w:p>
    <w:sectPr w:rsidR="001272FD" w:rsidRPr="001272F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