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04415" w:rsidR="00104415" w:rsidP="00104415" w:rsidRDefault="00104415" w14:paraId="21714D2F" w14:textId="4C059CCB">
      <w:pPr>
        <w:pStyle w:val="paragraph"/>
        <w:spacing w:before="0" w:beforeAutospacing="0" w:after="0" w:afterAutospacing="0"/>
        <w:textAlignment w:val="baseline"/>
        <w:rPr>
          <w:rStyle w:val="eop"/>
          <w:color w:val="000000" w:themeColor="text1"/>
          <w:u w:val="single"/>
        </w:rPr>
      </w:pPr>
      <w:r w:rsidRPr="00104415">
        <w:rPr>
          <w:rStyle w:val="normaltextrun"/>
          <w:b/>
          <w:bCs/>
          <w:color w:val="000000" w:themeColor="text1"/>
          <w:u w:val="single"/>
        </w:rPr>
        <w:t>Global Multi-Asset Model: A Factor-based Methodology</w:t>
      </w:r>
    </w:p>
    <w:p w:rsidRPr="00104415" w:rsidR="00104415" w:rsidP="00104415" w:rsidRDefault="00104415" w14:paraId="55CAF035" w14:textId="77777777">
      <w:pPr>
        <w:pStyle w:val="paragraph"/>
        <w:spacing w:before="0" w:beforeAutospacing="0" w:after="0" w:afterAutospacing="0"/>
        <w:textAlignment w:val="baseline"/>
        <w:rPr>
          <w:rFonts w:ascii="Segoe UI" w:hAnsi="Segoe UI" w:cs="Segoe UI"/>
          <w:color w:val="000000" w:themeColor="text1"/>
          <w:sz w:val="18"/>
          <w:szCs w:val="18"/>
        </w:rPr>
      </w:pPr>
    </w:p>
    <w:p w:rsidRPr="00104415" w:rsidR="00104415" w:rsidP="00104415" w:rsidRDefault="00104415" w14:paraId="12AACFC1" w14:textId="77777777">
      <w:pPr>
        <w:pStyle w:val="paragraph"/>
        <w:spacing w:before="0" w:beforeAutospacing="0" w:after="0" w:afterAutospacing="0"/>
        <w:textAlignment w:val="baseline"/>
        <w:rPr>
          <w:rFonts w:ascii="Segoe UI" w:hAnsi="Segoe UI" w:cs="Segoe UI"/>
          <w:color w:val="000000" w:themeColor="text1"/>
          <w:sz w:val="18"/>
          <w:szCs w:val="18"/>
        </w:rPr>
      </w:pPr>
      <w:proofErr w:type="spellStart"/>
      <w:r w:rsidRPr="00104415">
        <w:rPr>
          <w:rStyle w:val="normaltextrun"/>
          <w:color w:val="000000" w:themeColor="text1"/>
        </w:rPr>
        <w:t>iCapital</w:t>
      </w:r>
      <w:proofErr w:type="spellEnd"/>
      <w:r w:rsidRPr="00104415">
        <w:rPr>
          <w:rStyle w:val="normaltextrun"/>
          <w:color w:val="000000" w:themeColor="text1"/>
        </w:rPr>
        <w:t xml:space="preserve"> Architect uses a proprietary global multi-asset risk model (“GMAM”) to simulate portfolio returns. The Global Multi-Asset Model Methodology is premised on several assumptions and has certain inherent limitations.  See </w:t>
      </w:r>
      <w:r w:rsidRPr="00104415">
        <w:rPr>
          <w:rStyle w:val="normaltextrun"/>
          <w:b/>
          <w:bCs/>
          <w:color w:val="000000" w:themeColor="text1"/>
        </w:rPr>
        <w:t>Key Assumptions and Limitations</w:t>
      </w:r>
      <w:r w:rsidRPr="00104415">
        <w:rPr>
          <w:rStyle w:val="normaltextrun"/>
          <w:color w:val="000000" w:themeColor="text1"/>
        </w:rPr>
        <w:t> below for further information. </w:t>
      </w:r>
      <w:r w:rsidRPr="00104415">
        <w:rPr>
          <w:rStyle w:val="eop"/>
          <w:color w:val="000000" w:themeColor="text1"/>
        </w:rPr>
        <w:t> </w:t>
      </w:r>
    </w:p>
    <w:p w:rsidRPr="00104415" w:rsidR="00104415" w:rsidP="00104415" w:rsidRDefault="00104415" w14:paraId="3DF0E41F"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5D6C5E43"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The GMAM risk model is grounded in well-established traditional academic research, modern quantitative techniques, and industry application. GMAM’s methodology is a Bayesian-based, probabilistic regression model that estimates returns of assets and portfolios using statistical methods.</w:t>
      </w:r>
      <w:r w:rsidRPr="00104415">
        <w:rPr>
          <w:rStyle w:val="eop"/>
          <w:color w:val="000000" w:themeColor="text1"/>
        </w:rPr>
        <w:t> </w:t>
      </w:r>
    </w:p>
    <w:p w:rsidRPr="00104415" w:rsidR="00104415" w:rsidP="00104415" w:rsidRDefault="00104415" w14:paraId="21692ADA"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5A9D9FFF"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b/>
          <w:bCs/>
          <w:color w:val="000000" w:themeColor="text1"/>
        </w:rPr>
        <w:t>About GMAM</w:t>
      </w:r>
      <w:r w:rsidRPr="00104415">
        <w:rPr>
          <w:rStyle w:val="eop"/>
          <w:color w:val="000000" w:themeColor="text1"/>
        </w:rPr>
        <w:t> </w:t>
      </w:r>
    </w:p>
    <w:p w:rsidRPr="00104415" w:rsidR="00104415" w:rsidP="75BCA7AD" w:rsidRDefault="00104415" w14:paraId="6C0FD951" w14:textId="404A0A00">
      <w:pPr>
        <w:pStyle w:val="paragraph"/>
        <w:spacing w:before="0" w:beforeAutospacing="off" w:after="0" w:afterAutospacing="off"/>
        <w:textAlignment w:val="baseline"/>
        <w:rPr>
          <w:rFonts w:ascii="Segoe UI" w:hAnsi="Segoe UI" w:cs="Segoe UI"/>
          <w:color w:val="000000" w:themeColor="text1"/>
          <w:sz w:val="18"/>
          <w:szCs w:val="18"/>
        </w:rPr>
      </w:pPr>
      <w:r w:rsidRPr="2DC54667" w:rsidR="00104415">
        <w:rPr>
          <w:rStyle w:val="normaltextrun"/>
          <w:color w:val="000000" w:themeColor="text1" w:themeTint="FF" w:themeShade="FF"/>
        </w:rPr>
        <w:t>The GMAM risk model analyzes the co-movement between the hypothetical performance of a user’s uploaded or selected portfolio and a set of factors, which are constructed from public market data, including third-party indices and/or baskets. GMAM leverages a framework of 13 factors that capture equity, fixed income, alternative, and other market exposures</w:t>
      </w:r>
      <w:r w:rsidRPr="2DC54667" w:rsidR="00104415">
        <w:rPr>
          <w:rStyle w:val="normaltextrun"/>
          <w:color w:val="000000" w:themeColor="text1" w:themeTint="FF" w:themeShade="FF"/>
        </w:rPr>
        <w:t xml:space="preserve"> (see Table 1)</w:t>
      </w:r>
      <w:r w:rsidRPr="2DC54667" w:rsidR="00104415">
        <w:rPr>
          <w:rStyle w:val="normaltextrun"/>
          <w:color w:val="000000" w:themeColor="text1" w:themeTint="FF" w:themeShade="FF"/>
        </w:rPr>
        <w:t xml:space="preserve">. GMAM presents a historical analysis of the </w:t>
      </w:r>
      <w:r w:rsidRPr="2DC54667" w:rsidR="00104415">
        <w:rPr>
          <w:rStyle w:val="normaltextrun"/>
          <w:color w:val="000000" w:themeColor="text1" w:themeTint="FF" w:themeShade="FF"/>
        </w:rPr>
        <w:t>correl</w:t>
      </w:r>
      <w:r w:rsidRPr="2DC54667" w:rsidR="00104415">
        <w:rPr>
          <w:rStyle w:val="normaltextrun"/>
          <w:color w:val="000000" w:themeColor="text1" w:themeTint="FF" w:themeShade="FF"/>
        </w:rPr>
        <w:t>ation between the actual performance of the individual assets in the user's uploaded or selected portfolio and that of a set of explanatory factors through a regression. Using this regression, the model estimates the sensitivity or exposure of the asset or group of assets in a por</w:t>
      </w:r>
      <w:r w:rsidRPr="2DC54667" w:rsidR="00104415">
        <w:rPr>
          <w:rStyle w:val="normaltextrun"/>
          <w:color w:val="000000" w:themeColor="text1" w:themeTint="FF" w:themeShade="FF"/>
        </w:rPr>
        <w:t xml:space="preserve">tfolio to the </w:t>
      </w:r>
      <w:r w:rsidRPr="2DC54667" w:rsidR="00104415">
        <w:rPr>
          <w:rStyle w:val="normaltextrun"/>
          <w:color w:val="000000" w:themeColor="text1" w:themeTint="FF" w:themeShade="FF"/>
        </w:rPr>
        <w:t>dif</w:t>
      </w:r>
      <w:r w:rsidRPr="2DC54667" w:rsidR="00104415">
        <w:rPr>
          <w:rStyle w:val="normaltextrun"/>
          <w:color w:val="000000" w:themeColor="text1" w:themeTint="FF" w:themeShade="FF"/>
        </w:rPr>
        <w:t>ferent factors</w:t>
      </w:r>
      <w:r w:rsidRPr="2DC54667" w:rsidR="00104415">
        <w:rPr>
          <w:rStyle w:val="normaltextrun"/>
          <w:color w:val="000000" w:themeColor="text1" w:themeTint="FF" w:themeShade="FF"/>
        </w:rPr>
        <w:t xml:space="preserve"> to a</w:t>
      </w:r>
      <w:r w:rsidRPr="2DC54667" w:rsidR="00104415">
        <w:rPr>
          <w:rStyle w:val="normaltextrun"/>
          <w:color w:val="000000" w:themeColor="text1" w:themeTint="FF" w:themeShade="FF"/>
        </w:rPr>
        <w:t>llow use</w:t>
      </w:r>
      <w:r w:rsidRPr="2DC54667" w:rsidR="00104415">
        <w:rPr>
          <w:rStyle w:val="normaltextrun"/>
          <w:color w:val="000000" w:themeColor="text1" w:themeTint="FF" w:themeShade="FF"/>
        </w:rPr>
        <w:t xml:space="preserve">rs to </w:t>
      </w:r>
      <w:r w:rsidRPr="2DC54667" w:rsidR="00104415">
        <w:rPr>
          <w:rStyle w:val="normaltextrun"/>
          <w:color w:val="000000" w:themeColor="text1" w:themeTint="FF" w:themeShade="FF"/>
        </w:rPr>
        <w:t>identify</w:t>
      </w:r>
      <w:r w:rsidRPr="2DC54667" w:rsidR="00104415">
        <w:rPr>
          <w:rStyle w:val="normaltextrun"/>
          <w:color w:val="000000" w:themeColor="text1" w:themeTint="FF" w:themeShade="FF"/>
        </w:rPr>
        <w:t xml:space="preserve"> potential sources of risk and return. Using these computed factor exposures and the performance history of the factors, GMAM simulates how an asset or portfolio might have performed historically. The result of this methodology is a simulated return for portfolios that include many different types of investment vehicles, including, but not limited to, </w:t>
      </w:r>
      <w:r w:rsidRPr="2DC54667" w:rsidR="00104415">
        <w:rPr>
          <w:rStyle w:val="normaltextrun"/>
          <w:color w:val="000000" w:themeColor="text1" w:themeTint="FF" w:themeShade="FF"/>
        </w:rPr>
        <w:t>Traditional</w:t>
      </w:r>
      <w:r w:rsidRPr="2DC54667" w:rsidR="00104415">
        <w:rPr>
          <w:rStyle w:val="normaltextrun"/>
          <w:color w:val="000000" w:themeColor="text1" w:themeTint="FF" w:themeShade="FF"/>
        </w:rPr>
        <w:t xml:space="preserve"> Assets (equity and fixed income instruments</w:t>
      </w:r>
      <w:r w:rsidRPr="2DC54667" w:rsidR="0A6408CD">
        <w:rPr>
          <w:rStyle w:val="normaltextrun"/>
          <w:color w:val="000000" w:themeColor="text1" w:themeTint="FF" w:themeShade="FF"/>
        </w:rPr>
        <w:t xml:space="preserve">, </w:t>
      </w:r>
      <w:r w:rsidRPr="2DC54667" w:rsidR="00104415">
        <w:rPr>
          <w:rStyle w:val="normaltextrun"/>
          <w:color w:val="000000" w:themeColor="text1" w:themeTint="FF" w:themeShade="FF"/>
        </w:rPr>
        <w:t>ETFs</w:t>
      </w:r>
      <w:r w:rsidRPr="2DC54667" w:rsidR="372681F1">
        <w:rPr>
          <w:rStyle w:val="normaltextrun"/>
          <w:color w:val="000000" w:themeColor="text1" w:themeTint="FF" w:themeShade="FF"/>
        </w:rPr>
        <w:t>, and open-end registered investment companies</w:t>
      </w:r>
      <w:r w:rsidRPr="2DC54667" w:rsidR="00104415">
        <w:rPr>
          <w:rStyle w:val="normaltextrun"/>
          <w:color w:val="000000" w:themeColor="text1" w:themeTint="FF" w:themeShade="FF"/>
        </w:rPr>
        <w:t>) a</w:t>
      </w:r>
      <w:r w:rsidRPr="2DC54667" w:rsidR="00104415">
        <w:rPr>
          <w:rStyle w:val="normaltextrun"/>
          <w:color w:val="000000" w:themeColor="text1" w:themeTint="FF" w:themeShade="FF"/>
        </w:rPr>
        <w:t>nd Alt Funds (closed-end registered investment companies, business development companies, or any investment fund that is exempt from registration (e.g., hedge funds, private capital funds, and private equity funds); it is not available for structured investments. </w:t>
      </w:r>
      <w:r w:rsidRPr="2DC54667" w:rsidR="00104415">
        <w:rPr>
          <w:rStyle w:val="eop"/>
          <w:color w:val="000000" w:themeColor="text1" w:themeTint="FF" w:themeShade="FF"/>
        </w:rPr>
        <w:t> </w:t>
      </w:r>
    </w:p>
    <w:p w:rsidRPr="00104415" w:rsidR="00104415" w:rsidP="00104415" w:rsidRDefault="00104415" w14:paraId="3710F6E8"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20DCED23"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In addition to the factors, GMAM’s model considers outside information, in the form of priors, to refine and improve the model through machine learning. Priors in Bayes’ rule are the initial beliefs or assumptions about the parameters of interest before observing any data. In GMAM, priors may include subjective beliefs formed from fund due diligence about hypothetical performance. This process is rooted in Bayes' rule - a fundamental principle of probability theory that describes how to update our beliefs about an event based on new information. GMAM also accounts for assets with complex performance reporting structures, such as private capital funds. Returns for private capital funds are reported retroactively (e.g., quarterly and the returns may reflect valuations from the previous quarter) and are typically smoothed returns (i.e., less volatile than real-time reporting because the delay in reporting reduces the impact of economic factors on the valuation of assets). GMAM accounts for these return characteristics in the model to potentially generate accurate simulated returns. </w:t>
      </w:r>
      <w:r w:rsidRPr="00104415">
        <w:rPr>
          <w:rStyle w:val="eop"/>
          <w:color w:val="000000" w:themeColor="text1"/>
        </w:rPr>
        <w:t> </w:t>
      </w:r>
    </w:p>
    <w:p w:rsidRPr="00104415" w:rsidR="00104415" w:rsidP="00104415" w:rsidRDefault="00104415" w14:paraId="56821CCC" w14:textId="77777777">
      <w:pPr>
        <w:pStyle w:val="paragraph"/>
        <w:spacing w:before="0" w:beforeAutospacing="0" w:after="0" w:afterAutospacing="0"/>
        <w:textAlignment w:val="baseline"/>
        <w:rPr>
          <w:rFonts w:ascii="Segoe UI" w:hAnsi="Segoe UI" w:cs="Segoe UI"/>
          <w:color w:val="000000" w:themeColor="text1"/>
          <w:sz w:val="18"/>
          <w:szCs w:val="18"/>
        </w:rPr>
      </w:pPr>
      <w:r w:rsidRPr="75BCA7AD" w:rsidR="00104415">
        <w:rPr>
          <w:rStyle w:val="eop"/>
          <w:color w:val="000000" w:themeColor="text1" w:themeTint="FF" w:themeShade="FF"/>
        </w:rPr>
        <w:t> </w:t>
      </w:r>
    </w:p>
    <w:p w:rsidR="3E235403" w:rsidP="75BCA7AD" w:rsidRDefault="3E235403" w14:paraId="6E6A4171" w14:textId="5F70AADA">
      <w:pPr>
        <w:pStyle w:val="paragraph"/>
        <w:spacing w:before="0" w:beforeAutospacing="off" w:after="0" w:afterAutospacing="off"/>
        <w:rPr>
          <w:rStyle w:val="normaltextrun"/>
          <w:b w:val="0"/>
          <w:bCs w:val="0"/>
          <w:color w:val="000000" w:themeColor="text1" w:themeTint="FF" w:themeShade="FF"/>
        </w:rPr>
      </w:pPr>
      <w:r w:rsidRPr="35A5D1D8" w:rsidR="3E235403">
        <w:rPr>
          <w:rStyle w:val="normaltextrun"/>
          <w:b w:val="0"/>
          <w:bCs w:val="0"/>
          <w:color w:val="000000" w:themeColor="text1" w:themeTint="FF" w:themeShade="FF"/>
        </w:rPr>
        <w:t xml:space="preserve">The following table outlines the indices </w:t>
      </w:r>
      <w:r w:rsidRPr="35A5D1D8" w:rsidR="3E235403">
        <w:rPr>
          <w:rStyle w:val="normaltextrun"/>
          <w:b w:val="0"/>
          <w:bCs w:val="0"/>
          <w:color w:val="000000" w:themeColor="text1" w:themeTint="FF" w:themeShade="FF"/>
        </w:rPr>
        <w:t>iCapital</w:t>
      </w:r>
      <w:r w:rsidRPr="35A5D1D8" w:rsidR="3E235403">
        <w:rPr>
          <w:rStyle w:val="normaltextrun"/>
          <w:b w:val="0"/>
          <w:bCs w:val="0"/>
          <w:color w:val="000000" w:themeColor="text1" w:themeTint="FF" w:themeShade="FF"/>
        </w:rPr>
        <w:t xml:space="preserve"> Architect uses to calculate </w:t>
      </w:r>
      <w:r w:rsidRPr="35A5D1D8" w:rsidR="496B1AC3">
        <w:rPr>
          <w:rStyle w:val="normaltextrun"/>
          <w:b w:val="0"/>
          <w:bCs w:val="0"/>
          <w:color w:val="000000" w:themeColor="text1" w:themeTint="FF" w:themeShade="FF"/>
        </w:rPr>
        <w:t xml:space="preserve">the </w:t>
      </w:r>
      <w:r w:rsidRPr="35A5D1D8" w:rsidR="20A1F541">
        <w:rPr>
          <w:rStyle w:val="normaltextrun"/>
          <w:b w:val="0"/>
          <w:bCs w:val="0"/>
          <w:color w:val="000000" w:themeColor="text1" w:themeTint="FF" w:themeShade="FF"/>
        </w:rPr>
        <w:t>actual performance of each factor in this analysis.</w:t>
      </w:r>
    </w:p>
    <w:p w:rsidR="75BCA7AD" w:rsidP="75BCA7AD" w:rsidRDefault="75BCA7AD" w14:paraId="1990D347" w14:textId="63F91A8B">
      <w:pPr>
        <w:pStyle w:val="paragraph"/>
        <w:spacing w:before="0" w:beforeAutospacing="off" w:after="0" w:afterAutospacing="off"/>
        <w:rPr>
          <w:rStyle w:val="normaltextrun"/>
          <w:rFonts w:ascii="Times New Roman" w:hAnsi="Times New Roman" w:eastAsia="Times New Roman" w:cs="Times New Roman"/>
          <w:b w:val="0"/>
          <w:bCs w:val="0"/>
          <w:color w:val="000000" w:themeColor="text1" w:themeTint="FF" w:themeShade="FF"/>
          <w:sz w:val="24"/>
          <w:szCs w:val="24"/>
        </w:rPr>
      </w:pPr>
    </w:p>
    <w:p w:rsidR="2BE9BC01" w:rsidP="75BCA7AD" w:rsidRDefault="2BE9BC01" w14:paraId="482FB414" w14:textId="6F7F84A3">
      <w:pPr>
        <w:pStyle w:val="paragraph"/>
        <w:spacing w:before="0" w:beforeAutospacing="off" w:after="0" w:afterAutospacing="off"/>
        <w:rPr>
          <w:rStyle w:val="normaltextrun"/>
          <w:rFonts w:ascii="Times New Roman" w:hAnsi="Times New Roman" w:eastAsia="Times New Roman" w:cs="Times New Roman"/>
          <w:b w:val="0"/>
          <w:bCs w:val="0"/>
          <w:color w:val="000000" w:themeColor="text1" w:themeTint="FF" w:themeShade="FF"/>
          <w:sz w:val="24"/>
          <w:szCs w:val="24"/>
          <w:u w:val="single"/>
        </w:rPr>
      </w:pPr>
      <w:r w:rsidRPr="35A5D1D8" w:rsidR="2BE9BC01">
        <w:rPr>
          <w:rStyle w:val="normaltextrun"/>
          <w:rFonts w:ascii="Times New Roman" w:hAnsi="Times New Roman" w:eastAsia="Times New Roman" w:cs="Times New Roman"/>
          <w:b w:val="0"/>
          <w:bCs w:val="0"/>
          <w:color w:val="000000" w:themeColor="text1" w:themeTint="FF" w:themeShade="FF"/>
          <w:sz w:val="24"/>
          <w:szCs w:val="24"/>
          <w:u w:val="single"/>
        </w:rPr>
        <w:t>Table 1</w:t>
      </w:r>
    </w:p>
    <w:tbl>
      <w:tblPr>
        <w:tblStyle w:val="TableGrid"/>
        <w:tblW w:w="0" w:type="auto"/>
        <w:tblLayout w:type="fixed"/>
        <w:tblLook w:val="06A0" w:firstRow="1" w:lastRow="0" w:firstColumn="1" w:lastColumn="0" w:noHBand="1" w:noVBand="1"/>
      </w:tblPr>
      <w:tblGrid>
        <w:gridCol w:w="4680"/>
        <w:gridCol w:w="4680"/>
      </w:tblGrid>
      <w:tr w:rsidR="75BCA7AD" w:rsidTr="35A5D1D8" w14:paraId="3218F025">
        <w:trPr>
          <w:trHeight w:val="300"/>
        </w:trPr>
        <w:tc>
          <w:tcPr>
            <w:tcW w:w="4680" w:type="dxa"/>
            <w:tcMar/>
          </w:tcPr>
          <w:p w:rsidR="280BA2C8" w:rsidP="35A5D1D8" w:rsidRDefault="280BA2C8" w14:paraId="324B5167" w14:textId="0DE5676B">
            <w:pPr>
              <w:pStyle w:val="paragraph"/>
              <w:jc w:val="center"/>
              <w:rPr>
                <w:rStyle w:val="normaltextrun"/>
                <w:rFonts w:ascii="Times New Roman" w:hAnsi="Times New Roman" w:eastAsia="Times New Roman" w:cs="Times New Roman"/>
                <w:b w:val="0"/>
                <w:bCs w:val="0"/>
                <w:color w:val="000000" w:themeColor="text1" w:themeTint="FF" w:themeShade="FF"/>
                <w:sz w:val="24"/>
                <w:szCs w:val="24"/>
              </w:rPr>
            </w:pPr>
            <w:r w:rsidRPr="35A5D1D8" w:rsidR="280BA2C8">
              <w:rPr>
                <w:rStyle w:val="normaltextrun"/>
                <w:rFonts w:ascii="Times New Roman" w:hAnsi="Times New Roman" w:eastAsia="Times New Roman" w:cs="Times New Roman"/>
                <w:b w:val="0"/>
                <w:bCs w:val="0"/>
                <w:color w:val="000000" w:themeColor="text1" w:themeTint="FF" w:themeShade="FF"/>
                <w:sz w:val="24"/>
                <w:szCs w:val="24"/>
              </w:rPr>
              <w:t>Factor</w:t>
            </w:r>
            <w:r w:rsidRPr="35A5D1D8" w:rsidR="280BA2C8">
              <w:rPr>
                <w:rStyle w:val="normaltextrun"/>
                <w:rFonts w:ascii="Times New Roman" w:hAnsi="Times New Roman" w:eastAsia="Times New Roman" w:cs="Times New Roman"/>
                <w:b w:val="0"/>
                <w:bCs w:val="0"/>
                <w:color w:val="000000" w:themeColor="text1" w:themeTint="FF" w:themeShade="FF"/>
                <w:sz w:val="24"/>
                <w:szCs w:val="24"/>
              </w:rPr>
              <w:t xml:space="preserve"> Name</w:t>
            </w:r>
          </w:p>
        </w:tc>
        <w:tc>
          <w:tcPr>
            <w:tcW w:w="4680" w:type="dxa"/>
            <w:tcMar/>
          </w:tcPr>
          <w:p w:rsidR="280BA2C8" w:rsidP="35A5D1D8" w:rsidRDefault="280BA2C8" w14:paraId="3A1BAAD8" w14:textId="6C5225F5">
            <w:pPr>
              <w:pStyle w:val="paragraph"/>
              <w:jc w:val="center"/>
              <w:rPr>
                <w:rStyle w:val="normaltextrun"/>
                <w:rFonts w:ascii="Times New Roman" w:hAnsi="Times New Roman" w:eastAsia="Times New Roman" w:cs="Times New Roman"/>
                <w:b w:val="0"/>
                <w:bCs w:val="0"/>
                <w:color w:val="000000" w:themeColor="text1" w:themeTint="FF" w:themeShade="FF"/>
                <w:sz w:val="24"/>
                <w:szCs w:val="24"/>
              </w:rPr>
            </w:pPr>
            <w:r w:rsidRPr="35A5D1D8" w:rsidR="280BA2C8">
              <w:rPr>
                <w:rStyle w:val="normaltextrun"/>
                <w:rFonts w:ascii="Times New Roman" w:hAnsi="Times New Roman" w:eastAsia="Times New Roman" w:cs="Times New Roman"/>
                <w:b w:val="0"/>
                <w:bCs w:val="0"/>
                <w:color w:val="000000" w:themeColor="text1" w:themeTint="FF" w:themeShade="FF"/>
                <w:sz w:val="24"/>
                <w:szCs w:val="24"/>
              </w:rPr>
              <w:t>Index</w:t>
            </w:r>
          </w:p>
        </w:tc>
      </w:tr>
      <w:tr w:rsidR="75BCA7AD" w:rsidTr="35A5D1D8" w14:paraId="592F72B7">
        <w:trPr>
          <w:trHeight w:val="300"/>
        </w:trPr>
        <w:tc>
          <w:tcPr>
            <w:tcW w:w="4680" w:type="dxa"/>
            <w:tcMar/>
          </w:tcPr>
          <w:p w:rsidR="75BCA7AD" w:rsidP="35A5D1D8" w:rsidRDefault="75BCA7AD" w14:paraId="0D2C6F58" w14:textId="1BA3B76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Alt Commodities</w:t>
            </w:r>
          </w:p>
        </w:tc>
        <w:tc>
          <w:tcPr>
            <w:tcW w:w="4680" w:type="dxa"/>
            <w:tcMar/>
          </w:tcPr>
          <w:p w:rsidR="75BCA7AD" w:rsidP="35A5D1D8" w:rsidRDefault="75BCA7AD" w14:paraId="1D3FCBFC" w14:textId="3C1C9F2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Bloomberg Commodity Index</w:t>
            </w:r>
          </w:p>
        </w:tc>
      </w:tr>
      <w:tr w:rsidR="75BCA7AD" w:rsidTr="35A5D1D8" w14:paraId="281A5687">
        <w:trPr>
          <w:trHeight w:val="300"/>
        </w:trPr>
        <w:tc>
          <w:tcPr>
            <w:tcW w:w="4680" w:type="dxa"/>
            <w:tcMar/>
          </w:tcPr>
          <w:p w:rsidR="75BCA7AD" w:rsidP="35A5D1D8" w:rsidRDefault="75BCA7AD" w14:paraId="292D8972" w14:textId="3CCAE7C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Alt HF Crowding</w:t>
            </w:r>
          </w:p>
        </w:tc>
        <w:tc>
          <w:tcPr>
            <w:tcW w:w="4680" w:type="dxa"/>
            <w:tcMar/>
          </w:tcPr>
          <w:p w:rsidR="3F9C642E" w:rsidP="35A5D1D8" w:rsidRDefault="3F9C642E" w14:paraId="41C73156" w14:textId="241BB5EC">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3F9C642E">
              <w:rPr>
                <w:rFonts w:ascii="Times New Roman" w:hAnsi="Times New Roman" w:eastAsia="Times New Roman" w:cs="Times New Roman"/>
                <w:b w:val="0"/>
                <w:bCs w:val="0"/>
                <w:i w:val="1"/>
                <w:iCs w:val="1"/>
                <w:strike w:val="0"/>
                <w:dstrike w:val="0"/>
                <w:color w:val="000000" w:themeColor="text1" w:themeTint="FF" w:themeShade="FF"/>
                <w:sz w:val="24"/>
                <w:szCs w:val="24"/>
                <w:u w:val="single"/>
              </w:rPr>
              <w:t>Difference Between:</w:t>
            </w:r>
          </w:p>
          <w:p w:rsidR="75BCA7AD" w:rsidP="35A5D1D8" w:rsidRDefault="75BCA7AD" w14:paraId="07486820" w14:textId="0C0A077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Barclays Form 13 Filing</w:t>
            </w:r>
            <w:r w:rsidRPr="35A5D1D8" w:rsidR="5EC298C0">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4262ECB4" w14:textId="367ACFF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Russell 3000 Total Return Index</w:t>
            </w:r>
          </w:p>
        </w:tc>
      </w:tr>
      <w:tr w:rsidR="75BCA7AD" w:rsidTr="35A5D1D8" w14:paraId="3083B2A7">
        <w:trPr>
          <w:trHeight w:val="300"/>
        </w:trPr>
        <w:tc>
          <w:tcPr>
            <w:tcW w:w="4680" w:type="dxa"/>
            <w:tcMar/>
          </w:tcPr>
          <w:p w:rsidR="75BCA7AD" w:rsidP="35A5D1D8" w:rsidRDefault="75BCA7AD" w14:paraId="5420929E" w14:textId="6D35285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Alt Oil</w:t>
            </w:r>
          </w:p>
        </w:tc>
        <w:tc>
          <w:tcPr>
            <w:tcW w:w="4680" w:type="dxa"/>
            <w:tcMar/>
          </w:tcPr>
          <w:p w:rsidR="1100E5E1" w:rsidP="35A5D1D8" w:rsidRDefault="1100E5E1" w14:paraId="6A6AD5CE" w14:textId="3F0EEF6E">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1100E5E1">
              <w:rPr>
                <w:rFonts w:ascii="Times New Roman" w:hAnsi="Times New Roman" w:eastAsia="Times New Roman" w:cs="Times New Roman"/>
                <w:b w:val="0"/>
                <w:bCs w:val="0"/>
                <w:i w:val="1"/>
                <w:iCs w:val="1"/>
                <w:strike w:val="0"/>
                <w:dstrike w:val="0"/>
                <w:color w:val="000000" w:themeColor="text1" w:themeTint="FF" w:themeShade="FF"/>
                <w:sz w:val="24"/>
                <w:szCs w:val="24"/>
                <w:u w:val="single"/>
              </w:rPr>
              <w:t>Average of:</w:t>
            </w:r>
          </w:p>
          <w:p w:rsidR="75BCA7AD" w:rsidP="35A5D1D8" w:rsidRDefault="75BCA7AD" w14:paraId="69B7AE9D" w14:textId="23BCA8E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Middle East Crude Oil</w:t>
            </w:r>
            <w:r w:rsidRPr="35A5D1D8" w:rsidR="3188FE59">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131CBDEA" w14:textId="7291060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WTI Crude Oil</w:t>
            </w:r>
            <w:r w:rsidRPr="35A5D1D8" w:rsidR="6DFFB39E">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279F22E0" w14:textId="7702B11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Brent</w:t>
            </w: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Crude </w:t>
            </w: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Oil</w:t>
            </w:r>
          </w:p>
        </w:tc>
      </w:tr>
      <w:tr w:rsidR="75BCA7AD" w:rsidTr="35A5D1D8" w14:paraId="549EA6A2">
        <w:trPr>
          <w:trHeight w:val="300"/>
        </w:trPr>
        <w:tc>
          <w:tcPr>
            <w:tcW w:w="4680" w:type="dxa"/>
            <w:tcMar/>
          </w:tcPr>
          <w:p w:rsidR="75BCA7AD" w:rsidP="35A5D1D8" w:rsidRDefault="75BCA7AD" w14:paraId="22BB53D9" w14:textId="327E363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Alt Trend</w:t>
            </w:r>
          </w:p>
        </w:tc>
        <w:tc>
          <w:tcPr>
            <w:tcW w:w="4680" w:type="dxa"/>
            <w:tcMar/>
          </w:tcPr>
          <w:p w:rsidR="75BCA7AD" w:rsidP="35A5D1D8" w:rsidRDefault="75BCA7AD" w14:paraId="0AA5EBAA" w14:textId="751664F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Credit Suisse Managed Futures Index</w:t>
            </w:r>
          </w:p>
        </w:tc>
      </w:tr>
      <w:tr w:rsidR="75BCA7AD" w:rsidTr="35A5D1D8" w14:paraId="5E986975">
        <w:trPr>
          <w:trHeight w:val="300"/>
        </w:trPr>
        <w:tc>
          <w:tcPr>
            <w:tcW w:w="4680" w:type="dxa"/>
            <w:tcMar/>
          </w:tcPr>
          <w:p w:rsidR="75BCA7AD" w:rsidP="35A5D1D8" w:rsidRDefault="75BCA7AD" w14:paraId="611494A5" w14:textId="7DB4F2D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Emerging Markets</w:t>
            </w:r>
          </w:p>
        </w:tc>
        <w:tc>
          <w:tcPr>
            <w:tcW w:w="4680" w:type="dxa"/>
            <w:tcMar/>
          </w:tcPr>
          <w:p w:rsidR="63E4E8E4" w:rsidP="35A5D1D8" w:rsidRDefault="63E4E8E4" w14:paraId="043FD1DA" w14:textId="27841FE8">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63E4E8E4">
              <w:rPr>
                <w:rFonts w:ascii="Times New Roman" w:hAnsi="Times New Roman" w:eastAsia="Times New Roman" w:cs="Times New Roman"/>
                <w:b w:val="0"/>
                <w:bCs w:val="0"/>
                <w:i w:val="1"/>
                <w:iCs w:val="1"/>
                <w:strike w:val="0"/>
                <w:dstrike w:val="0"/>
                <w:color w:val="000000" w:themeColor="text1" w:themeTint="FF" w:themeShade="FF"/>
                <w:sz w:val="24"/>
                <w:szCs w:val="24"/>
                <w:u w:val="single"/>
              </w:rPr>
              <w:t>Difference Between:</w:t>
            </w:r>
          </w:p>
          <w:p w:rsidR="75BCA7AD" w:rsidP="35A5D1D8" w:rsidRDefault="75BCA7AD" w14:paraId="3C3108D5" w14:textId="5AEB8F0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MSCI Emerging Markets Index (PR)</w:t>
            </w:r>
            <w:r w:rsidRPr="35A5D1D8" w:rsidR="403BB8C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4E81CB92" w14:textId="7931B77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MSCI ACWI (PR)</w:t>
            </w:r>
          </w:p>
        </w:tc>
      </w:tr>
      <w:tr w:rsidR="75BCA7AD" w:rsidTr="35A5D1D8" w14:paraId="33BBC974">
        <w:trPr>
          <w:trHeight w:val="300"/>
        </w:trPr>
        <w:tc>
          <w:tcPr>
            <w:tcW w:w="4680" w:type="dxa"/>
            <w:tcMar/>
          </w:tcPr>
          <w:p w:rsidR="75BCA7AD" w:rsidP="35A5D1D8" w:rsidRDefault="75BCA7AD" w14:paraId="2537AAEF" w14:textId="2B2D6F1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Equity Market</w:t>
            </w:r>
          </w:p>
        </w:tc>
        <w:tc>
          <w:tcPr>
            <w:tcW w:w="4680" w:type="dxa"/>
            <w:tcMar/>
          </w:tcPr>
          <w:p w:rsidR="75BCA7AD" w:rsidP="35A5D1D8" w:rsidRDefault="75BCA7AD" w14:paraId="0B6DEEB6" w14:textId="71DEB79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MSCI ACWI (TR)</w:t>
            </w:r>
          </w:p>
        </w:tc>
      </w:tr>
      <w:tr w:rsidR="75BCA7AD" w:rsidTr="35A5D1D8" w14:paraId="304B05BB">
        <w:trPr>
          <w:trHeight w:val="300"/>
        </w:trPr>
        <w:tc>
          <w:tcPr>
            <w:tcW w:w="4680" w:type="dxa"/>
            <w:tcMar/>
          </w:tcPr>
          <w:p w:rsidR="75BCA7AD" w:rsidP="35A5D1D8" w:rsidRDefault="75BCA7AD" w14:paraId="3FD32D74" w14:textId="75889EE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Equity Momentum</w:t>
            </w:r>
          </w:p>
        </w:tc>
        <w:tc>
          <w:tcPr>
            <w:tcW w:w="4680" w:type="dxa"/>
            <w:tcMar/>
          </w:tcPr>
          <w:p w:rsidR="1D6FDDD7" w:rsidP="35A5D1D8" w:rsidRDefault="1D6FDDD7" w14:paraId="1DEBACCB" w14:textId="34CFCADE">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1D6FDDD7">
              <w:rPr>
                <w:rFonts w:ascii="Times New Roman" w:hAnsi="Times New Roman" w:eastAsia="Times New Roman" w:cs="Times New Roman"/>
                <w:b w:val="0"/>
                <w:bCs w:val="0"/>
                <w:i w:val="1"/>
                <w:iCs w:val="1"/>
                <w:strike w:val="0"/>
                <w:dstrike w:val="0"/>
                <w:color w:val="000000" w:themeColor="text1" w:themeTint="FF" w:themeShade="FF"/>
                <w:sz w:val="24"/>
                <w:szCs w:val="24"/>
                <w:u w:val="single"/>
              </w:rPr>
              <w:t>Difference Between:</w:t>
            </w:r>
          </w:p>
          <w:p w:rsidR="75BCA7AD" w:rsidP="35A5D1D8" w:rsidRDefault="75BCA7AD" w14:paraId="1172B8C9" w14:textId="65883DB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MSCI ACWI Momentum NR USD</w:t>
            </w:r>
            <w:r w:rsidRPr="35A5D1D8" w:rsidR="604CFB3D">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55688715" w14:textId="2AC2A20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MSCI ACWI IMI</w:t>
            </w:r>
          </w:p>
        </w:tc>
      </w:tr>
      <w:tr w:rsidR="75BCA7AD" w:rsidTr="35A5D1D8" w14:paraId="3585D26D">
        <w:trPr>
          <w:trHeight w:val="300"/>
        </w:trPr>
        <w:tc>
          <w:tcPr>
            <w:tcW w:w="4680" w:type="dxa"/>
            <w:tcMar/>
          </w:tcPr>
          <w:p w:rsidR="75BCA7AD" w:rsidP="35A5D1D8" w:rsidRDefault="75BCA7AD" w14:paraId="3D00A491" w14:textId="59A4DF7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Equity Quality</w:t>
            </w:r>
          </w:p>
        </w:tc>
        <w:tc>
          <w:tcPr>
            <w:tcW w:w="4680" w:type="dxa"/>
            <w:tcMar/>
          </w:tcPr>
          <w:p w:rsidR="43375B7D" w:rsidP="35A5D1D8" w:rsidRDefault="43375B7D" w14:paraId="42197899" w14:textId="64C11BF9">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43375B7D">
              <w:rPr>
                <w:rFonts w:ascii="Times New Roman" w:hAnsi="Times New Roman" w:eastAsia="Times New Roman" w:cs="Times New Roman"/>
                <w:b w:val="0"/>
                <w:bCs w:val="0"/>
                <w:i w:val="1"/>
                <w:iCs w:val="1"/>
                <w:strike w:val="0"/>
                <w:dstrike w:val="0"/>
                <w:color w:val="000000" w:themeColor="text1" w:themeTint="FF" w:themeShade="FF"/>
                <w:sz w:val="24"/>
                <w:szCs w:val="24"/>
                <w:u w:val="single"/>
              </w:rPr>
              <w:t>Difference Between:</w:t>
            </w:r>
          </w:p>
          <w:p w:rsidR="75BCA7AD" w:rsidP="35A5D1D8" w:rsidRDefault="75BCA7AD" w14:paraId="1A70E5F5" w14:textId="7F396DB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MSCI ACWI Quality NR USD</w:t>
            </w:r>
            <w:r w:rsidRPr="35A5D1D8" w:rsidR="56495D32">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75C9E3DB" w14:textId="380AA3C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MSCI ACWI IMI</w:t>
            </w:r>
          </w:p>
        </w:tc>
      </w:tr>
      <w:tr w:rsidR="75BCA7AD" w:rsidTr="35A5D1D8" w14:paraId="035EEC0E">
        <w:trPr>
          <w:trHeight w:val="300"/>
        </w:trPr>
        <w:tc>
          <w:tcPr>
            <w:tcW w:w="4680" w:type="dxa"/>
            <w:tcMar/>
          </w:tcPr>
          <w:p w:rsidR="75BCA7AD" w:rsidP="35A5D1D8" w:rsidRDefault="75BCA7AD" w14:paraId="3F587A01" w14:textId="181E550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Equity SmallCap</w:t>
            </w:r>
          </w:p>
        </w:tc>
        <w:tc>
          <w:tcPr>
            <w:tcW w:w="4680" w:type="dxa"/>
            <w:tcMar/>
          </w:tcPr>
          <w:p w:rsidR="5FF2BECE" w:rsidP="35A5D1D8" w:rsidRDefault="5FF2BECE" w14:paraId="6C94C1EE" w14:textId="06391D3D">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5FF2BECE">
              <w:rPr>
                <w:rFonts w:ascii="Times New Roman" w:hAnsi="Times New Roman" w:eastAsia="Times New Roman" w:cs="Times New Roman"/>
                <w:b w:val="0"/>
                <w:bCs w:val="0"/>
                <w:i w:val="1"/>
                <w:iCs w:val="1"/>
                <w:strike w:val="0"/>
                <w:dstrike w:val="0"/>
                <w:color w:val="000000" w:themeColor="text1" w:themeTint="FF" w:themeShade="FF"/>
                <w:sz w:val="24"/>
                <w:szCs w:val="24"/>
                <w:u w:val="single"/>
              </w:rPr>
              <w:t>Difference Between:</w:t>
            </w:r>
          </w:p>
          <w:p w:rsidR="75BCA7AD" w:rsidP="35A5D1D8" w:rsidRDefault="75BCA7AD" w14:paraId="12BB4792" w14:textId="542BD98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S&amp;P BMI Global Small-cap PR</w:t>
            </w:r>
            <w:r w:rsidRPr="35A5D1D8" w:rsidR="3EF1C888">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7CB2B347" w14:textId="038DF48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S&amp;P Global Broad Market PR</w:t>
            </w:r>
          </w:p>
        </w:tc>
      </w:tr>
      <w:tr w:rsidR="75BCA7AD" w:rsidTr="35A5D1D8" w14:paraId="51B25DCF">
        <w:trPr>
          <w:trHeight w:val="300"/>
        </w:trPr>
        <w:tc>
          <w:tcPr>
            <w:tcW w:w="4680" w:type="dxa"/>
            <w:tcMar/>
          </w:tcPr>
          <w:p w:rsidR="75BCA7AD" w:rsidP="35A5D1D8" w:rsidRDefault="75BCA7AD" w14:paraId="27926B48" w14:textId="4B41E28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Equity Value</w:t>
            </w:r>
          </w:p>
        </w:tc>
        <w:tc>
          <w:tcPr>
            <w:tcW w:w="4680" w:type="dxa"/>
            <w:tcMar/>
          </w:tcPr>
          <w:p w:rsidR="6386DC3E" w:rsidP="35A5D1D8" w:rsidRDefault="6386DC3E" w14:paraId="05EB3C39" w14:textId="449EB771">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6386DC3E">
              <w:rPr>
                <w:rFonts w:ascii="Times New Roman" w:hAnsi="Times New Roman" w:eastAsia="Times New Roman" w:cs="Times New Roman"/>
                <w:b w:val="0"/>
                <w:bCs w:val="0"/>
                <w:i w:val="1"/>
                <w:iCs w:val="1"/>
                <w:strike w:val="0"/>
                <w:dstrike w:val="0"/>
                <w:color w:val="000000" w:themeColor="text1" w:themeTint="FF" w:themeShade="FF"/>
                <w:sz w:val="24"/>
                <w:szCs w:val="24"/>
                <w:u w:val="single"/>
              </w:rPr>
              <w:t>Difference Between:</w:t>
            </w:r>
          </w:p>
          <w:p w:rsidR="75BCA7AD" w:rsidP="35A5D1D8" w:rsidRDefault="75BCA7AD" w14:paraId="5D0C5B31" w14:textId="11248EF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S&amp;P BMI Global Value PR</w:t>
            </w:r>
            <w:r w:rsidRPr="35A5D1D8" w:rsidR="7392FD33">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75BCA7AD" w:rsidP="35A5D1D8" w:rsidRDefault="75BCA7AD" w14:paraId="2182C5B4" w14:textId="3233B3A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S&amp;P Global Broad Market PR</w:t>
            </w:r>
          </w:p>
        </w:tc>
      </w:tr>
      <w:tr w:rsidR="75BCA7AD" w:rsidTr="35A5D1D8" w14:paraId="1D069AA0">
        <w:trPr>
          <w:trHeight w:val="300"/>
        </w:trPr>
        <w:tc>
          <w:tcPr>
            <w:tcW w:w="4680" w:type="dxa"/>
            <w:tcMar/>
          </w:tcPr>
          <w:p w:rsidR="75BCA7AD" w:rsidP="35A5D1D8" w:rsidRDefault="75BCA7AD" w14:paraId="773E6849" w14:textId="50FE5C6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Fixed Credit</w:t>
            </w:r>
          </w:p>
        </w:tc>
        <w:tc>
          <w:tcPr>
            <w:tcW w:w="4680" w:type="dxa"/>
            <w:tcMar/>
          </w:tcPr>
          <w:p w:rsidR="65B35F18" w:rsidP="35A5D1D8" w:rsidRDefault="65B35F18" w14:paraId="70A83BCE" w14:textId="17BFF175">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4"/>
                <w:szCs w:val="24"/>
                <w:u w:val="single"/>
              </w:rPr>
            </w:pPr>
            <w:r w:rsidRPr="35A5D1D8" w:rsidR="65B35F18">
              <w:rPr>
                <w:rFonts w:ascii="Times New Roman" w:hAnsi="Times New Roman" w:eastAsia="Times New Roman" w:cs="Times New Roman"/>
                <w:b w:val="0"/>
                <w:bCs w:val="0"/>
                <w:i w:val="1"/>
                <w:iCs w:val="1"/>
                <w:strike w:val="0"/>
                <w:dstrike w:val="0"/>
                <w:color w:val="000000" w:themeColor="text1" w:themeTint="FF" w:themeShade="FF"/>
                <w:sz w:val="24"/>
                <w:szCs w:val="24"/>
                <w:u w:val="single"/>
              </w:rPr>
              <w:t>Difference Between:</w:t>
            </w:r>
          </w:p>
          <w:p w:rsidR="75BCA7AD" w:rsidP="35A5D1D8" w:rsidRDefault="75BCA7AD" w14:paraId="3982679C" w14:textId="7B4E557F">
            <w:pPr>
              <w:spacing w:before="0" w:beforeAutospacing="off" w:after="0" w:afterAutospacing="off"/>
              <w:rPr>
                <w:rFonts w:ascii="Times New Roman" w:hAnsi="Times New Roman" w:eastAsia="Times New Roman" w:cs="Times New Roman"/>
                <w:noProof w:val="0"/>
                <w:sz w:val="24"/>
                <w:szCs w:val="24"/>
                <w:lang w:val="en-US"/>
              </w:rPr>
            </w:pPr>
            <w:r w:rsidRPr="35A5D1D8" w:rsidR="5548165B">
              <w:rPr>
                <w:rFonts w:ascii="Times New Roman" w:hAnsi="Times New Roman" w:eastAsia="Times New Roman" w:cs="Times New Roman"/>
                <w:noProof w:val="0"/>
                <w:sz w:val="24"/>
                <w:szCs w:val="24"/>
                <w:lang w:val="en-US"/>
              </w:rPr>
              <w:t>Bloomberg US Corporate High Yield Index;</w:t>
            </w:r>
          </w:p>
          <w:p w:rsidR="75BCA7AD" w:rsidP="2EA8C4E2" w:rsidRDefault="75BCA7AD" w14:paraId="07FA9F3B" w14:textId="4A6C39D7">
            <w:pPr>
              <w:pStyle w:val="Normal"/>
              <w:spacing w:before="0" w:beforeAutospacing="off" w:after="0" w:afterAutospacing="off"/>
              <w:rPr>
                <w:rFonts w:ascii="Times New Roman" w:hAnsi="Times New Roman" w:eastAsia="Times New Roman" w:cs="Times New Roman"/>
                <w:noProof w:val="0"/>
                <w:sz w:val="24"/>
                <w:szCs w:val="24"/>
                <w:lang w:val="en-US"/>
              </w:rPr>
            </w:pPr>
            <w:r w:rsidRPr="35A5D1D8" w:rsidR="5548165B">
              <w:rPr>
                <w:rFonts w:ascii="Times New Roman" w:hAnsi="Times New Roman" w:eastAsia="Times New Roman" w:cs="Times New Roman"/>
                <w:strike w:val="0"/>
                <w:dstrike w:val="0"/>
                <w:noProof w:val="0"/>
                <w:color w:val="008080"/>
                <w:sz w:val="24"/>
                <w:szCs w:val="24"/>
                <w:u w:val="single"/>
                <w:lang w:val="en-US"/>
              </w:rPr>
              <w:t>Bloomberg Barclays US Aggregate Bond Index</w:t>
            </w:r>
          </w:p>
        </w:tc>
      </w:tr>
      <w:tr w:rsidR="75BCA7AD" w:rsidTr="35A5D1D8" w14:paraId="1B850BAF">
        <w:trPr>
          <w:trHeight w:val="300"/>
        </w:trPr>
        <w:tc>
          <w:tcPr>
            <w:tcW w:w="4680" w:type="dxa"/>
            <w:tcMar/>
          </w:tcPr>
          <w:p w:rsidR="75BCA7AD" w:rsidP="35A5D1D8" w:rsidRDefault="75BCA7AD" w14:paraId="2A8C441F" w14:textId="09DD4AA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Fixed Duration</w:t>
            </w:r>
          </w:p>
        </w:tc>
        <w:tc>
          <w:tcPr>
            <w:tcW w:w="4680" w:type="dxa"/>
            <w:tcMar/>
          </w:tcPr>
          <w:p w:rsidR="75BCA7AD" w:rsidP="2EA8C4E2" w:rsidRDefault="75BCA7AD" w14:paraId="688F4D8F" w14:textId="7504A491">
            <w:pPr>
              <w:pStyle w:val="Normal"/>
              <w:spacing w:before="0" w:beforeAutospacing="off" w:after="0" w:afterAutospacing="off"/>
            </w:pPr>
            <w:r w:rsidRPr="35A5D1D8" w:rsidR="3F257946">
              <w:rPr>
                <w:rFonts w:ascii="Times New Roman" w:hAnsi="Times New Roman" w:eastAsia="Times New Roman" w:cs="Times New Roman"/>
                <w:noProof w:val="0"/>
                <w:sz w:val="24"/>
                <w:szCs w:val="24"/>
                <w:lang w:val="en-US"/>
              </w:rPr>
              <w:t>Bloomberg U.S. Treasury: 7-10 Year Total Return Index Value Unhedged</w:t>
            </w:r>
          </w:p>
        </w:tc>
      </w:tr>
      <w:tr w:rsidR="75BCA7AD" w:rsidTr="35A5D1D8" w14:paraId="1AF64639">
        <w:trPr>
          <w:trHeight w:val="300"/>
        </w:trPr>
        <w:tc>
          <w:tcPr>
            <w:tcW w:w="4680" w:type="dxa"/>
            <w:tcMar/>
          </w:tcPr>
          <w:p w:rsidR="75BCA7AD" w:rsidP="35A5D1D8" w:rsidRDefault="75BCA7AD" w14:paraId="782A63F7" w14:textId="641A96C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US Dollar</w:t>
            </w:r>
          </w:p>
        </w:tc>
        <w:tc>
          <w:tcPr>
            <w:tcW w:w="4680" w:type="dxa"/>
            <w:tcMar/>
          </w:tcPr>
          <w:p w:rsidR="75BCA7AD" w:rsidP="35A5D1D8" w:rsidRDefault="75BCA7AD" w14:paraId="2A05CD0D" w14:textId="27FCF1A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35A5D1D8" w:rsidR="75BCA7AD">
              <w:rPr>
                <w:rFonts w:ascii="Times New Roman" w:hAnsi="Times New Roman" w:eastAsia="Times New Roman" w:cs="Times New Roman"/>
                <w:b w:val="0"/>
                <w:bCs w:val="0"/>
                <w:i w:val="0"/>
                <w:iCs w:val="0"/>
                <w:strike w:val="0"/>
                <w:dstrike w:val="0"/>
                <w:color w:val="000000" w:themeColor="text1" w:themeTint="FF" w:themeShade="FF"/>
                <w:sz w:val="24"/>
                <w:szCs w:val="24"/>
                <w:u w:val="none"/>
              </w:rPr>
              <w:t>US Dollar Index</w:t>
            </w:r>
          </w:p>
        </w:tc>
      </w:tr>
    </w:tbl>
    <w:p w:rsidR="75BCA7AD" w:rsidP="75BCA7AD" w:rsidRDefault="75BCA7AD" w14:paraId="3A761354" w14:textId="7E5F44AA">
      <w:pPr>
        <w:pStyle w:val="paragraph"/>
        <w:spacing w:before="0" w:beforeAutospacing="off" w:after="0" w:afterAutospacing="off"/>
        <w:rPr>
          <w:rStyle w:val="normaltextrun"/>
          <w:rFonts w:ascii="Times New Roman" w:hAnsi="Times New Roman" w:eastAsia="Times New Roman" w:cs="Times New Roman"/>
          <w:b w:val="0"/>
          <w:bCs w:val="0"/>
          <w:color w:val="000000" w:themeColor="text1" w:themeTint="FF" w:themeShade="FF"/>
          <w:sz w:val="24"/>
          <w:szCs w:val="24"/>
        </w:rPr>
      </w:pPr>
    </w:p>
    <w:p w:rsidR="75BCA7AD" w:rsidP="75BCA7AD" w:rsidRDefault="75BCA7AD" w14:paraId="7FC66AAC" w14:textId="4B425E38">
      <w:pPr>
        <w:pStyle w:val="paragraph"/>
        <w:spacing w:before="0" w:beforeAutospacing="off" w:after="0" w:afterAutospacing="off"/>
        <w:rPr>
          <w:rStyle w:val="normaltextrun"/>
          <w:rFonts w:ascii="Times New Roman" w:hAnsi="Times New Roman" w:eastAsia="Times New Roman" w:cs="Times New Roman"/>
          <w:b w:val="1"/>
          <w:bCs w:val="1"/>
          <w:color w:val="000000" w:themeColor="text1" w:themeTint="FF" w:themeShade="FF"/>
          <w:sz w:val="24"/>
          <w:szCs w:val="24"/>
        </w:rPr>
      </w:pPr>
    </w:p>
    <w:p w:rsidRPr="00104415" w:rsidR="00104415" w:rsidP="00104415" w:rsidRDefault="00104415" w14:paraId="5897AA14"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b/>
          <w:bCs/>
          <w:color w:val="000000" w:themeColor="text1"/>
        </w:rPr>
        <w:t>Types of Returns </w:t>
      </w:r>
      <w:r w:rsidRPr="00104415">
        <w:rPr>
          <w:rStyle w:val="eop"/>
          <w:color w:val="000000" w:themeColor="text1"/>
        </w:rPr>
        <w:t> </w:t>
      </w:r>
    </w:p>
    <w:p w:rsidRPr="00104415" w:rsidR="00104415" w:rsidP="00104415" w:rsidRDefault="00104415" w14:paraId="4D64B7A7"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GMAM uses two types of returns: reported returns and factor-based returns. </w:t>
      </w:r>
      <w:r w:rsidRPr="00104415">
        <w:rPr>
          <w:rStyle w:val="eop"/>
          <w:color w:val="000000" w:themeColor="text1"/>
        </w:rPr>
        <w:t> </w:t>
      </w:r>
    </w:p>
    <w:p w:rsidRPr="00104415" w:rsidR="00104415" w:rsidP="00104415" w:rsidRDefault="00104415" w14:paraId="2BE65B35"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3F45DC6B" w14:textId="77777777">
      <w:pPr>
        <w:pStyle w:val="paragraph"/>
        <w:numPr>
          <w:ilvl w:val="0"/>
          <w:numId w:val="1"/>
        </w:numPr>
        <w:spacing w:before="0" w:beforeAutospacing="0" w:after="0" w:afterAutospacing="0"/>
        <w:ind w:left="1080" w:firstLine="0"/>
        <w:textAlignment w:val="baseline"/>
        <w:rPr>
          <w:color w:val="000000" w:themeColor="text1"/>
        </w:rPr>
      </w:pPr>
      <w:r w:rsidRPr="00104415">
        <w:rPr>
          <w:rStyle w:val="normaltextrun"/>
          <w:color w:val="000000" w:themeColor="text1"/>
          <w:u w:val="single"/>
        </w:rPr>
        <w:lastRenderedPageBreak/>
        <w:t xml:space="preserve">Reported Returns </w:t>
      </w:r>
      <w:r w:rsidRPr="00104415">
        <w:rPr>
          <w:rStyle w:val="normaltextrun"/>
          <w:color w:val="000000" w:themeColor="text1"/>
        </w:rPr>
        <w:t xml:space="preserve">are calculated using reported historical returns of the holdings in a financial professional’s uploaded or selected portfolio. If an asset is available on the </w:t>
      </w:r>
      <w:proofErr w:type="spellStart"/>
      <w:r w:rsidRPr="00104415">
        <w:rPr>
          <w:rStyle w:val="normaltextrun"/>
          <w:color w:val="000000" w:themeColor="text1"/>
        </w:rPr>
        <w:t>iCapital</w:t>
      </w:r>
      <w:proofErr w:type="spellEnd"/>
      <w:r w:rsidRPr="00104415">
        <w:rPr>
          <w:rStyle w:val="normaltextrun"/>
          <w:color w:val="000000" w:themeColor="text1"/>
        </w:rPr>
        <w:t xml:space="preserve"> platform, reported returns are presented net of all fees and expenses. If an asset is not available on the </w:t>
      </w:r>
      <w:proofErr w:type="spellStart"/>
      <w:r w:rsidRPr="00104415">
        <w:rPr>
          <w:rStyle w:val="normaltextrun"/>
          <w:color w:val="000000" w:themeColor="text1"/>
        </w:rPr>
        <w:t>iCapital</w:t>
      </w:r>
      <w:proofErr w:type="spellEnd"/>
      <w:r w:rsidRPr="00104415">
        <w:rPr>
          <w:rStyle w:val="normaltextrun"/>
          <w:color w:val="000000" w:themeColor="text1"/>
        </w:rPr>
        <w:t xml:space="preserve"> platform, the user is responsible for uploading reported returns and it is therefore the user’s decision whether to upload reported returns net of fees and expenses.  </w:t>
      </w:r>
      <w:r w:rsidRPr="00104415">
        <w:rPr>
          <w:rStyle w:val="eop"/>
          <w:color w:val="000000" w:themeColor="text1"/>
        </w:rPr>
        <w:t> </w:t>
      </w:r>
    </w:p>
    <w:p w:rsidRPr="00104415" w:rsidR="00104415" w:rsidP="75BCA7AD" w:rsidRDefault="00104415" w14:paraId="7625B861" w14:textId="3D65D319">
      <w:pPr>
        <w:pStyle w:val="paragraph"/>
        <w:numPr>
          <w:ilvl w:val="0"/>
          <w:numId w:val="1"/>
        </w:numPr>
        <w:spacing w:before="0" w:beforeAutospacing="off" w:after="0" w:afterAutospacing="off"/>
        <w:ind w:left="1080" w:firstLine="0"/>
        <w:textAlignment w:val="baseline"/>
        <w:rPr>
          <w:rStyle w:val="eop"/>
          <w:color w:val="000000" w:themeColor="text1"/>
        </w:rPr>
      </w:pPr>
      <w:r w:rsidRPr="75BCA7AD" w:rsidR="00104415">
        <w:rPr>
          <w:rStyle w:val="normaltextrun"/>
          <w:color w:val="000000" w:themeColor="text1" w:themeTint="FF" w:themeShade="FF"/>
          <w:u w:val="single"/>
        </w:rPr>
        <w:t>Factor-based Returns</w:t>
      </w:r>
      <w:r w:rsidRPr="75BCA7AD" w:rsidR="00104415">
        <w:rPr>
          <w:rStyle w:val="normaltextrun"/>
          <w:color w:val="000000" w:themeColor="text1" w:themeTint="FF" w:themeShade="FF"/>
        </w:rPr>
        <w:t xml:space="preserve"> are generated using GMAM. This type of return is calculated based on the co-movement between reported returns of an asset or portfolio of assets and the historical values of the factors selected by </w:t>
      </w:r>
      <w:r w:rsidRPr="75BCA7AD" w:rsidR="00104415">
        <w:rPr>
          <w:rStyle w:val="normaltextrun"/>
          <w:color w:val="000000" w:themeColor="text1" w:themeTint="FF" w:themeShade="FF"/>
        </w:rPr>
        <w:t>iCapital</w:t>
      </w:r>
      <w:r w:rsidRPr="75BCA7AD" w:rsidR="00104415">
        <w:rPr>
          <w:rStyle w:val="normaltextrun"/>
          <w:color w:val="000000" w:themeColor="text1" w:themeTint="FF" w:themeShade="FF"/>
        </w:rPr>
        <w:t xml:space="preserve">, as well as other model inputs when applicable (e.g., priors), as described above. </w:t>
      </w:r>
      <w:r w:rsidRPr="75BCA7AD" w:rsidR="00104415">
        <w:rPr>
          <w:rStyle w:val="normaltextrun"/>
          <w:color w:val="000000" w:themeColor="text1" w:themeTint="FF" w:themeShade="FF"/>
        </w:rPr>
        <w:t xml:space="preserve">Factor-based performance does not </w:t>
      </w:r>
      <w:r w:rsidRPr="75BCA7AD" w:rsidR="00104415">
        <w:rPr>
          <w:rStyle w:val="normaltextrun"/>
          <w:color w:val="000000" w:themeColor="text1" w:themeTint="FF" w:themeShade="FF"/>
        </w:rPr>
        <w:t>take into account</w:t>
      </w:r>
      <w:r w:rsidRPr="75BCA7AD" w:rsidR="00104415">
        <w:rPr>
          <w:rStyle w:val="normaltextrun"/>
          <w:color w:val="000000" w:themeColor="text1" w:themeTint="FF" w:themeShade="FF"/>
        </w:rPr>
        <w:t xml:space="preserve"> any fees or expenses that an investor actually would incur.</w:t>
      </w:r>
    </w:p>
    <w:p w:rsidRPr="00104415" w:rsidR="00104415" w:rsidP="00104415" w:rsidRDefault="00104415" w14:paraId="201F5455"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6CF2F45A"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b/>
          <w:bCs/>
          <w:color w:val="000000" w:themeColor="text1"/>
        </w:rPr>
        <w:t xml:space="preserve">Additional Key Assumptions &amp; Limitations </w:t>
      </w:r>
      <w:r w:rsidRPr="00104415">
        <w:rPr>
          <w:rStyle w:val="eop"/>
          <w:color w:val="000000" w:themeColor="text1"/>
        </w:rPr>
        <w:t> </w:t>
      </w:r>
    </w:p>
    <w:p w:rsidRPr="00104415" w:rsidR="00104415" w:rsidP="00104415" w:rsidRDefault="00104415" w14:paraId="3F9518BB"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 xml:space="preserve">Financial professionals should be mindful of certain fundamental considerations when evaluating </w:t>
      </w:r>
      <w:proofErr w:type="spellStart"/>
      <w:r w:rsidRPr="00104415">
        <w:rPr>
          <w:rStyle w:val="normaltextrun"/>
          <w:color w:val="000000" w:themeColor="text1"/>
        </w:rPr>
        <w:t>iCapital</w:t>
      </w:r>
      <w:proofErr w:type="spellEnd"/>
      <w:r w:rsidRPr="00104415">
        <w:rPr>
          <w:rStyle w:val="normaltextrun"/>
          <w:color w:val="000000" w:themeColor="text1"/>
        </w:rPr>
        <w:t xml:space="preserve"> Architect analytics and charts that leverage GMAM’s results:</w:t>
      </w:r>
      <w:r w:rsidRPr="00104415">
        <w:rPr>
          <w:rStyle w:val="eop"/>
          <w:color w:val="000000" w:themeColor="text1"/>
        </w:rPr>
        <w:t> </w:t>
      </w:r>
    </w:p>
    <w:p w:rsidRPr="00104415" w:rsidR="00104415" w:rsidP="00104415" w:rsidRDefault="00104415" w14:paraId="55E29779"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70D9D91E"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b/>
          <w:bCs/>
          <w:color w:val="000000" w:themeColor="text1"/>
        </w:rPr>
        <w:t xml:space="preserve">General Information. </w:t>
      </w:r>
      <w:r w:rsidRPr="00104415">
        <w:rPr>
          <w:rStyle w:val="normaltextrun"/>
          <w:color w:val="000000" w:themeColor="text1"/>
        </w:rPr>
        <w:t xml:space="preserve">This material is being provided for informational or educational purposes only and neither </w:t>
      </w:r>
      <w:proofErr w:type="spellStart"/>
      <w:r w:rsidRPr="00104415">
        <w:rPr>
          <w:rStyle w:val="normaltextrun"/>
          <w:color w:val="000000" w:themeColor="text1"/>
        </w:rPr>
        <w:t>iCapital</w:t>
      </w:r>
      <w:proofErr w:type="spellEnd"/>
      <w:r w:rsidRPr="00104415">
        <w:rPr>
          <w:rStyle w:val="normaltextrun"/>
          <w:color w:val="000000" w:themeColor="text1"/>
        </w:rPr>
        <w:t xml:space="preserve"> nor SIMON makes any representations that it has considered the investment objectives, ﬁnancial situation, or means of any speciﬁc investor. Financial professionals and users of the </w:t>
      </w:r>
      <w:proofErr w:type="spellStart"/>
      <w:r w:rsidRPr="00104415">
        <w:rPr>
          <w:rStyle w:val="normaltextrun"/>
          <w:color w:val="000000" w:themeColor="text1"/>
        </w:rPr>
        <w:t>iCapital</w:t>
      </w:r>
      <w:proofErr w:type="spellEnd"/>
      <w:r w:rsidRPr="00104415">
        <w:rPr>
          <w:rStyle w:val="normaltextrun"/>
          <w:color w:val="000000" w:themeColor="text1"/>
        </w:rPr>
        <w:t xml:space="preserve"> Architect Platform have the sole responsibility for considering whether an investment is suitable for an investor.</w:t>
      </w:r>
      <w:r w:rsidRPr="00104415">
        <w:rPr>
          <w:rStyle w:val="eop"/>
          <w:color w:val="000000" w:themeColor="text1"/>
        </w:rPr>
        <w:t> </w:t>
      </w:r>
    </w:p>
    <w:p w:rsidRPr="00104415" w:rsidR="00104415" w:rsidP="00104415" w:rsidRDefault="00104415" w14:paraId="706B3DC5"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5D2DA1BB"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 xml:space="preserve">The charts and their resulting data may be considered hypothetical in nature and should not be unduly relied upon. Hypothetical or simulated performance results have many inherent limitations, and no representation is being made that any investment account will or is likely to achieve returns </w:t>
      </w:r>
      <w:proofErr w:type="gramStart"/>
      <w:r w:rsidRPr="00104415">
        <w:rPr>
          <w:rStyle w:val="normaltextrun"/>
          <w:color w:val="000000" w:themeColor="text1"/>
        </w:rPr>
        <w:t>similar to</w:t>
      </w:r>
      <w:proofErr w:type="gramEnd"/>
      <w:r w:rsidRPr="00104415">
        <w:rPr>
          <w:rStyle w:val="normaltextrun"/>
          <w:color w:val="000000" w:themeColor="text1"/>
        </w:rPr>
        <w:t xml:space="preserve"> those generated by the charts. The returns reflected in the charts were not actually achieved by any financial professional or investment portfolio and may not be achieved in the future, and certain returns presented in the charts may represent hypothetical performance returns extrapolated for prior periods during which a given asset did not exist or was not investable. Numerous factors, such as the use of assumptions and historical market returns and data, make calculations and analysis uncertain, and there are frequently sharp differences between hypothetical performance results and the actual results achieved by any particular investment program. One of the limitations of hypothetical performance results is that they are generally prepared with the benefit of hindsight or may otherwise reflect a hindsight bias. In addition, hypothetical investments do not involve actual financial risk or the effect that material economic and market factors would have had on actual investment decisions, and no hypothetical investment record can completely account for the impact of actual financial risk in actual investments, such as the ability to withstand losses or adhere to a particular investment program </w:t>
      </w:r>
      <w:proofErr w:type="gramStart"/>
      <w:r w:rsidRPr="00104415">
        <w:rPr>
          <w:rStyle w:val="normaltextrun"/>
          <w:color w:val="000000" w:themeColor="text1"/>
        </w:rPr>
        <w:t>in spite of</w:t>
      </w:r>
      <w:proofErr w:type="gramEnd"/>
      <w:r w:rsidRPr="00104415">
        <w:rPr>
          <w:rStyle w:val="normaltextrun"/>
          <w:color w:val="000000" w:themeColor="text1"/>
        </w:rPr>
        <w:t xml:space="preserve"> losses, which can adversely affect actual investment results. There are numerous other factors related to the markets in general or to the implementation of any specific investment program </w:t>
      </w:r>
      <w:proofErr w:type="gramStart"/>
      <w:r w:rsidRPr="00104415">
        <w:rPr>
          <w:rStyle w:val="normaltextrun"/>
          <w:color w:val="000000" w:themeColor="text1"/>
        </w:rPr>
        <w:t>in particular which</w:t>
      </w:r>
      <w:proofErr w:type="gramEnd"/>
      <w:r w:rsidRPr="00104415">
        <w:rPr>
          <w:rStyle w:val="normaltextrun"/>
          <w:color w:val="000000" w:themeColor="text1"/>
        </w:rPr>
        <w:t xml:space="preserve"> cannot be fully accounted for in the preparation of hypothetical performance results – all of which can adversely affect actual investment results, and none of which are accounted for in the charts or their resulting data. Due to a wide variety of risks and uncertainties, actual results may vary materially from the results contained in the charts. No representation or warranty is made by </w:t>
      </w:r>
      <w:proofErr w:type="spellStart"/>
      <w:r w:rsidRPr="00104415">
        <w:rPr>
          <w:rStyle w:val="normaltextrun"/>
          <w:color w:val="000000" w:themeColor="text1"/>
        </w:rPr>
        <w:t>iCapital</w:t>
      </w:r>
      <w:proofErr w:type="spellEnd"/>
      <w:r w:rsidRPr="00104415">
        <w:rPr>
          <w:rStyle w:val="normaltextrun"/>
          <w:color w:val="000000" w:themeColor="text1"/>
        </w:rPr>
        <w:t xml:space="preserve"> as to the reasonableness or </w:t>
      </w:r>
      <w:r w:rsidRPr="00104415">
        <w:rPr>
          <w:rStyle w:val="normaltextrun"/>
          <w:color w:val="000000" w:themeColor="text1"/>
        </w:rPr>
        <w:lastRenderedPageBreak/>
        <w:t>completeness of any forward-looking statements or to any other financial information contained herein.</w:t>
      </w:r>
      <w:r w:rsidRPr="00104415">
        <w:rPr>
          <w:rStyle w:val="eop"/>
          <w:color w:val="000000" w:themeColor="text1"/>
        </w:rPr>
        <w:t> </w:t>
      </w:r>
    </w:p>
    <w:p w:rsidRPr="00104415" w:rsidR="00104415" w:rsidP="00104415" w:rsidRDefault="00104415" w14:paraId="3AA263D1"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02DC1D73" w14:textId="77777777">
      <w:pPr>
        <w:pStyle w:val="paragraph"/>
        <w:spacing w:before="0" w:beforeAutospacing="0" w:after="0" w:afterAutospacing="0"/>
        <w:textAlignment w:val="baseline"/>
        <w:rPr>
          <w:rFonts w:ascii="Segoe UI" w:hAnsi="Segoe UI" w:cs="Segoe UI"/>
          <w:color w:val="000000" w:themeColor="text1"/>
          <w:sz w:val="18"/>
          <w:szCs w:val="18"/>
        </w:rPr>
      </w:pPr>
      <w:proofErr w:type="spellStart"/>
      <w:r w:rsidRPr="00104415">
        <w:rPr>
          <w:rStyle w:val="normaltextrun"/>
          <w:color w:val="000000" w:themeColor="text1"/>
        </w:rPr>
        <w:t>iCapital</w:t>
      </w:r>
      <w:proofErr w:type="spellEnd"/>
      <w:r w:rsidRPr="00104415">
        <w:rPr>
          <w:rStyle w:val="normaltextrun"/>
          <w:color w:val="000000" w:themeColor="text1"/>
        </w:rPr>
        <w:t xml:space="preserve"> and SIMON each earn revenue based on the volume of transactions that take place in these products and would benefit from an increase in sales for these products.  </w:t>
      </w:r>
      <w:r w:rsidRPr="00104415">
        <w:rPr>
          <w:rStyle w:val="eop"/>
          <w:color w:val="000000" w:themeColor="text1"/>
        </w:rPr>
        <w:t> </w:t>
      </w:r>
    </w:p>
    <w:p w:rsidRPr="00104415" w:rsidR="00104415" w:rsidP="00104415" w:rsidRDefault="00104415" w14:paraId="5162740E"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490B2E88" w14:textId="77777777">
      <w:pPr>
        <w:pStyle w:val="paragraph"/>
        <w:spacing w:before="0" w:beforeAutospacing="0" w:after="0" w:afterAutospacing="0"/>
        <w:textAlignment w:val="baseline"/>
        <w:rPr>
          <w:rFonts w:ascii="Segoe UI" w:hAnsi="Segoe UI" w:cs="Segoe UI"/>
          <w:color w:val="000000" w:themeColor="text1"/>
          <w:sz w:val="18"/>
          <w:szCs w:val="18"/>
        </w:rPr>
      </w:pPr>
      <w:proofErr w:type="spellStart"/>
      <w:r w:rsidRPr="00104415">
        <w:rPr>
          <w:rStyle w:val="normaltextrun"/>
          <w:color w:val="000000" w:themeColor="text1"/>
        </w:rPr>
        <w:t>iCapital</w:t>
      </w:r>
      <w:proofErr w:type="spellEnd"/>
      <w:r w:rsidRPr="00104415">
        <w:rPr>
          <w:rStyle w:val="normaltextrun"/>
          <w:color w:val="000000" w:themeColor="text1"/>
        </w:rPr>
        <w:t xml:space="preserve"> Architect is a portfolio analysis tool meant for institutional use only and is not intended as a recommendation of any investment or investment strategy.</w:t>
      </w:r>
      <w:r w:rsidRPr="00104415">
        <w:rPr>
          <w:rStyle w:val="eop"/>
          <w:color w:val="000000" w:themeColor="text1"/>
        </w:rPr>
        <w:t> </w:t>
      </w:r>
    </w:p>
    <w:p w:rsidRPr="00104415" w:rsidR="00104415" w:rsidP="00104415" w:rsidRDefault="00104415" w14:paraId="4D04E209"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3BFC8289" w14:textId="5BE93D7B">
      <w:pPr>
        <w:pStyle w:val="paragraph"/>
        <w:spacing w:before="0" w:beforeAutospacing="0" w:after="0" w:afterAutospacing="0"/>
        <w:textAlignment w:val="baseline"/>
        <w:rPr>
          <w:rFonts w:ascii="Segoe UI" w:hAnsi="Segoe UI" w:cs="Segoe UI"/>
          <w:color w:val="000000" w:themeColor="text1"/>
          <w:sz w:val="18"/>
          <w:szCs w:val="18"/>
        </w:rPr>
      </w:pPr>
      <w:proofErr w:type="spellStart"/>
      <w:r w:rsidRPr="00104415">
        <w:rPr>
          <w:rStyle w:val="normaltextrun"/>
          <w:color w:val="000000" w:themeColor="text1"/>
        </w:rPr>
        <w:t>iCapital</w:t>
      </w:r>
      <w:proofErr w:type="spellEnd"/>
      <w:r w:rsidRPr="00104415">
        <w:rPr>
          <w:rStyle w:val="normaltextrun"/>
          <w:color w:val="000000" w:themeColor="text1"/>
        </w:rPr>
        <w:t xml:space="preserve"> may change, </w:t>
      </w:r>
      <w:proofErr w:type="gramStart"/>
      <w:r w:rsidRPr="00104415">
        <w:rPr>
          <w:rStyle w:val="normaltextrun"/>
          <w:color w:val="000000" w:themeColor="text1"/>
        </w:rPr>
        <w:t>alter</w:t>
      </w:r>
      <w:proofErr w:type="gramEnd"/>
      <w:r w:rsidRPr="00104415">
        <w:rPr>
          <w:rStyle w:val="normaltextrun"/>
          <w:color w:val="000000" w:themeColor="text1"/>
        </w:rPr>
        <w:t xml:space="preserve"> or replace the methodology or its inputs used in </w:t>
      </w:r>
      <w:proofErr w:type="spellStart"/>
      <w:r w:rsidRPr="00104415">
        <w:rPr>
          <w:rStyle w:val="normaltextrun"/>
          <w:color w:val="000000" w:themeColor="text1"/>
        </w:rPr>
        <w:t>iCapital</w:t>
      </w:r>
      <w:proofErr w:type="spellEnd"/>
      <w:r w:rsidRPr="00104415">
        <w:rPr>
          <w:rStyle w:val="normaltextrun"/>
          <w:color w:val="000000" w:themeColor="text1"/>
        </w:rPr>
        <w:t xml:space="preserve"> Architect in its discretion at any time without prior notice.</w:t>
      </w:r>
      <w:r w:rsidRPr="00104415">
        <w:rPr>
          <w:rStyle w:val="eop"/>
          <w:color w:val="000000" w:themeColor="text1"/>
        </w:rPr>
        <w:t> </w:t>
      </w:r>
    </w:p>
    <w:p w:rsidRPr="00104415" w:rsidR="00104415" w:rsidP="00104415" w:rsidRDefault="00104415" w14:paraId="612890AB"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6C42D439"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 xml:space="preserve">Additional risk and important information </w:t>
      </w:r>
      <w:proofErr w:type="gramStart"/>
      <w:r w:rsidRPr="00104415">
        <w:rPr>
          <w:rStyle w:val="normaltextrun"/>
          <w:color w:val="000000" w:themeColor="text1"/>
        </w:rPr>
        <w:t>is</w:t>
      </w:r>
      <w:proofErr w:type="gramEnd"/>
      <w:r w:rsidRPr="00104415">
        <w:rPr>
          <w:rStyle w:val="normaltextrun"/>
          <w:color w:val="000000" w:themeColor="text1"/>
        </w:rPr>
        <w:t xml:space="preserve"> contained in the prospectus or other offering documents, including the product’s investment objectives or goals, its strategies for achieving those goals, the principal risks of investing in the product, the product’s fees and expenses, and its past performance.   </w:t>
      </w:r>
      <w:r w:rsidRPr="00104415">
        <w:rPr>
          <w:rStyle w:val="eop"/>
          <w:color w:val="000000" w:themeColor="text1"/>
        </w:rPr>
        <w:t> </w:t>
      </w:r>
    </w:p>
    <w:p w:rsidRPr="00104415" w:rsidR="00104415" w:rsidP="00104415" w:rsidRDefault="00104415" w14:paraId="5AD48252"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2598681F"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b/>
          <w:bCs/>
          <w:color w:val="000000" w:themeColor="text1"/>
        </w:rPr>
        <w:t>ICAPITAL ARCHITECT HAS NOT BEEN REVIEWED OR APPROVED BY, AND IS NOT ADOPTED, SPONSORED OR ENDORSED BY, THE SPONSOR OR ISSUER OF ANY FINANCIAL INSTRUMENT THAT IS MADE AVAILABLE EITHER ON THE ICAPITAL OR SIMON PLATFORM. STRUCTURED INVESTMENTS AND ALT FUNDS (INCLUDING FUNDS THAT ARE EXEMPT FROM REGISTRATION) ARE CONSIDERED COMPLEX PRODUCTS, INVOLVE RISK AND ARE ONLY SUITABLE FOR HIGHLY SOPHISTICATED INVESTORS WHO ARE WILLING AND PREPARED TO BEAR THE ASSOCIATED RISK, INCLUDING THE RISK OF TOTAL LOSS OF THEIR INVESTMENTS. </w:t>
      </w:r>
      <w:r w:rsidRPr="00104415">
        <w:rPr>
          <w:rStyle w:val="eop"/>
          <w:color w:val="000000" w:themeColor="text1"/>
        </w:rPr>
        <w:t> </w:t>
      </w:r>
    </w:p>
    <w:p w:rsidRPr="00104415" w:rsidR="00104415" w:rsidP="00104415" w:rsidRDefault="00104415" w14:paraId="2636D5FB" w14:textId="368B9886">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20BBB422"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b/>
          <w:bCs/>
          <w:color w:val="000000" w:themeColor="text1"/>
        </w:rPr>
        <w:t xml:space="preserve">Third Party Data. </w:t>
      </w:r>
      <w:r w:rsidRPr="00104415">
        <w:rPr>
          <w:rStyle w:val="normaltextrun"/>
          <w:color w:val="000000" w:themeColor="text1"/>
        </w:rPr>
        <w:t xml:space="preserve">Financial and market data utilized herein may be provided by third-party vendors, and </w:t>
      </w:r>
      <w:proofErr w:type="spellStart"/>
      <w:r w:rsidRPr="00104415">
        <w:rPr>
          <w:rStyle w:val="normaltextrun"/>
          <w:color w:val="000000" w:themeColor="text1"/>
        </w:rPr>
        <w:t>iCapital</w:t>
      </w:r>
      <w:proofErr w:type="spellEnd"/>
      <w:r w:rsidRPr="00104415">
        <w:rPr>
          <w:rStyle w:val="normaltextrun"/>
          <w:color w:val="000000" w:themeColor="text1"/>
        </w:rPr>
        <w:t xml:space="preserve"> cannot guarantee or independently verify the accuracy or the timeliness of such data or the accuracy of the data.</w:t>
      </w:r>
      <w:r w:rsidRPr="00104415">
        <w:rPr>
          <w:rStyle w:val="eop"/>
          <w:color w:val="000000" w:themeColor="text1"/>
        </w:rPr>
        <w:t> </w:t>
      </w:r>
    </w:p>
    <w:p w:rsidRPr="00104415" w:rsidR="00104415" w:rsidP="00104415" w:rsidRDefault="00104415" w14:paraId="5BFA4DCC"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2C8775F5"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 xml:space="preserve">Certain analyses provided by </w:t>
      </w:r>
      <w:proofErr w:type="spellStart"/>
      <w:r w:rsidRPr="00104415">
        <w:rPr>
          <w:rStyle w:val="normaltextrun"/>
          <w:color w:val="000000" w:themeColor="text1"/>
        </w:rPr>
        <w:t>iCapital</w:t>
      </w:r>
      <w:proofErr w:type="spellEnd"/>
      <w:r w:rsidRPr="00104415">
        <w:rPr>
          <w:rStyle w:val="normaltextrun"/>
          <w:color w:val="000000" w:themeColor="text1"/>
        </w:rPr>
        <w:t xml:space="preserve"> Architect utilize simulated returns associated with a proprietary multi-asset model and factors, which are constructed from public market data, including third-party indices, and, therefore, do not reflect actual performance or guarantee any future result. It is unknown if such historical co-movement relationships, as simulated by GMAM, or market events will reoccur, and the information on </w:t>
      </w:r>
      <w:proofErr w:type="spellStart"/>
      <w:r w:rsidRPr="00104415">
        <w:rPr>
          <w:rStyle w:val="normaltextrun"/>
          <w:color w:val="000000" w:themeColor="text1"/>
        </w:rPr>
        <w:t>iCapital</w:t>
      </w:r>
      <w:proofErr w:type="spellEnd"/>
      <w:r w:rsidRPr="00104415">
        <w:rPr>
          <w:rStyle w:val="normaltextrun"/>
          <w:color w:val="000000" w:themeColor="text1"/>
        </w:rPr>
        <w:t xml:space="preserve"> Architect or presented in the charts should not be relied upon as a forecast, </w:t>
      </w:r>
      <w:proofErr w:type="gramStart"/>
      <w:r w:rsidRPr="00104415">
        <w:rPr>
          <w:rStyle w:val="normaltextrun"/>
          <w:color w:val="000000" w:themeColor="text1"/>
        </w:rPr>
        <w:t>research</w:t>
      </w:r>
      <w:proofErr w:type="gramEnd"/>
      <w:r w:rsidRPr="00104415">
        <w:rPr>
          <w:rStyle w:val="normaltextrun"/>
          <w:color w:val="000000" w:themeColor="text1"/>
        </w:rPr>
        <w:t xml:space="preserve"> or recommendation of any kind. The set of assets subject to a particular factor analysis depends on specific user permissions and selections and may vary by user. All financial and market data utilized is subject to change at any time without notice, and therefore results presented by the charts may vary with each use and over time.</w:t>
      </w:r>
      <w:r w:rsidRPr="00104415">
        <w:rPr>
          <w:rStyle w:val="eop"/>
          <w:color w:val="000000" w:themeColor="text1"/>
        </w:rPr>
        <w:t> </w:t>
      </w:r>
    </w:p>
    <w:p w:rsidRPr="00104415" w:rsidR="00104415" w:rsidP="00104415" w:rsidRDefault="00104415" w14:paraId="63C51297"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2EA8C4E2" w:rsidRDefault="00104415" w14:paraId="1A671BDA" w14:textId="77777777">
      <w:pPr>
        <w:pStyle w:val="paragraph"/>
        <w:spacing w:before="0" w:beforeAutospacing="off" w:after="0" w:afterAutospacing="off"/>
        <w:textAlignment w:val="baseline"/>
        <w:rPr>
          <w:rFonts w:ascii="Segoe UI" w:hAnsi="Segoe UI" w:cs="Segoe UI"/>
          <w:color w:val="000000" w:themeColor="text1"/>
          <w:sz w:val="18"/>
          <w:szCs w:val="18"/>
        </w:rPr>
      </w:pPr>
      <w:r w:rsidRPr="35A5D1D8" w:rsidR="00104415">
        <w:rPr>
          <w:rStyle w:val="normaltextrun"/>
          <w:b w:val="1"/>
          <w:bCs w:val="1"/>
          <w:color w:val="000000" w:themeColor="text1" w:themeTint="FF" w:themeShade="FF"/>
        </w:rPr>
        <w:t xml:space="preserve">Traditional Assets and Alt Funds. </w:t>
      </w:r>
      <w:r w:rsidRPr="35A5D1D8" w:rsidR="00104415">
        <w:rPr>
          <w:rStyle w:val="normaltextrun"/>
          <w:color w:val="000000" w:themeColor="text1" w:themeTint="FF" w:themeShade="FF"/>
        </w:rPr>
        <w:t>iCapital</w:t>
      </w:r>
      <w:r w:rsidRPr="35A5D1D8" w:rsidR="00104415">
        <w:rPr>
          <w:rStyle w:val="normaltextrun"/>
          <w:color w:val="000000" w:themeColor="text1" w:themeTint="FF" w:themeShade="FF"/>
        </w:rPr>
        <w:t xml:space="preserve"> Architect presents an analysis of the co-movement between the hypothetical performance of a user’s uploaded or selected portfolio and factors, which are constructed from public market data, including third-party indices. The hypothetical performance shown for a factor-based performance or other instruments is not intended to </w:t>
      </w:r>
      <w:r w:rsidRPr="35A5D1D8" w:rsidR="00104415">
        <w:rPr>
          <w:rStyle w:val="normaltextrun"/>
          <w:color w:val="000000" w:themeColor="text1" w:themeTint="FF" w:themeShade="FF"/>
        </w:rPr>
        <w:t xml:space="preserve">predict the hypothetical performance of the portfolio the financial professional is analyzing and should not be treated to be predictive of actual performance. Instead, the factor-based performance shown is intended to reflect general correlations among uploaded or selected portfolios and the factors. </w:t>
      </w:r>
      <w:r w:rsidRPr="35A5D1D8" w:rsidR="00104415">
        <w:rPr>
          <w:rStyle w:val="normaltextrun"/>
          <w:color w:val="000000" w:themeColor="text1" w:themeTint="FF" w:themeShade="FF"/>
        </w:rPr>
        <w:t xml:space="preserve">Hypothetical performance of any portfolio or investment instrument is dependent on </w:t>
      </w:r>
      <w:r w:rsidRPr="35A5D1D8" w:rsidR="00104415">
        <w:rPr>
          <w:rStyle w:val="normaltextrun"/>
          <w:color w:val="000000" w:themeColor="text1" w:themeTint="FF" w:themeShade="FF"/>
        </w:rPr>
        <w:t>a number of</w:t>
      </w:r>
      <w:r w:rsidRPr="35A5D1D8" w:rsidR="00104415">
        <w:rPr>
          <w:rStyle w:val="normaltextrun"/>
          <w:color w:val="000000" w:themeColor="text1" w:themeTint="FF" w:themeShade="FF"/>
        </w:rPr>
        <w:t xml:space="preserve"> variables that are not considered by GMAM’s analysis, such as tax status, management fees and associated risk management, among other variables.</w:t>
      </w:r>
      <w:r w:rsidRPr="35A5D1D8" w:rsidR="00104415">
        <w:rPr>
          <w:rStyle w:val="normaltextrun"/>
          <w:color w:val="000000" w:themeColor="text1" w:themeTint="FF" w:themeShade="FF"/>
        </w:rPr>
        <w:t xml:space="preserve"> Further, unless otherwise indicated, historical performance utilized or displayed for the purposes of analysis does not account for factors that would impact actual investments, such as the reinvestment of dividends or the deduction of expenses and fees that would be incurred in the management or trading of securities or other assets, including, but not limited to, account fees, custody, trading, brokerage, advisory or management fees or commissions, or fees or expenses of the underlying securities or other assets, as applicable – all of which would reduce hypothetical performance returns of actual investments.</w:t>
      </w:r>
      <w:r w:rsidRPr="35A5D1D8" w:rsidR="00104415">
        <w:rPr>
          <w:rStyle w:val="eop"/>
          <w:color w:val="000000" w:themeColor="text1" w:themeTint="FF" w:themeShade="FF"/>
        </w:rPr>
        <w:t> </w:t>
      </w:r>
    </w:p>
    <w:p w:rsidR="2EA8C4E2" w:rsidP="2EA8C4E2" w:rsidRDefault="2EA8C4E2" w14:paraId="71924A0A" w14:textId="0357B8D4">
      <w:pPr>
        <w:pStyle w:val="paragraph"/>
        <w:spacing w:before="0" w:beforeAutospacing="off" w:after="0" w:afterAutospacing="off"/>
        <w:rPr>
          <w:rStyle w:val="eop"/>
          <w:color w:val="000000" w:themeColor="text1" w:themeTint="FF" w:themeShade="FF"/>
        </w:rPr>
      </w:pPr>
    </w:p>
    <w:p w:rsidR="2C38BFA1" w:rsidP="35A5D1D8" w:rsidRDefault="2C38BFA1" w14:paraId="3E5A721F" w14:textId="092CCD1E">
      <w:pPr>
        <w:spacing w:line="276" w:lineRule="auto"/>
        <w:rPr>
          <w:rFonts w:ascii="Calibri" w:hAnsi="Calibri" w:eastAsia="Calibri" w:cs="Calibri"/>
          <w:b w:val="0"/>
          <w:bCs w:val="0"/>
          <w:i w:val="0"/>
          <w:iCs w:val="0"/>
          <w:caps w:val="0"/>
          <w:smallCaps w:val="0"/>
          <w:noProof w:val="0"/>
          <w:color w:val="000000" w:themeColor="text1" w:themeTint="FF" w:themeShade="FF"/>
          <w:sz w:val="21"/>
          <w:szCs w:val="21"/>
          <w:lang w:val="en-US"/>
        </w:rPr>
      </w:pPr>
      <w:r w:rsidRPr="35A5D1D8" w:rsidR="2C38BFA1">
        <w:rPr>
          <w:rFonts w:ascii="Calibri" w:hAnsi="Calibri" w:eastAsia="Calibri" w:cs="Calibri"/>
          <w:b w:val="1"/>
          <w:bCs w:val="1"/>
          <w:i w:val="0"/>
          <w:iCs w:val="0"/>
          <w:caps w:val="0"/>
          <w:smallCaps w:val="0"/>
          <w:noProof w:val="0"/>
          <w:color w:val="000000" w:themeColor="text1" w:themeTint="FF" w:themeShade="FF"/>
          <w:sz w:val="21"/>
          <w:szCs w:val="21"/>
          <w:lang w:val="en-US"/>
        </w:rPr>
        <w:t>Index Required Disclosures</w:t>
      </w:r>
      <w:r>
        <w:br/>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762"/>
        <w:gridCol w:w="4598"/>
      </w:tblGrid>
      <w:tr w:rsidR="2EA8C4E2" w:rsidTr="35A5D1D8" w14:paraId="3DE5352C">
        <w:trPr>
          <w:trHeight w:val="300"/>
        </w:trPr>
        <w:tc>
          <w:tcPr>
            <w:tcW w:w="4762" w:type="dxa"/>
            <w:tcMar>
              <w:left w:w="105" w:type="dxa"/>
              <w:right w:w="105" w:type="dxa"/>
            </w:tcMar>
            <w:vAlign w:val="top"/>
          </w:tcPr>
          <w:p w:rsidR="2EA8C4E2" w:rsidP="35A5D1D8" w:rsidRDefault="2EA8C4E2" w14:paraId="065931EB" w14:textId="23C639A8">
            <w:pPr>
              <w:rPr>
                <w:rFonts w:ascii="Calibri" w:hAnsi="Calibri" w:eastAsia="Calibri" w:cs="Calibri"/>
                <w:b w:val="0"/>
                <w:bCs w:val="0"/>
                <w:i w:val="0"/>
                <w:iCs w:val="0"/>
                <w:sz w:val="21"/>
                <w:szCs w:val="21"/>
              </w:rPr>
            </w:pPr>
            <w:r w:rsidRPr="35A5D1D8" w:rsidR="2EA8C4E2">
              <w:rPr>
                <w:rFonts w:ascii="Calibri" w:hAnsi="Calibri" w:eastAsia="Calibri" w:cs="Calibri"/>
                <w:b w:val="1"/>
                <w:bCs w:val="1"/>
                <w:i w:val="0"/>
                <w:iCs w:val="0"/>
                <w:sz w:val="21"/>
                <w:szCs w:val="21"/>
                <w:lang w:val="en-US"/>
              </w:rPr>
              <w:t>Index</w:t>
            </w:r>
          </w:p>
        </w:tc>
        <w:tc>
          <w:tcPr>
            <w:tcW w:w="4598" w:type="dxa"/>
            <w:tcMar>
              <w:left w:w="105" w:type="dxa"/>
              <w:right w:w="105" w:type="dxa"/>
            </w:tcMar>
            <w:vAlign w:val="top"/>
          </w:tcPr>
          <w:p w:rsidR="2EA8C4E2" w:rsidP="35A5D1D8" w:rsidRDefault="2EA8C4E2" w14:paraId="6FDB176C" w14:textId="47690EEA">
            <w:pPr>
              <w:rPr>
                <w:rFonts w:ascii="Calibri" w:hAnsi="Calibri" w:eastAsia="Calibri" w:cs="Calibri"/>
                <w:b w:val="0"/>
                <w:bCs w:val="0"/>
                <w:i w:val="0"/>
                <w:iCs w:val="0"/>
                <w:sz w:val="21"/>
                <w:szCs w:val="21"/>
              </w:rPr>
            </w:pPr>
            <w:r w:rsidRPr="35A5D1D8" w:rsidR="2EA8C4E2">
              <w:rPr>
                <w:rFonts w:ascii="Calibri" w:hAnsi="Calibri" w:eastAsia="Calibri" w:cs="Calibri"/>
                <w:b w:val="1"/>
                <w:bCs w:val="1"/>
                <w:i w:val="0"/>
                <w:iCs w:val="0"/>
                <w:sz w:val="21"/>
                <w:szCs w:val="21"/>
                <w:lang w:val="en-US"/>
              </w:rPr>
              <w:t>Required Disclosures</w:t>
            </w:r>
          </w:p>
        </w:tc>
      </w:tr>
      <w:tr w:rsidR="2EA8C4E2" w:rsidTr="35A5D1D8" w14:paraId="38620819">
        <w:trPr>
          <w:trHeight w:val="300"/>
        </w:trPr>
        <w:tc>
          <w:tcPr>
            <w:tcW w:w="4762" w:type="dxa"/>
            <w:tcMar>
              <w:left w:w="105" w:type="dxa"/>
              <w:right w:w="105" w:type="dxa"/>
            </w:tcMar>
            <w:vAlign w:val="top"/>
          </w:tcPr>
          <w:p w:rsidR="2EA8C4E2" w:rsidP="35A5D1D8" w:rsidRDefault="2EA8C4E2" w14:paraId="4CE09DE7" w14:textId="7B8AC44E">
            <w:pPr>
              <w:rPr>
                <w:rFonts w:ascii="Calibri" w:hAnsi="Calibri" w:eastAsia="Calibri" w:cs="Calibri"/>
                <w:b w:val="0"/>
                <w:bCs w:val="0"/>
                <w:i w:val="0"/>
                <w:iCs w:val="0"/>
                <w:sz w:val="21"/>
                <w:szCs w:val="21"/>
              </w:rPr>
            </w:pPr>
          </w:p>
          <w:p w:rsidR="5A22427A" w:rsidP="35A5D1D8" w:rsidRDefault="5A22427A" w14:paraId="26997D85" w14:textId="2C0F90CC">
            <w:pPr>
              <w:spacing w:line="259" w:lineRule="auto"/>
              <w:rPr>
                <w:rFonts w:ascii="Calibri" w:hAnsi="Calibri" w:eastAsia="Calibri" w:cs="Calibri"/>
                <w:b w:val="0"/>
                <w:bCs w:val="0"/>
                <w:i w:val="0"/>
                <w:iCs w:val="0"/>
                <w:caps w:val="0"/>
                <w:smallCaps w:val="0"/>
                <w:strike w:val="0"/>
                <w:dstrike w:val="0"/>
                <w:sz w:val="21"/>
                <w:szCs w:val="21"/>
                <w:u w:val="none"/>
                <w:lang w:val="en-US"/>
              </w:rPr>
            </w:pPr>
            <w:r w:rsidRPr="35A5D1D8" w:rsidR="5A22427A">
              <w:rPr>
                <w:rFonts w:ascii="Calibri" w:hAnsi="Calibri" w:eastAsia="Calibri" w:cs="Calibri"/>
                <w:b w:val="0"/>
                <w:bCs w:val="0"/>
                <w:i w:val="0"/>
                <w:iCs w:val="0"/>
                <w:caps w:val="0"/>
                <w:smallCaps w:val="0"/>
                <w:strike w:val="0"/>
                <w:dstrike w:val="0"/>
                <w:sz w:val="21"/>
                <w:szCs w:val="21"/>
                <w:u w:val="none"/>
                <w:lang w:val="en-US"/>
              </w:rPr>
              <w:t>Bloomberg Commodity Index;</w:t>
            </w:r>
          </w:p>
          <w:p w:rsidR="5639ABA3" w:rsidP="35A5D1D8" w:rsidRDefault="5639ABA3" w14:paraId="444D8752" w14:textId="640E481F">
            <w:pPr>
              <w:pStyle w:val="Normal"/>
              <w:spacing w:line="259" w:lineRule="auto"/>
              <w:rPr>
                <w:rFonts w:ascii="Calibri" w:hAnsi="Calibri" w:eastAsia="Calibri" w:cs="Calibri"/>
                <w:b w:val="0"/>
                <w:bCs w:val="0"/>
                <w:i w:val="0"/>
                <w:iCs w:val="0"/>
                <w:caps w:val="0"/>
                <w:smallCaps w:val="0"/>
                <w:strike w:val="0"/>
                <w:dstrike w:val="0"/>
                <w:noProof w:val="0"/>
                <w:color w:val="212121"/>
                <w:sz w:val="22"/>
                <w:szCs w:val="22"/>
                <w:u w:val="none"/>
                <w:lang w:val="en-US"/>
              </w:rPr>
            </w:pPr>
            <w:r w:rsidRPr="35A5D1D8" w:rsidR="5639ABA3">
              <w:rPr>
                <w:rFonts w:ascii="Calibri" w:hAnsi="Calibri" w:eastAsia="Calibri" w:cs="Calibri"/>
                <w:b w:val="0"/>
                <w:bCs w:val="0"/>
                <w:i w:val="0"/>
                <w:iCs w:val="0"/>
                <w:caps w:val="0"/>
                <w:smallCaps w:val="0"/>
                <w:strike w:val="0"/>
                <w:dstrike w:val="0"/>
                <w:noProof w:val="0"/>
                <w:color w:val="212121"/>
                <w:sz w:val="22"/>
                <w:szCs w:val="22"/>
                <w:u w:val="none"/>
                <w:lang w:val="en-US"/>
              </w:rPr>
              <w:t>Bloomberg</w:t>
            </w:r>
            <w:r w:rsidRPr="35A5D1D8" w:rsidR="5639ABA3">
              <w:rPr>
                <w:rFonts w:ascii="Calibri" w:hAnsi="Calibri" w:eastAsia="Calibri" w:cs="Calibri"/>
                <w:b w:val="0"/>
                <w:bCs w:val="0"/>
                <w:i w:val="0"/>
                <w:iCs w:val="0"/>
                <w:caps w:val="0"/>
                <w:smallCaps w:val="0"/>
                <w:strike w:val="0"/>
                <w:dstrike w:val="0"/>
                <w:noProof w:val="0"/>
                <w:color w:val="212121"/>
                <w:sz w:val="22"/>
                <w:szCs w:val="22"/>
                <w:u w:val="none"/>
                <w:lang w:val="en-US"/>
              </w:rPr>
              <w:t xml:space="preserve"> US Corporate High Yield Index;</w:t>
            </w:r>
          </w:p>
          <w:p w:rsidR="5A22427A" w:rsidP="2EA8C4E2" w:rsidRDefault="5A22427A" w14:paraId="1D090B74" w14:textId="0973A504">
            <w:pPr>
              <w:pStyle w:val="Normal"/>
              <w:spacing w:line="259" w:lineRule="auto"/>
            </w:pPr>
            <w:r w:rsidRPr="35A5D1D8" w:rsidR="5A22427A">
              <w:rPr>
                <w:rFonts w:ascii="Calibri" w:hAnsi="Calibri" w:eastAsia="Calibri" w:cs="Calibri"/>
                <w:b w:val="0"/>
                <w:bCs w:val="0"/>
                <w:i w:val="0"/>
                <w:iCs w:val="0"/>
                <w:caps w:val="0"/>
                <w:smallCaps w:val="0"/>
                <w:strike w:val="0"/>
                <w:dstrike w:val="0"/>
                <w:sz w:val="21"/>
                <w:szCs w:val="21"/>
                <w:u w:val="none"/>
                <w:lang w:val="en-US"/>
              </w:rPr>
              <w:t>Bloomberg Barclays US Aggregate Bond Index;</w:t>
            </w:r>
          </w:p>
          <w:p w:rsidR="0097687E" w:rsidP="2EA8C4E2" w:rsidRDefault="0097687E" w14:paraId="00F05D76" w14:textId="7AAEEC19">
            <w:pPr>
              <w:pStyle w:val="Normal"/>
              <w:spacing w:line="259" w:lineRule="auto"/>
            </w:pPr>
            <w:r w:rsidRPr="35A5D1D8" w:rsidR="0097687E">
              <w:rPr>
                <w:rFonts w:ascii="Calibri" w:hAnsi="Calibri" w:eastAsia="Calibri" w:cs="Calibri"/>
                <w:noProof w:val="0"/>
                <w:sz w:val="21"/>
                <w:szCs w:val="21"/>
                <w:lang w:val="en-US"/>
              </w:rPr>
              <w:t>Bloomberg U.S. Treasury: 7-10 Year Total Return Index Value Unhedged</w:t>
            </w:r>
          </w:p>
        </w:tc>
        <w:tc>
          <w:tcPr>
            <w:tcW w:w="4598" w:type="dxa"/>
            <w:tcMar>
              <w:left w:w="105" w:type="dxa"/>
              <w:right w:w="105" w:type="dxa"/>
            </w:tcMar>
            <w:vAlign w:val="top"/>
          </w:tcPr>
          <w:p w:rsidR="2EA8C4E2" w:rsidP="35A5D1D8" w:rsidRDefault="2EA8C4E2" w14:paraId="6490AEE9" w14:textId="00600745">
            <w:pPr>
              <w:spacing w:line="276" w:lineRule="auto"/>
              <w:rPr>
                <w:rFonts w:ascii="Calibri" w:hAnsi="Calibri" w:eastAsia="Calibri" w:cs="Calibri"/>
                <w:b w:val="0"/>
                <w:bCs w:val="0"/>
                <w:i w:val="0"/>
                <w:iCs w:val="0"/>
                <w:sz w:val="21"/>
                <w:szCs w:val="21"/>
              </w:rPr>
            </w:pPr>
            <w:r w:rsidRPr="35A5D1D8" w:rsidR="2EA8C4E2">
              <w:rPr>
                <w:rFonts w:ascii="Calibri" w:hAnsi="Calibri" w:eastAsia="Calibri" w:cs="Calibri"/>
                <w:b w:val="0"/>
                <w:bCs w:val="0"/>
                <w:i w:val="0"/>
                <w:iCs w:val="0"/>
                <w:sz w:val="21"/>
                <w:szCs w:val="21"/>
                <w:lang w:val="en-US"/>
              </w:rPr>
              <w:t>Source: Bloomberg Index Services Limited. BLOOMBERG® is a trademark and service mark of Bloomberg Finance L.P. and its affiliates (collectively “Bloomberg”). Bloomberg or Bloomberg's licensors own all proprietary rights in the Bloomberg Indices. Bloomberg does not approve or endorse this material or guarantee the accuracy or completeness of any information herein, nor does Bloomberg make any warranty, express or implied, as to the results to be obtained therefrom, and, to the maximum extent allowed by law, Bloomberg shall not have any liability or responsibility for injury or damages arising in connection therewith.</w:t>
            </w:r>
          </w:p>
          <w:p w:rsidR="2EA8C4E2" w:rsidP="35A5D1D8" w:rsidRDefault="2EA8C4E2" w14:paraId="0AF118B9" w14:textId="21B0F5A0">
            <w:pPr>
              <w:rPr>
                <w:rFonts w:ascii="Calibri" w:hAnsi="Calibri" w:eastAsia="Calibri" w:cs="Calibri"/>
                <w:b w:val="0"/>
                <w:bCs w:val="0"/>
                <w:i w:val="0"/>
                <w:iCs w:val="0"/>
                <w:sz w:val="21"/>
                <w:szCs w:val="21"/>
              </w:rPr>
            </w:pPr>
          </w:p>
        </w:tc>
      </w:tr>
      <w:tr w:rsidR="2EA8C4E2" w:rsidTr="35A5D1D8" w14:paraId="122077B7">
        <w:trPr>
          <w:trHeight w:val="300"/>
        </w:trPr>
        <w:tc>
          <w:tcPr>
            <w:tcW w:w="4762" w:type="dxa"/>
            <w:tcMar>
              <w:left w:w="105" w:type="dxa"/>
              <w:right w:w="105" w:type="dxa"/>
            </w:tcMar>
            <w:vAlign w:val="top"/>
          </w:tcPr>
          <w:p w:rsidR="49A8B338" w:rsidP="35A5D1D8" w:rsidRDefault="49A8B338" w14:paraId="25D3DA78" w14:textId="76A9EF6D">
            <w:pPr>
              <w:pStyle w:val="Normal"/>
              <w:rPr>
                <w:rFonts w:ascii="Calibri" w:hAnsi="Calibri" w:eastAsia="Calibri" w:cs="Calibri"/>
                <w:b w:val="0"/>
                <w:bCs w:val="0"/>
                <w:i w:val="0"/>
                <w:iCs w:val="0"/>
                <w:sz w:val="21"/>
                <w:szCs w:val="21"/>
              </w:rPr>
            </w:pPr>
            <w:r w:rsidRPr="35A5D1D8" w:rsidR="49A8B338">
              <w:rPr>
                <w:rFonts w:ascii="Calibri" w:hAnsi="Calibri" w:eastAsia="Calibri" w:cs="Calibri"/>
                <w:b w:val="0"/>
                <w:bCs w:val="0"/>
                <w:i w:val="0"/>
                <w:iCs w:val="0"/>
                <w:sz w:val="21"/>
                <w:szCs w:val="21"/>
              </w:rPr>
              <w:t>S&amp;P Dow Jones Indices LLC</w:t>
            </w:r>
          </w:p>
        </w:tc>
        <w:tc>
          <w:tcPr>
            <w:tcW w:w="4598" w:type="dxa"/>
            <w:tcMar>
              <w:left w:w="105" w:type="dxa"/>
              <w:right w:w="105" w:type="dxa"/>
            </w:tcMar>
            <w:vAlign w:val="top"/>
          </w:tcPr>
          <w:p w:rsidR="38F082F1" w:rsidP="35A5D1D8" w:rsidRDefault="38F082F1" w14:paraId="7CC816D4" w14:textId="5F3A7B6B">
            <w:pPr>
              <w:pStyle w:val="Normal"/>
              <w:spacing w:line="276" w:lineRule="auto"/>
              <w:rPr>
                <w:rFonts w:ascii="Calibri" w:hAnsi="Calibri" w:eastAsia="Calibri" w:cs="Calibri"/>
                <w:b w:val="0"/>
                <w:bCs w:val="0"/>
                <w:i w:val="0"/>
                <w:iCs w:val="0"/>
                <w:sz w:val="21"/>
                <w:szCs w:val="21"/>
                <w:lang w:val="en-US"/>
              </w:rPr>
            </w:pPr>
            <w:r w:rsidRPr="35A5D1D8" w:rsidR="38F082F1">
              <w:rPr>
                <w:rFonts w:ascii="Calibri" w:hAnsi="Calibri" w:eastAsia="Calibri" w:cs="Calibri"/>
                <w:b w:val="0"/>
                <w:bCs w:val="0"/>
                <w:i w:val="0"/>
                <w:iCs w:val="0"/>
                <w:sz w:val="21"/>
                <w:szCs w:val="21"/>
                <w:lang w:val="en-US"/>
              </w:rPr>
              <w:t xml:space="preserve">Copyright 2023, S&amp;P Dow Jones Indices LLC. Reproduction of S&amp;P Dow Jones Indices in any form is prohibited except with the prior written permission of S&amp;P. S&amp;P does not guarantee the accuracy, adequacy, </w:t>
            </w:r>
            <w:r w:rsidRPr="35A5D1D8" w:rsidR="38F082F1">
              <w:rPr>
                <w:rFonts w:ascii="Calibri" w:hAnsi="Calibri" w:eastAsia="Calibri" w:cs="Calibri"/>
                <w:b w:val="0"/>
                <w:bCs w:val="0"/>
                <w:i w:val="0"/>
                <w:iCs w:val="0"/>
                <w:sz w:val="21"/>
                <w:szCs w:val="21"/>
                <w:lang w:val="en-US"/>
              </w:rPr>
              <w:t>completeness</w:t>
            </w:r>
            <w:r w:rsidRPr="35A5D1D8" w:rsidR="38F082F1">
              <w:rPr>
                <w:rFonts w:ascii="Calibri" w:hAnsi="Calibri" w:eastAsia="Calibri" w:cs="Calibri"/>
                <w:b w:val="0"/>
                <w:bCs w:val="0"/>
                <w:i w:val="0"/>
                <w:iCs w:val="0"/>
                <w:sz w:val="21"/>
                <w:szCs w:val="21"/>
                <w:lang w:val="en-US"/>
              </w:rPr>
              <w:t xml:space="preserve"> or availability of any information and is not responsible for any errors or omissions, regardless of the cause or for the results obtained from the use of such information. S&amp;P DISCLAIMS ANY AND ALL EXPRESS OR IMPLIED WARRANTIES, INCLUDING, BUT NOT LIMITED TO, ANY WARRANTIES OF MERCHANTABILITY OR FITNESS FOR A PARTICULAR PURPOSE OR USE. In no event shall S&amp;P be liable for any direct, indirect, </w:t>
            </w:r>
            <w:r w:rsidRPr="35A5D1D8" w:rsidR="38F082F1">
              <w:rPr>
                <w:rFonts w:ascii="Calibri" w:hAnsi="Calibri" w:eastAsia="Calibri" w:cs="Calibri"/>
                <w:b w:val="0"/>
                <w:bCs w:val="0"/>
                <w:i w:val="0"/>
                <w:iCs w:val="0"/>
                <w:sz w:val="21"/>
                <w:szCs w:val="21"/>
                <w:lang w:val="en-US"/>
              </w:rPr>
              <w:t>special</w:t>
            </w:r>
            <w:r w:rsidRPr="35A5D1D8" w:rsidR="38F082F1">
              <w:rPr>
                <w:rFonts w:ascii="Calibri" w:hAnsi="Calibri" w:eastAsia="Calibri" w:cs="Calibri"/>
                <w:b w:val="0"/>
                <w:bCs w:val="0"/>
                <w:i w:val="0"/>
                <w:iCs w:val="0"/>
                <w:sz w:val="21"/>
                <w:szCs w:val="21"/>
                <w:lang w:val="en-US"/>
              </w:rPr>
              <w:t xml:space="preserve"> or consequential damages, costs, expenses, legal fees, or losses (including lost income or lost profit and opportunity costs) in connection with subscriber’s or others’ use of S&amp;P Dow Jones Indices.</w:t>
            </w:r>
          </w:p>
        </w:tc>
      </w:tr>
    </w:tbl>
    <w:p w:rsidR="2EA8C4E2" w:rsidP="2EA8C4E2" w:rsidRDefault="2EA8C4E2" w14:paraId="02AF1B3E" w14:textId="5A2BAD55">
      <w:pPr>
        <w:pStyle w:val="paragraph"/>
        <w:spacing w:before="0" w:beforeAutospacing="off" w:after="0" w:afterAutospacing="off"/>
        <w:rPr>
          <w:rStyle w:val="eop"/>
          <w:color w:val="000000" w:themeColor="text1" w:themeTint="FF" w:themeShade="FF"/>
        </w:rPr>
      </w:pPr>
    </w:p>
    <w:p w:rsidRPr="00104415" w:rsidR="00104415" w:rsidP="00104415" w:rsidRDefault="00104415" w14:paraId="00A42A61"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eop"/>
          <w:color w:val="000000" w:themeColor="text1"/>
        </w:rPr>
        <w:t> </w:t>
      </w:r>
    </w:p>
    <w:p w:rsidRPr="00104415" w:rsidR="00104415" w:rsidP="00104415" w:rsidRDefault="00104415" w14:paraId="34FA76D9" w14:textId="77777777">
      <w:pPr>
        <w:pStyle w:val="paragraph"/>
        <w:spacing w:before="0" w:beforeAutospacing="0" w:after="0" w:afterAutospacing="0"/>
        <w:textAlignment w:val="baseline"/>
        <w:rPr>
          <w:rFonts w:ascii="Segoe UI" w:hAnsi="Segoe UI" w:cs="Segoe UI"/>
          <w:color w:val="000000" w:themeColor="text1"/>
          <w:sz w:val="18"/>
          <w:szCs w:val="18"/>
        </w:rPr>
      </w:pPr>
      <w:r w:rsidRPr="00104415">
        <w:rPr>
          <w:rStyle w:val="normaltextrun"/>
          <w:color w:val="000000" w:themeColor="text1"/>
        </w:rPr>
        <w:t xml:space="preserve">Alternative investment products and services are offered through </w:t>
      </w:r>
      <w:proofErr w:type="spellStart"/>
      <w:r w:rsidRPr="00104415">
        <w:rPr>
          <w:rStyle w:val="normaltextrun"/>
          <w:color w:val="000000" w:themeColor="text1"/>
        </w:rPr>
        <w:t>iCapital</w:t>
      </w:r>
      <w:proofErr w:type="spellEnd"/>
      <w:r w:rsidRPr="00104415">
        <w:rPr>
          <w:rStyle w:val="normaltextrun"/>
          <w:color w:val="000000" w:themeColor="text1"/>
        </w:rPr>
        <w:t xml:space="preserve"> Securities, LLC (“</w:t>
      </w:r>
      <w:proofErr w:type="spellStart"/>
      <w:r w:rsidRPr="00104415">
        <w:rPr>
          <w:rStyle w:val="normaltextrun"/>
          <w:color w:val="000000" w:themeColor="text1"/>
        </w:rPr>
        <w:t>iCapital</w:t>
      </w:r>
      <w:proofErr w:type="spellEnd"/>
      <w:r w:rsidRPr="00104415">
        <w:rPr>
          <w:rStyle w:val="normaltextrun"/>
          <w:color w:val="000000" w:themeColor="text1"/>
        </w:rPr>
        <w:t xml:space="preserve"> Securities”).  Structured investment products and services are offered through SIMON Markets LLC (“SIMON”) and </w:t>
      </w:r>
      <w:proofErr w:type="spellStart"/>
      <w:r w:rsidRPr="00104415">
        <w:rPr>
          <w:rStyle w:val="normaltextrun"/>
          <w:color w:val="000000" w:themeColor="text1"/>
        </w:rPr>
        <w:t>Axio</w:t>
      </w:r>
      <w:proofErr w:type="spellEnd"/>
      <w:r w:rsidRPr="00104415">
        <w:rPr>
          <w:rStyle w:val="normaltextrun"/>
          <w:color w:val="000000" w:themeColor="text1"/>
        </w:rPr>
        <w:t xml:space="preserve"> Financial LLC (“</w:t>
      </w:r>
      <w:proofErr w:type="spellStart"/>
      <w:r w:rsidRPr="00104415">
        <w:rPr>
          <w:rStyle w:val="normaltextrun"/>
          <w:color w:val="000000" w:themeColor="text1"/>
        </w:rPr>
        <w:t>Axio</w:t>
      </w:r>
      <w:proofErr w:type="spellEnd"/>
      <w:r w:rsidRPr="00104415">
        <w:rPr>
          <w:rStyle w:val="normaltextrun"/>
          <w:color w:val="000000" w:themeColor="text1"/>
        </w:rPr>
        <w:t xml:space="preserve">”).  </w:t>
      </w:r>
      <w:proofErr w:type="spellStart"/>
      <w:r w:rsidRPr="00104415">
        <w:rPr>
          <w:rStyle w:val="normaltextrun"/>
          <w:color w:val="000000" w:themeColor="text1"/>
        </w:rPr>
        <w:t>iCapital</w:t>
      </w:r>
      <w:proofErr w:type="spellEnd"/>
      <w:r w:rsidRPr="00104415">
        <w:rPr>
          <w:rStyle w:val="normaltextrun"/>
          <w:color w:val="000000" w:themeColor="text1"/>
        </w:rPr>
        <w:t xml:space="preserve"> Securities, SIMON, and </w:t>
      </w:r>
      <w:proofErr w:type="spellStart"/>
      <w:r w:rsidRPr="00104415">
        <w:rPr>
          <w:rStyle w:val="normaltextrun"/>
          <w:color w:val="000000" w:themeColor="text1"/>
        </w:rPr>
        <w:t>Axio</w:t>
      </w:r>
      <w:proofErr w:type="spellEnd"/>
      <w:r w:rsidRPr="00104415">
        <w:rPr>
          <w:rStyle w:val="normaltextrun"/>
          <w:color w:val="000000" w:themeColor="text1"/>
        </w:rPr>
        <w:t xml:space="preserve"> is each a registered broker dealer, member of FINRA and SIPC and affiliated with </w:t>
      </w:r>
      <w:proofErr w:type="spellStart"/>
      <w:r w:rsidRPr="00104415">
        <w:rPr>
          <w:rStyle w:val="normaltextrun"/>
          <w:color w:val="000000" w:themeColor="text1"/>
        </w:rPr>
        <w:t>iCapital</w:t>
      </w:r>
      <w:proofErr w:type="spellEnd"/>
      <w:r w:rsidRPr="00104415">
        <w:rPr>
          <w:rStyle w:val="normaltextrun"/>
          <w:color w:val="000000" w:themeColor="text1"/>
        </w:rPr>
        <w:t xml:space="preserve"> Advisors, LLC, Institutional Capital Network, Inc., and </w:t>
      </w:r>
      <w:proofErr w:type="spellStart"/>
      <w:r w:rsidRPr="00104415">
        <w:rPr>
          <w:rStyle w:val="normaltextrun"/>
          <w:color w:val="000000" w:themeColor="text1"/>
        </w:rPr>
        <w:t>iCapital</w:t>
      </w:r>
      <w:proofErr w:type="spellEnd"/>
      <w:r w:rsidRPr="00104415">
        <w:rPr>
          <w:rStyle w:val="normaltextrun"/>
          <w:color w:val="000000" w:themeColor="text1"/>
        </w:rPr>
        <w:t xml:space="preserve">, Inc.  </w:t>
      </w:r>
      <w:proofErr w:type="spellStart"/>
      <w:r w:rsidRPr="00104415">
        <w:rPr>
          <w:rStyle w:val="normaltextrun"/>
          <w:color w:val="000000" w:themeColor="text1"/>
        </w:rPr>
        <w:t>iCapital</w:t>
      </w:r>
      <w:proofErr w:type="spellEnd"/>
      <w:r w:rsidRPr="00104415">
        <w:rPr>
          <w:rStyle w:val="normaltextrun"/>
          <w:color w:val="000000" w:themeColor="text1"/>
        </w:rPr>
        <w:t xml:space="preserve"> Advisors, LLC is registered with the SEC as an investment adviser and acts as an investment adviser to certain Alt Funds (“Access Funds”) on the </w:t>
      </w:r>
      <w:proofErr w:type="spellStart"/>
      <w:r w:rsidRPr="00104415">
        <w:rPr>
          <w:rStyle w:val="normaltextrun"/>
          <w:color w:val="000000" w:themeColor="text1"/>
        </w:rPr>
        <w:t>iCapital</w:t>
      </w:r>
      <w:proofErr w:type="spellEnd"/>
      <w:r w:rsidRPr="00104415">
        <w:rPr>
          <w:rStyle w:val="normaltextrun"/>
          <w:color w:val="000000" w:themeColor="text1"/>
        </w:rPr>
        <w:t xml:space="preserve"> Platform.  </w:t>
      </w:r>
      <w:r w:rsidRPr="00104415">
        <w:rPr>
          <w:rStyle w:val="eop"/>
          <w:color w:val="000000" w:themeColor="text1"/>
        </w:rPr>
        <w:t> </w:t>
      </w:r>
    </w:p>
    <w:p w:rsidRPr="00104415" w:rsidR="00B35414" w:rsidRDefault="00B35414" w14:paraId="27A09970" w14:textId="77777777">
      <w:pPr>
        <w:rPr>
          <w:color w:val="000000" w:themeColor="text1"/>
        </w:rPr>
      </w:pPr>
    </w:p>
    <w:sectPr w:rsidRPr="00104415" w:rsidR="00B354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26B86"/>
    <w:multiLevelType w:val="multilevel"/>
    <w:tmpl w:val="821CF2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2886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15"/>
    <w:rsid w:val="00104415"/>
    <w:rsid w:val="0097687E"/>
    <w:rsid w:val="00AB59BC"/>
    <w:rsid w:val="00B35414"/>
    <w:rsid w:val="07B82647"/>
    <w:rsid w:val="0963B725"/>
    <w:rsid w:val="09E506D0"/>
    <w:rsid w:val="0A6408CD"/>
    <w:rsid w:val="1100E5E1"/>
    <w:rsid w:val="1427F74F"/>
    <w:rsid w:val="15086AF7"/>
    <w:rsid w:val="1989DB6D"/>
    <w:rsid w:val="1CA2C482"/>
    <w:rsid w:val="1D6FDDD7"/>
    <w:rsid w:val="20A1F541"/>
    <w:rsid w:val="262B9451"/>
    <w:rsid w:val="280BA2C8"/>
    <w:rsid w:val="2BE9BC01"/>
    <w:rsid w:val="2C38BFA1"/>
    <w:rsid w:val="2DC54667"/>
    <w:rsid w:val="2EA8C4E2"/>
    <w:rsid w:val="2F86E340"/>
    <w:rsid w:val="3122B3A1"/>
    <w:rsid w:val="3188FE59"/>
    <w:rsid w:val="3387A753"/>
    <w:rsid w:val="35A5D1D8"/>
    <w:rsid w:val="372681F1"/>
    <w:rsid w:val="38F082F1"/>
    <w:rsid w:val="3911398D"/>
    <w:rsid w:val="3911398D"/>
    <w:rsid w:val="3A8DBB6E"/>
    <w:rsid w:val="3D30C74D"/>
    <w:rsid w:val="3E235403"/>
    <w:rsid w:val="3EF1C888"/>
    <w:rsid w:val="3F257946"/>
    <w:rsid w:val="3F9C642E"/>
    <w:rsid w:val="403BB8C1"/>
    <w:rsid w:val="429EF376"/>
    <w:rsid w:val="42B43364"/>
    <w:rsid w:val="42DC9552"/>
    <w:rsid w:val="43375B7D"/>
    <w:rsid w:val="4671C33C"/>
    <w:rsid w:val="47B00675"/>
    <w:rsid w:val="494BD6D6"/>
    <w:rsid w:val="496B1AC3"/>
    <w:rsid w:val="49A8B338"/>
    <w:rsid w:val="5548165B"/>
    <w:rsid w:val="5639ABA3"/>
    <w:rsid w:val="56495D32"/>
    <w:rsid w:val="5A22427A"/>
    <w:rsid w:val="5AE4ACA4"/>
    <w:rsid w:val="5EC298C0"/>
    <w:rsid w:val="5FF2BECE"/>
    <w:rsid w:val="604CFB3D"/>
    <w:rsid w:val="635FF430"/>
    <w:rsid w:val="6386DC3E"/>
    <w:rsid w:val="63C6EB83"/>
    <w:rsid w:val="63E4E8E4"/>
    <w:rsid w:val="65B35F18"/>
    <w:rsid w:val="665B31B1"/>
    <w:rsid w:val="6CBA57A3"/>
    <w:rsid w:val="6CBA57A3"/>
    <w:rsid w:val="6DFFB39E"/>
    <w:rsid w:val="70254EDB"/>
    <w:rsid w:val="72B6BC50"/>
    <w:rsid w:val="7392FD33"/>
    <w:rsid w:val="73C3E6F0"/>
    <w:rsid w:val="7420D74C"/>
    <w:rsid w:val="75BCA7AD"/>
    <w:rsid w:val="7CDF47C1"/>
    <w:rsid w:val="7DAE9135"/>
    <w:rsid w:val="7E8DE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E6F4A"/>
  <w15:chartTrackingRefBased/>
  <w15:docId w15:val="{382ECE50-5AB0-594B-BFB0-0930EF39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04415"/>
    <w:pPr>
      <w:spacing w:before="100" w:beforeAutospacing="1" w:after="100" w:afterAutospacing="1"/>
    </w:pPr>
    <w:rPr>
      <w:rFonts w:ascii="Times New Roman" w:hAnsi="Times New Roman" w:eastAsia="Times New Roman" w:cs="Times New Roman"/>
      <w:kern w:val="0"/>
      <w14:ligatures w14:val="none"/>
    </w:rPr>
  </w:style>
  <w:style w:type="character" w:styleId="normaltextrun" w:customStyle="1">
    <w:name w:val="normaltextrun"/>
    <w:basedOn w:val="DefaultParagraphFont"/>
    <w:rsid w:val="00104415"/>
  </w:style>
  <w:style w:type="character" w:styleId="eop" w:customStyle="1">
    <w:name w:val="eop"/>
    <w:basedOn w:val="DefaultParagraphFont"/>
    <w:rsid w:val="0010441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6950">
      <w:bodyDiv w:val="1"/>
      <w:marLeft w:val="0"/>
      <w:marRight w:val="0"/>
      <w:marTop w:val="0"/>
      <w:marBottom w:val="0"/>
      <w:divBdr>
        <w:top w:val="none" w:sz="0" w:space="0" w:color="auto"/>
        <w:left w:val="none" w:sz="0" w:space="0" w:color="auto"/>
        <w:bottom w:val="none" w:sz="0" w:space="0" w:color="auto"/>
        <w:right w:val="none" w:sz="0" w:space="0" w:color="auto"/>
      </w:divBdr>
      <w:divsChild>
        <w:div w:id="1997370688">
          <w:marLeft w:val="0"/>
          <w:marRight w:val="0"/>
          <w:marTop w:val="0"/>
          <w:marBottom w:val="0"/>
          <w:divBdr>
            <w:top w:val="none" w:sz="0" w:space="0" w:color="auto"/>
            <w:left w:val="none" w:sz="0" w:space="0" w:color="auto"/>
            <w:bottom w:val="none" w:sz="0" w:space="0" w:color="auto"/>
            <w:right w:val="none" w:sz="0" w:space="0" w:color="auto"/>
          </w:divBdr>
        </w:div>
        <w:div w:id="1334065395">
          <w:marLeft w:val="0"/>
          <w:marRight w:val="0"/>
          <w:marTop w:val="0"/>
          <w:marBottom w:val="0"/>
          <w:divBdr>
            <w:top w:val="none" w:sz="0" w:space="0" w:color="auto"/>
            <w:left w:val="none" w:sz="0" w:space="0" w:color="auto"/>
            <w:bottom w:val="none" w:sz="0" w:space="0" w:color="auto"/>
            <w:right w:val="none" w:sz="0" w:space="0" w:color="auto"/>
          </w:divBdr>
        </w:div>
        <w:div w:id="1840382510">
          <w:marLeft w:val="0"/>
          <w:marRight w:val="0"/>
          <w:marTop w:val="0"/>
          <w:marBottom w:val="0"/>
          <w:divBdr>
            <w:top w:val="none" w:sz="0" w:space="0" w:color="auto"/>
            <w:left w:val="none" w:sz="0" w:space="0" w:color="auto"/>
            <w:bottom w:val="none" w:sz="0" w:space="0" w:color="auto"/>
            <w:right w:val="none" w:sz="0" w:space="0" w:color="auto"/>
          </w:divBdr>
        </w:div>
        <w:div w:id="687105103">
          <w:marLeft w:val="0"/>
          <w:marRight w:val="0"/>
          <w:marTop w:val="0"/>
          <w:marBottom w:val="0"/>
          <w:divBdr>
            <w:top w:val="none" w:sz="0" w:space="0" w:color="auto"/>
            <w:left w:val="none" w:sz="0" w:space="0" w:color="auto"/>
            <w:bottom w:val="none" w:sz="0" w:space="0" w:color="auto"/>
            <w:right w:val="none" w:sz="0" w:space="0" w:color="auto"/>
          </w:divBdr>
        </w:div>
        <w:div w:id="1416897743">
          <w:marLeft w:val="0"/>
          <w:marRight w:val="0"/>
          <w:marTop w:val="0"/>
          <w:marBottom w:val="0"/>
          <w:divBdr>
            <w:top w:val="none" w:sz="0" w:space="0" w:color="auto"/>
            <w:left w:val="none" w:sz="0" w:space="0" w:color="auto"/>
            <w:bottom w:val="none" w:sz="0" w:space="0" w:color="auto"/>
            <w:right w:val="none" w:sz="0" w:space="0" w:color="auto"/>
          </w:divBdr>
        </w:div>
        <w:div w:id="708650289">
          <w:marLeft w:val="0"/>
          <w:marRight w:val="0"/>
          <w:marTop w:val="0"/>
          <w:marBottom w:val="0"/>
          <w:divBdr>
            <w:top w:val="none" w:sz="0" w:space="0" w:color="auto"/>
            <w:left w:val="none" w:sz="0" w:space="0" w:color="auto"/>
            <w:bottom w:val="none" w:sz="0" w:space="0" w:color="auto"/>
            <w:right w:val="none" w:sz="0" w:space="0" w:color="auto"/>
          </w:divBdr>
        </w:div>
        <w:div w:id="1575505462">
          <w:marLeft w:val="0"/>
          <w:marRight w:val="0"/>
          <w:marTop w:val="0"/>
          <w:marBottom w:val="0"/>
          <w:divBdr>
            <w:top w:val="none" w:sz="0" w:space="0" w:color="auto"/>
            <w:left w:val="none" w:sz="0" w:space="0" w:color="auto"/>
            <w:bottom w:val="none" w:sz="0" w:space="0" w:color="auto"/>
            <w:right w:val="none" w:sz="0" w:space="0" w:color="auto"/>
          </w:divBdr>
        </w:div>
        <w:div w:id="2131044077">
          <w:marLeft w:val="0"/>
          <w:marRight w:val="0"/>
          <w:marTop w:val="0"/>
          <w:marBottom w:val="0"/>
          <w:divBdr>
            <w:top w:val="none" w:sz="0" w:space="0" w:color="auto"/>
            <w:left w:val="none" w:sz="0" w:space="0" w:color="auto"/>
            <w:bottom w:val="none" w:sz="0" w:space="0" w:color="auto"/>
            <w:right w:val="none" w:sz="0" w:space="0" w:color="auto"/>
          </w:divBdr>
        </w:div>
        <w:div w:id="1573154344">
          <w:marLeft w:val="0"/>
          <w:marRight w:val="0"/>
          <w:marTop w:val="0"/>
          <w:marBottom w:val="0"/>
          <w:divBdr>
            <w:top w:val="none" w:sz="0" w:space="0" w:color="auto"/>
            <w:left w:val="none" w:sz="0" w:space="0" w:color="auto"/>
            <w:bottom w:val="none" w:sz="0" w:space="0" w:color="auto"/>
            <w:right w:val="none" w:sz="0" w:space="0" w:color="auto"/>
          </w:divBdr>
        </w:div>
        <w:div w:id="198444890">
          <w:marLeft w:val="0"/>
          <w:marRight w:val="0"/>
          <w:marTop w:val="0"/>
          <w:marBottom w:val="0"/>
          <w:divBdr>
            <w:top w:val="none" w:sz="0" w:space="0" w:color="auto"/>
            <w:left w:val="none" w:sz="0" w:space="0" w:color="auto"/>
            <w:bottom w:val="none" w:sz="0" w:space="0" w:color="auto"/>
            <w:right w:val="none" w:sz="0" w:space="0" w:color="auto"/>
          </w:divBdr>
        </w:div>
        <w:div w:id="249704060">
          <w:marLeft w:val="0"/>
          <w:marRight w:val="0"/>
          <w:marTop w:val="0"/>
          <w:marBottom w:val="0"/>
          <w:divBdr>
            <w:top w:val="none" w:sz="0" w:space="0" w:color="auto"/>
            <w:left w:val="none" w:sz="0" w:space="0" w:color="auto"/>
            <w:bottom w:val="none" w:sz="0" w:space="0" w:color="auto"/>
            <w:right w:val="none" w:sz="0" w:space="0" w:color="auto"/>
          </w:divBdr>
        </w:div>
        <w:div w:id="1722098050">
          <w:marLeft w:val="0"/>
          <w:marRight w:val="0"/>
          <w:marTop w:val="0"/>
          <w:marBottom w:val="0"/>
          <w:divBdr>
            <w:top w:val="none" w:sz="0" w:space="0" w:color="auto"/>
            <w:left w:val="none" w:sz="0" w:space="0" w:color="auto"/>
            <w:bottom w:val="none" w:sz="0" w:space="0" w:color="auto"/>
            <w:right w:val="none" w:sz="0" w:space="0" w:color="auto"/>
          </w:divBdr>
        </w:div>
        <w:div w:id="954360459">
          <w:marLeft w:val="0"/>
          <w:marRight w:val="0"/>
          <w:marTop w:val="0"/>
          <w:marBottom w:val="0"/>
          <w:divBdr>
            <w:top w:val="none" w:sz="0" w:space="0" w:color="auto"/>
            <w:left w:val="none" w:sz="0" w:space="0" w:color="auto"/>
            <w:bottom w:val="none" w:sz="0" w:space="0" w:color="auto"/>
            <w:right w:val="none" w:sz="0" w:space="0" w:color="auto"/>
          </w:divBdr>
          <w:divsChild>
            <w:div w:id="346489194">
              <w:marLeft w:val="0"/>
              <w:marRight w:val="0"/>
              <w:marTop w:val="0"/>
              <w:marBottom w:val="0"/>
              <w:divBdr>
                <w:top w:val="none" w:sz="0" w:space="0" w:color="auto"/>
                <w:left w:val="none" w:sz="0" w:space="0" w:color="auto"/>
                <w:bottom w:val="none" w:sz="0" w:space="0" w:color="auto"/>
                <w:right w:val="none" w:sz="0" w:space="0" w:color="auto"/>
              </w:divBdr>
            </w:div>
            <w:div w:id="1415127503">
              <w:marLeft w:val="0"/>
              <w:marRight w:val="0"/>
              <w:marTop w:val="0"/>
              <w:marBottom w:val="0"/>
              <w:divBdr>
                <w:top w:val="none" w:sz="0" w:space="0" w:color="auto"/>
                <w:left w:val="none" w:sz="0" w:space="0" w:color="auto"/>
                <w:bottom w:val="none" w:sz="0" w:space="0" w:color="auto"/>
                <w:right w:val="none" w:sz="0" w:space="0" w:color="auto"/>
              </w:divBdr>
            </w:div>
            <w:div w:id="215121163">
              <w:marLeft w:val="0"/>
              <w:marRight w:val="0"/>
              <w:marTop w:val="0"/>
              <w:marBottom w:val="0"/>
              <w:divBdr>
                <w:top w:val="none" w:sz="0" w:space="0" w:color="auto"/>
                <w:left w:val="none" w:sz="0" w:space="0" w:color="auto"/>
                <w:bottom w:val="none" w:sz="0" w:space="0" w:color="auto"/>
                <w:right w:val="none" w:sz="0" w:space="0" w:color="auto"/>
              </w:divBdr>
            </w:div>
            <w:div w:id="1289505775">
              <w:marLeft w:val="0"/>
              <w:marRight w:val="0"/>
              <w:marTop w:val="0"/>
              <w:marBottom w:val="0"/>
              <w:divBdr>
                <w:top w:val="none" w:sz="0" w:space="0" w:color="auto"/>
                <w:left w:val="none" w:sz="0" w:space="0" w:color="auto"/>
                <w:bottom w:val="none" w:sz="0" w:space="0" w:color="auto"/>
                <w:right w:val="none" w:sz="0" w:space="0" w:color="auto"/>
              </w:divBdr>
            </w:div>
          </w:divsChild>
        </w:div>
        <w:div w:id="183515834">
          <w:marLeft w:val="0"/>
          <w:marRight w:val="0"/>
          <w:marTop w:val="0"/>
          <w:marBottom w:val="0"/>
          <w:divBdr>
            <w:top w:val="none" w:sz="0" w:space="0" w:color="auto"/>
            <w:left w:val="none" w:sz="0" w:space="0" w:color="auto"/>
            <w:bottom w:val="none" w:sz="0" w:space="0" w:color="auto"/>
            <w:right w:val="none" w:sz="0" w:space="0" w:color="auto"/>
          </w:divBdr>
        </w:div>
        <w:div w:id="367222754">
          <w:marLeft w:val="0"/>
          <w:marRight w:val="0"/>
          <w:marTop w:val="0"/>
          <w:marBottom w:val="0"/>
          <w:divBdr>
            <w:top w:val="none" w:sz="0" w:space="0" w:color="auto"/>
            <w:left w:val="none" w:sz="0" w:space="0" w:color="auto"/>
            <w:bottom w:val="none" w:sz="0" w:space="0" w:color="auto"/>
            <w:right w:val="none" w:sz="0" w:space="0" w:color="auto"/>
          </w:divBdr>
        </w:div>
        <w:div w:id="106435178">
          <w:marLeft w:val="0"/>
          <w:marRight w:val="0"/>
          <w:marTop w:val="0"/>
          <w:marBottom w:val="0"/>
          <w:divBdr>
            <w:top w:val="none" w:sz="0" w:space="0" w:color="auto"/>
            <w:left w:val="none" w:sz="0" w:space="0" w:color="auto"/>
            <w:bottom w:val="none" w:sz="0" w:space="0" w:color="auto"/>
            <w:right w:val="none" w:sz="0" w:space="0" w:color="auto"/>
          </w:divBdr>
        </w:div>
        <w:div w:id="1774591030">
          <w:marLeft w:val="0"/>
          <w:marRight w:val="0"/>
          <w:marTop w:val="0"/>
          <w:marBottom w:val="0"/>
          <w:divBdr>
            <w:top w:val="none" w:sz="0" w:space="0" w:color="auto"/>
            <w:left w:val="none" w:sz="0" w:space="0" w:color="auto"/>
            <w:bottom w:val="none" w:sz="0" w:space="0" w:color="auto"/>
            <w:right w:val="none" w:sz="0" w:space="0" w:color="auto"/>
          </w:divBdr>
        </w:div>
        <w:div w:id="1448114089">
          <w:marLeft w:val="0"/>
          <w:marRight w:val="0"/>
          <w:marTop w:val="0"/>
          <w:marBottom w:val="0"/>
          <w:divBdr>
            <w:top w:val="none" w:sz="0" w:space="0" w:color="auto"/>
            <w:left w:val="none" w:sz="0" w:space="0" w:color="auto"/>
            <w:bottom w:val="none" w:sz="0" w:space="0" w:color="auto"/>
            <w:right w:val="none" w:sz="0" w:space="0" w:color="auto"/>
          </w:divBdr>
        </w:div>
        <w:div w:id="941492520">
          <w:marLeft w:val="0"/>
          <w:marRight w:val="0"/>
          <w:marTop w:val="0"/>
          <w:marBottom w:val="0"/>
          <w:divBdr>
            <w:top w:val="none" w:sz="0" w:space="0" w:color="auto"/>
            <w:left w:val="none" w:sz="0" w:space="0" w:color="auto"/>
            <w:bottom w:val="none" w:sz="0" w:space="0" w:color="auto"/>
            <w:right w:val="none" w:sz="0" w:space="0" w:color="auto"/>
          </w:divBdr>
        </w:div>
        <w:div w:id="1494099170">
          <w:marLeft w:val="0"/>
          <w:marRight w:val="0"/>
          <w:marTop w:val="0"/>
          <w:marBottom w:val="0"/>
          <w:divBdr>
            <w:top w:val="none" w:sz="0" w:space="0" w:color="auto"/>
            <w:left w:val="none" w:sz="0" w:space="0" w:color="auto"/>
            <w:bottom w:val="none" w:sz="0" w:space="0" w:color="auto"/>
            <w:right w:val="none" w:sz="0" w:space="0" w:color="auto"/>
          </w:divBdr>
        </w:div>
        <w:div w:id="396250997">
          <w:marLeft w:val="0"/>
          <w:marRight w:val="0"/>
          <w:marTop w:val="0"/>
          <w:marBottom w:val="0"/>
          <w:divBdr>
            <w:top w:val="none" w:sz="0" w:space="0" w:color="auto"/>
            <w:left w:val="none" w:sz="0" w:space="0" w:color="auto"/>
            <w:bottom w:val="none" w:sz="0" w:space="0" w:color="auto"/>
            <w:right w:val="none" w:sz="0" w:space="0" w:color="auto"/>
          </w:divBdr>
        </w:div>
        <w:div w:id="1494907228">
          <w:marLeft w:val="0"/>
          <w:marRight w:val="0"/>
          <w:marTop w:val="0"/>
          <w:marBottom w:val="0"/>
          <w:divBdr>
            <w:top w:val="none" w:sz="0" w:space="0" w:color="auto"/>
            <w:left w:val="none" w:sz="0" w:space="0" w:color="auto"/>
            <w:bottom w:val="none" w:sz="0" w:space="0" w:color="auto"/>
            <w:right w:val="none" w:sz="0" w:space="0" w:color="auto"/>
          </w:divBdr>
        </w:div>
        <w:div w:id="2000034365">
          <w:marLeft w:val="0"/>
          <w:marRight w:val="0"/>
          <w:marTop w:val="0"/>
          <w:marBottom w:val="0"/>
          <w:divBdr>
            <w:top w:val="none" w:sz="0" w:space="0" w:color="auto"/>
            <w:left w:val="none" w:sz="0" w:space="0" w:color="auto"/>
            <w:bottom w:val="none" w:sz="0" w:space="0" w:color="auto"/>
            <w:right w:val="none" w:sz="0" w:space="0" w:color="auto"/>
          </w:divBdr>
        </w:div>
        <w:div w:id="491144228">
          <w:marLeft w:val="0"/>
          <w:marRight w:val="0"/>
          <w:marTop w:val="0"/>
          <w:marBottom w:val="0"/>
          <w:divBdr>
            <w:top w:val="none" w:sz="0" w:space="0" w:color="auto"/>
            <w:left w:val="none" w:sz="0" w:space="0" w:color="auto"/>
            <w:bottom w:val="none" w:sz="0" w:space="0" w:color="auto"/>
            <w:right w:val="none" w:sz="0" w:space="0" w:color="auto"/>
          </w:divBdr>
        </w:div>
        <w:div w:id="896164348">
          <w:marLeft w:val="0"/>
          <w:marRight w:val="0"/>
          <w:marTop w:val="0"/>
          <w:marBottom w:val="0"/>
          <w:divBdr>
            <w:top w:val="none" w:sz="0" w:space="0" w:color="auto"/>
            <w:left w:val="none" w:sz="0" w:space="0" w:color="auto"/>
            <w:bottom w:val="none" w:sz="0" w:space="0" w:color="auto"/>
            <w:right w:val="none" w:sz="0" w:space="0" w:color="auto"/>
          </w:divBdr>
        </w:div>
        <w:div w:id="731077882">
          <w:marLeft w:val="0"/>
          <w:marRight w:val="0"/>
          <w:marTop w:val="0"/>
          <w:marBottom w:val="0"/>
          <w:divBdr>
            <w:top w:val="none" w:sz="0" w:space="0" w:color="auto"/>
            <w:left w:val="none" w:sz="0" w:space="0" w:color="auto"/>
            <w:bottom w:val="none" w:sz="0" w:space="0" w:color="auto"/>
            <w:right w:val="none" w:sz="0" w:space="0" w:color="auto"/>
          </w:divBdr>
        </w:div>
        <w:div w:id="2146240133">
          <w:marLeft w:val="0"/>
          <w:marRight w:val="0"/>
          <w:marTop w:val="0"/>
          <w:marBottom w:val="0"/>
          <w:divBdr>
            <w:top w:val="none" w:sz="0" w:space="0" w:color="auto"/>
            <w:left w:val="none" w:sz="0" w:space="0" w:color="auto"/>
            <w:bottom w:val="none" w:sz="0" w:space="0" w:color="auto"/>
            <w:right w:val="none" w:sz="0" w:space="0" w:color="auto"/>
          </w:divBdr>
        </w:div>
        <w:div w:id="551310763">
          <w:marLeft w:val="0"/>
          <w:marRight w:val="0"/>
          <w:marTop w:val="0"/>
          <w:marBottom w:val="0"/>
          <w:divBdr>
            <w:top w:val="none" w:sz="0" w:space="0" w:color="auto"/>
            <w:left w:val="none" w:sz="0" w:space="0" w:color="auto"/>
            <w:bottom w:val="none" w:sz="0" w:space="0" w:color="auto"/>
            <w:right w:val="none" w:sz="0" w:space="0" w:color="auto"/>
          </w:divBdr>
        </w:div>
        <w:div w:id="303318758">
          <w:marLeft w:val="0"/>
          <w:marRight w:val="0"/>
          <w:marTop w:val="0"/>
          <w:marBottom w:val="0"/>
          <w:divBdr>
            <w:top w:val="none" w:sz="0" w:space="0" w:color="auto"/>
            <w:left w:val="none" w:sz="0" w:space="0" w:color="auto"/>
            <w:bottom w:val="none" w:sz="0" w:space="0" w:color="auto"/>
            <w:right w:val="none" w:sz="0" w:space="0" w:color="auto"/>
          </w:divBdr>
        </w:div>
        <w:div w:id="189612432">
          <w:marLeft w:val="0"/>
          <w:marRight w:val="0"/>
          <w:marTop w:val="0"/>
          <w:marBottom w:val="0"/>
          <w:divBdr>
            <w:top w:val="none" w:sz="0" w:space="0" w:color="auto"/>
            <w:left w:val="none" w:sz="0" w:space="0" w:color="auto"/>
            <w:bottom w:val="none" w:sz="0" w:space="0" w:color="auto"/>
            <w:right w:val="none" w:sz="0" w:space="0" w:color="auto"/>
          </w:divBdr>
        </w:div>
        <w:div w:id="1608465954">
          <w:marLeft w:val="0"/>
          <w:marRight w:val="0"/>
          <w:marTop w:val="0"/>
          <w:marBottom w:val="0"/>
          <w:divBdr>
            <w:top w:val="none" w:sz="0" w:space="0" w:color="auto"/>
            <w:left w:val="none" w:sz="0" w:space="0" w:color="auto"/>
            <w:bottom w:val="none" w:sz="0" w:space="0" w:color="auto"/>
            <w:right w:val="none" w:sz="0" w:space="0" w:color="auto"/>
          </w:divBdr>
        </w:div>
        <w:div w:id="1191185550">
          <w:marLeft w:val="0"/>
          <w:marRight w:val="0"/>
          <w:marTop w:val="0"/>
          <w:marBottom w:val="0"/>
          <w:divBdr>
            <w:top w:val="none" w:sz="0" w:space="0" w:color="auto"/>
            <w:left w:val="none" w:sz="0" w:space="0" w:color="auto"/>
            <w:bottom w:val="none" w:sz="0" w:space="0" w:color="auto"/>
            <w:right w:val="none" w:sz="0" w:space="0" w:color="auto"/>
          </w:divBdr>
        </w:div>
        <w:div w:id="530149871">
          <w:marLeft w:val="0"/>
          <w:marRight w:val="0"/>
          <w:marTop w:val="0"/>
          <w:marBottom w:val="0"/>
          <w:divBdr>
            <w:top w:val="none" w:sz="0" w:space="0" w:color="auto"/>
            <w:left w:val="none" w:sz="0" w:space="0" w:color="auto"/>
            <w:bottom w:val="none" w:sz="0" w:space="0" w:color="auto"/>
            <w:right w:val="none" w:sz="0" w:space="0" w:color="auto"/>
          </w:divBdr>
        </w:div>
        <w:div w:id="1962567408">
          <w:marLeft w:val="0"/>
          <w:marRight w:val="0"/>
          <w:marTop w:val="0"/>
          <w:marBottom w:val="0"/>
          <w:divBdr>
            <w:top w:val="none" w:sz="0" w:space="0" w:color="auto"/>
            <w:left w:val="none" w:sz="0" w:space="0" w:color="auto"/>
            <w:bottom w:val="none" w:sz="0" w:space="0" w:color="auto"/>
            <w:right w:val="none" w:sz="0" w:space="0" w:color="auto"/>
          </w:divBdr>
        </w:div>
        <w:div w:id="507988534">
          <w:marLeft w:val="0"/>
          <w:marRight w:val="0"/>
          <w:marTop w:val="0"/>
          <w:marBottom w:val="0"/>
          <w:divBdr>
            <w:top w:val="none" w:sz="0" w:space="0" w:color="auto"/>
            <w:left w:val="none" w:sz="0" w:space="0" w:color="auto"/>
            <w:bottom w:val="none" w:sz="0" w:space="0" w:color="auto"/>
            <w:right w:val="none" w:sz="0" w:space="0" w:color="auto"/>
          </w:divBdr>
        </w:div>
        <w:div w:id="592128635">
          <w:marLeft w:val="0"/>
          <w:marRight w:val="0"/>
          <w:marTop w:val="0"/>
          <w:marBottom w:val="0"/>
          <w:divBdr>
            <w:top w:val="none" w:sz="0" w:space="0" w:color="auto"/>
            <w:left w:val="none" w:sz="0" w:space="0" w:color="auto"/>
            <w:bottom w:val="none" w:sz="0" w:space="0" w:color="auto"/>
            <w:right w:val="none" w:sz="0" w:space="0" w:color="auto"/>
          </w:divBdr>
        </w:div>
        <w:div w:id="1279214905">
          <w:marLeft w:val="0"/>
          <w:marRight w:val="0"/>
          <w:marTop w:val="0"/>
          <w:marBottom w:val="0"/>
          <w:divBdr>
            <w:top w:val="none" w:sz="0" w:space="0" w:color="auto"/>
            <w:left w:val="none" w:sz="0" w:space="0" w:color="auto"/>
            <w:bottom w:val="none" w:sz="0" w:space="0" w:color="auto"/>
            <w:right w:val="none" w:sz="0" w:space="0" w:color="auto"/>
          </w:divBdr>
        </w:div>
        <w:div w:id="719130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68AAA8D749B41833E8442847174C0" ma:contentTypeVersion="19" ma:contentTypeDescription="Create a new document." ma:contentTypeScope="" ma:versionID="58ec5909012eed6802162c2d7057ec6d">
  <xsd:schema xmlns:xsd="http://www.w3.org/2001/XMLSchema" xmlns:xs="http://www.w3.org/2001/XMLSchema" xmlns:p="http://schemas.microsoft.com/office/2006/metadata/properties" xmlns:ns2="ab9f14dc-b7cc-40d9-a7fd-ed18e735ba9e" xmlns:ns3="a86707a6-9211-4f51-befe-fef9115d498e" targetNamespace="http://schemas.microsoft.com/office/2006/metadata/properties" ma:root="true" ma:fieldsID="9ddbcc7368f9d65852c0eefb87073729" ns2:_="" ns3:_="">
    <xsd:import namespace="ab9f14dc-b7cc-40d9-a7fd-ed18e735ba9e"/>
    <xsd:import namespace="a86707a6-9211-4f51-befe-fef9115d498e"/>
    <xsd:element name="properties">
      <xsd:complexType>
        <xsd:sequence>
          <xsd:element name="documentManagement">
            <xsd:complexType>
              <xsd:all>
                <xsd:element ref="ns2:MigrationWizId" minOccurs="0"/>
                <xsd:element ref="ns2:MigrationWizIdPermissions" minOccurs="0"/>
                <xsd:element ref="ns2:MigrationWizIdVersion" minOccurs="0"/>
                <xsd:element ref="ns2:Confluence"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f14dc-b7cc-40d9-a7fd-ed18e735ba9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Confluence" ma:index="11" nillable="true" ma:displayName="Confluence" ma:format="Hyperlink" ma:internalName="Confluenc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77be574-989e-4417-9595-6abe32254032"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6707a6-9211-4f51-befe-fef9115d49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9cc577-5159-4393-a872-843cab591b01}" ma:internalName="TaxCatchAll" ma:showField="CatchAllData" ma:web="a86707a6-9211-4f51-befe-fef9115d498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9f14dc-b7cc-40d9-a7fd-ed18e735ba9e">
      <Terms xmlns="http://schemas.microsoft.com/office/infopath/2007/PartnerControls"/>
    </lcf76f155ced4ddcb4097134ff3c332f>
    <TaxCatchAll xmlns="a86707a6-9211-4f51-befe-fef9115d498e" xsi:nil="true"/>
    <MigrationWizIdPermissions xmlns="ab9f14dc-b7cc-40d9-a7fd-ed18e735ba9e" xsi:nil="true"/>
    <Confluence xmlns="ab9f14dc-b7cc-40d9-a7fd-ed18e735ba9e">
      <Url xsi:nil="true"/>
      <Description xsi:nil="true"/>
    </Confluence>
    <MigrationWizIdVersion xmlns="ab9f14dc-b7cc-40d9-a7fd-ed18e735ba9e" xsi:nil="true"/>
    <MigrationWizId xmlns="ab9f14dc-b7cc-40d9-a7fd-ed18e735ba9e" xsi:nil="true"/>
  </documentManagement>
</p:properties>
</file>

<file path=customXml/itemProps1.xml><?xml version="1.0" encoding="utf-8"?>
<ds:datastoreItem xmlns:ds="http://schemas.openxmlformats.org/officeDocument/2006/customXml" ds:itemID="{64B11507-1BB5-47FB-9724-1BFEB70D6D26}"/>
</file>

<file path=customXml/itemProps2.xml><?xml version="1.0" encoding="utf-8"?>
<ds:datastoreItem xmlns:ds="http://schemas.openxmlformats.org/officeDocument/2006/customXml" ds:itemID="{02B0DF1C-13C5-453D-A332-35DC2C670239}"/>
</file>

<file path=customXml/itemProps3.xml><?xml version="1.0" encoding="utf-8"?>
<ds:datastoreItem xmlns:ds="http://schemas.openxmlformats.org/officeDocument/2006/customXml" ds:itemID="{D80896B3-4C02-4F2B-BC7D-0733DE4A56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Zack Diehl</dc:creator>
  <keywords/>
  <dc:description/>
  <lastModifiedBy>Zack Diehl</lastModifiedBy>
  <revision>5</revision>
  <dcterms:created xsi:type="dcterms:W3CDTF">2023-06-22T18:00:00.0000000Z</dcterms:created>
  <dcterms:modified xsi:type="dcterms:W3CDTF">2023-10-13T20:29:05.6772089Z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0x010100BD368AAA8D749B41833E8442847174C0</vt:lpwstr>
  </property>
  <property fmtid="{D5CDD505-2E9C-101B-9397-08002B2CF9AE}" pid="3" name="MediaServiceImageTags">
    <vt:lpwstr/>
  </property>
</Properties>
</file>