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r w:rsidRPr="000971A4">
        <w:t>iCapital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038BDC0"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 xml:space="preserve">An example of a fund’s returns as generated by GMAM 3.0. The fund was launched in 2019. GMAM 3.0 </w:t>
            </w:r>
            <w:proofErr w:type="spellStart"/>
            <w:r w:rsidR="006D0D67" w:rsidRPr="006D0D67">
              <w:rPr>
                <w:i/>
                <w:iCs/>
                <w:sz w:val="24"/>
                <w:szCs w:val="24"/>
              </w:rPr>
              <w:t>backcasted</w:t>
            </w:r>
            <w:proofErr w:type="spellEnd"/>
            <w:r w:rsidR="006D0D67" w:rsidRPr="006D0D67">
              <w:rPr>
                <w:i/>
                <w:iCs/>
                <w:sz w:val="24"/>
                <w:szCs w:val="24"/>
              </w:rPr>
              <w:t xml:space="preserve"> the returns to 2004 using hierarchical Bayesian techniques. These included joint estimation of de-smoothed returns and systematic factor exposures, among other model paramet</w:t>
            </w:r>
            <w:r w:rsidR="00E1106B">
              <w:rPr>
                <w:i/>
                <w:iCs/>
                <w:sz w:val="24"/>
                <w:szCs w:val="24"/>
              </w:rPr>
              <w:t>er</w:t>
            </w:r>
            <w:r w:rsidR="006D0D67" w:rsidRPr="006D0D67">
              <w:rPr>
                <w:i/>
                <w:iCs/>
                <w:sz w:val="24"/>
                <w:szCs w:val="24"/>
              </w:rPr>
              <w:t xml:space="preserve">s. The </w:t>
            </w:r>
            <w:proofErr w:type="spellStart"/>
            <w:r w:rsidR="006D0D67" w:rsidRPr="006D0D67">
              <w:rPr>
                <w:i/>
                <w:iCs/>
                <w:sz w:val="24"/>
                <w:szCs w:val="24"/>
              </w:rPr>
              <w:t>backcast</w:t>
            </w:r>
            <w:proofErr w:type="spellEnd"/>
            <w:r w:rsidR="006D0D67" w:rsidRPr="006D0D67">
              <w:rPr>
                <w:i/>
                <w:iCs/>
                <w:sz w:val="24"/>
                <w:szCs w:val="24"/>
              </w:rPr>
              <w:t xml:space="preserve">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4803477F" w:rsidR="00041E26" w:rsidRDefault="007958A2" w:rsidP="006A6BDB">
      <w:pPr>
        <w:jc w:val="both"/>
      </w:pPr>
      <w:r>
        <w:t>Data from past years suggest that a</w:t>
      </w:r>
      <w:r w:rsidR="00041E26" w:rsidRPr="00041E26">
        <w:t>lternative investments such as private equity</w:t>
      </w:r>
      <w:r>
        <w:t xml:space="preserve"> and</w:t>
      </w:r>
      <w:r w:rsidR="00041E26" w:rsidRPr="00041E26">
        <w:t xml:space="preserve"> hedge funds</w:t>
      </w:r>
      <w:r w:rsidR="007828DE">
        <w:t xml:space="preserve"> </w:t>
      </w:r>
      <w:r w:rsidR="00041E26" w:rsidRPr="00041E26">
        <w:t xml:space="preserve">are </w:t>
      </w:r>
      <w:r>
        <w:t>trending upwards</w:t>
      </w:r>
      <w:r w:rsidR="00041E26" w:rsidRPr="00041E26">
        <w:t>. For instance, Bain &amp; Company</w:t>
      </w:r>
      <w:r w:rsidR="00041E26">
        <w:rPr>
          <w:rStyle w:val="FootnoteReference"/>
        </w:rPr>
        <w:footnoteReference w:id="2"/>
      </w:r>
      <w:r w:rsidR="00041E26" w:rsidRPr="00041E26">
        <w:t xml:space="preserve"> valued private </w:t>
      </w:r>
      <w:proofErr w:type="gramStart"/>
      <w:r w:rsidR="00041E26" w:rsidRPr="00041E26">
        <w:t>equity  buyout</w:t>
      </w:r>
      <w:proofErr w:type="gramEnd"/>
      <w:r w:rsidR="00041E26" w:rsidRPr="00041E26">
        <w:t xml:space="preserve"> deals for 2022 at $654 billion globally. This was the second-highest valuation since </w:t>
      </w:r>
      <w:r w:rsidR="00C64523" w:rsidRPr="00041E26">
        <w:t>2008 and</w:t>
      </w:r>
      <w:r w:rsidR="00041E26" w:rsidRPr="00041E26">
        <w:t xml:space="preserve"> brought the total deal volume to $2.4 trillion</w:t>
      </w:r>
      <w:r w:rsidR="00041E26">
        <w:rPr>
          <w:rStyle w:val="FootnoteReference"/>
        </w:rPr>
        <w:footnoteReference w:id="3"/>
      </w:r>
      <w:r w:rsidR="00041E26" w:rsidRPr="00041E26">
        <w:t>. Additionally, total private markets AUM reached $11.7 trillion as of June 2022. Structured products also grew to reach $1.5 trillion in new issuance</w:t>
      </w:r>
      <w:r w:rsidR="00E1106B">
        <w:t>s</w:t>
      </w:r>
      <w:r w:rsidR="00041E26" w:rsidRPr="00041E26">
        <w:t xml:space="preserve"> in 2021, according to S&amp;P</w:t>
      </w:r>
      <w:r w:rsidR="00E1106B">
        <w:t>,</w:t>
      </w:r>
      <w:r w:rsidR="00041E26" w:rsidRPr="00041E26">
        <w:t xml:space="preserve"> and Bloomberg states that structured products still outsize the total ETF market at $5.3tn</w:t>
      </w:r>
      <w:r w:rsidR="00A51E60">
        <w:rPr>
          <w:rStyle w:val="FootnoteReference"/>
        </w:rPr>
        <w:footnoteReference w:id="4"/>
      </w:r>
      <w:r w:rsidR="00041E26"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68A0B1C0" w14:textId="2E75DF52" w:rsidR="003B60C9" w:rsidRDefault="009A26E4" w:rsidP="006A6BDB">
      <w:pPr>
        <w:jc w:val="both"/>
      </w:pPr>
      <w:r>
        <w:t>On the investor-side</w:t>
      </w:r>
      <w:r w:rsidR="00080123" w:rsidRPr="00080123">
        <w:t xml:space="preserve">, SEC rules defining what an accredited investor is have recently been broadened to include </w:t>
      </w:r>
      <w:r w:rsidR="008A6C07">
        <w:t>“</w:t>
      </w:r>
      <w:r w:rsidR="00080123" w:rsidRPr="00080123">
        <w:t>individual investors that have the knowledge and expertise to participate in [financial] markets.</w:t>
      </w:r>
      <w:r w:rsidR="008A6C07">
        <w:t>”</w:t>
      </w:r>
      <w:r w:rsidR="00080123" w:rsidRPr="00080123">
        <w:t xml:space="preserve">. </w:t>
      </w:r>
    </w:p>
    <w:p w14:paraId="044BAE21" w14:textId="77777777" w:rsidR="003B60C9" w:rsidRDefault="003B60C9" w:rsidP="006A6BDB">
      <w:pPr>
        <w:jc w:val="both"/>
      </w:pPr>
    </w:p>
    <w:p w14:paraId="3092690E" w14:textId="21ACD8C3" w:rsidR="00FB3D77" w:rsidRDefault="003B60C9" w:rsidP="006A6BDB">
      <w:pPr>
        <w:jc w:val="both"/>
      </w:pPr>
      <w:r>
        <w:t xml:space="preserve">iCapital has </w:t>
      </w:r>
      <w:r w:rsidR="00080123" w:rsidRPr="00080123">
        <w:t>hastened the market expansion and liquidity of alternative investments</w:t>
      </w:r>
      <w:r w:rsidR="00DB704B">
        <w:t>, democratizing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0E155245" w:rsidR="007537CD" w:rsidRDefault="007C6D3E" w:rsidP="006A6BDB">
      <w:pPr>
        <w:jc w:val="both"/>
      </w:pPr>
      <w:r w:rsidRPr="007C6D3E">
        <w:t xml:space="preserve">Optimal wealth allocation requires data on the risk, return, and covariance of asset classes. </w:t>
      </w:r>
      <w:r w:rsidR="00071840">
        <w:t>Private Equity (henceforth “</w:t>
      </w:r>
      <w:r w:rsidRPr="007C6D3E">
        <w:t>PE</w:t>
      </w:r>
      <w:r w:rsidR="00071840">
        <w:t>”)</w:t>
      </w:r>
      <w:r w:rsidRPr="007C6D3E">
        <w:t xml:space="preserve"> is</w:t>
      </w:r>
      <w:r w:rsidR="00B1453D">
        <w:t>, however,</w:t>
      </w:r>
      <w:r w:rsidRPr="007C6D3E">
        <w:t xml:space="preserve"> largely exempt from public disclosure requirements. The issue is particularly </w:t>
      </w:r>
      <w:r w:rsidR="00E1106B">
        <w:t>acute</w:t>
      </w:r>
      <w:r w:rsidR="00E1106B" w:rsidRPr="007C6D3E">
        <w:t xml:space="preserve"> </w:t>
      </w:r>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p>
    <w:p w14:paraId="555E063C" w14:textId="77777777" w:rsidR="004021A8" w:rsidRDefault="004021A8" w:rsidP="006A6BDB">
      <w:pPr>
        <w:jc w:val="both"/>
      </w:pPr>
    </w:p>
    <w:p w14:paraId="6FB13369" w14:textId="5934E863" w:rsidR="004021A8" w:rsidRDefault="004021A8" w:rsidP="004021A8">
      <w:pPr>
        <w:jc w:val="both"/>
      </w:pPr>
      <w:proofErr w:type="spellStart"/>
      <w:r>
        <w:t>iCapital</w:t>
      </w:r>
      <w:proofErr w:type="spellEnd"/>
      <w:r>
        <w:t xml:space="preserve"> </w:t>
      </w:r>
      <w:r w:rsidR="00E1106B">
        <w:t xml:space="preserve">addresses </w:t>
      </w:r>
      <w:r>
        <w:t xml:space="preserve">this problem and other issues associated with returns on illiquid and alternative investments via our Generalized Multi-Asset Model version 3.0 (henceforth, GMAM 3). GMAM 3 is a returns-based model that uses hierarchical Bayesian modeling techniques to </w:t>
      </w:r>
      <w:r w:rsidR="00E1106B">
        <w:t xml:space="preserve">simulate </w:t>
      </w:r>
      <w:r>
        <w:t xml:space="preserve">the underlying economic returns </w:t>
      </w:r>
      <w:r w:rsidR="007958A2">
        <w:t xml:space="preserve">for </w:t>
      </w:r>
      <w:r>
        <w:t>fund</w:t>
      </w:r>
      <w:r w:rsidR="00E1106B">
        <w:t>s</w:t>
      </w:r>
      <w:r>
        <w:t xml:space="preserve"> on </w:t>
      </w:r>
      <w:proofErr w:type="spellStart"/>
      <w:r>
        <w:t>iCapital’s</w:t>
      </w:r>
      <w:proofErr w:type="spellEnd"/>
      <w:r>
        <w:t xml:space="preserve"> </w:t>
      </w:r>
      <w:r w:rsidR="00E1106B">
        <w:t>Marketplace</w:t>
      </w:r>
      <w:r>
        <w:t xml:space="preserve">. The model helps investors </w:t>
      </w:r>
      <w:r w:rsidR="007958A2">
        <w:t xml:space="preserve">research and educate themselves </w:t>
      </w:r>
      <w:r>
        <w:t xml:space="preserve">on </w:t>
      </w:r>
      <w:r w:rsidR="007958A2">
        <w:t xml:space="preserve">the compatibility of a particular </w:t>
      </w:r>
      <w:r>
        <w:t xml:space="preserve">fund </w:t>
      </w:r>
      <w:r w:rsidR="007958A2">
        <w:t xml:space="preserve">with their </w:t>
      </w:r>
      <w:r>
        <w:t>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4522A7AF" w:rsidR="00445E14" w:rsidRDefault="004B40B3" w:rsidP="006A6BDB">
      <w:pPr>
        <w:jc w:val="both"/>
      </w:pPr>
      <w:r w:rsidRPr="004B40B3">
        <w:t xml:space="preserve">Bayesian techniques offer a more robust and flexible approach to capture the complex dynamics of </w:t>
      </w:r>
      <w:r w:rsidR="007958A2">
        <w:t xml:space="preserve">alternative investment </w:t>
      </w:r>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4B5656D0"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286E0BCD" w:rsidR="00444214" w:rsidRDefault="00F23E84" w:rsidP="006A6BDB">
      <w:pPr>
        <w:jc w:val="both"/>
      </w:pPr>
      <w:r w:rsidRPr="00F23E84">
        <w:t xml:space="preserve">It is well-known in the academic finance literature that for PE </w:t>
      </w:r>
      <w:r w:rsidR="00DB0AD3">
        <w:t xml:space="preserve">and other alternative </w:t>
      </w:r>
      <w:proofErr w:type="gramStart"/>
      <w:r w:rsidR="00DB0AD3">
        <w:t xml:space="preserve">investments  </w:t>
      </w:r>
      <w:r w:rsidRPr="00F23E84">
        <w:t>there</w:t>
      </w:r>
      <w:proofErr w:type="gramEnd"/>
      <w:r w:rsidRPr="00F23E84">
        <w:t xml:space="preserve"> is a dearth of performance metrics based on actual transactions (Kaplan and </w:t>
      </w:r>
      <w:proofErr w:type="spellStart"/>
      <w:r w:rsidRPr="00F23E84">
        <w:t>Schoar</w:t>
      </w:r>
      <w:proofErr w:type="spellEnd"/>
      <w:r w:rsidRPr="00F23E84">
        <w:t xml:space="preserve"> [2005]). The available time series data often relies on non-market valuations or multiyear internal rates of return (IRR), often segmented by the vintage years of the funds. For investors seeking to optimally allocate their wealth across public securities and </w:t>
      </w:r>
      <w:r w:rsidR="007958A2">
        <w:t>PE</w:t>
      </w:r>
      <w:r w:rsidRPr="00F23E84">
        <w:t xml:space="preserve">, the lack of data is a significant barrier. Even </w:t>
      </w:r>
      <w:r w:rsidRPr="00F23E84">
        <w:lastRenderedPageBreak/>
        <w:t>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20C78626" w:rsidR="00521A0C" w:rsidRDefault="00DB0AD3" w:rsidP="00563869">
      <w:r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t xml:space="preserve"> </w:t>
      </w:r>
      <w:r w:rsidRPr="00DB0AD3">
        <w:t xml:space="preserve">investments are typically illiquid </w:t>
      </w:r>
      <w:r w:rsidR="00C770D1">
        <w:t>with long</w:t>
      </w:r>
      <w:r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w:t>
      </w:r>
      <w:proofErr w:type="spellStart"/>
      <w:r w:rsidRPr="00DB0AD3">
        <w:t>Phalippou</w:t>
      </w:r>
      <w:proofErr w:type="spellEnd"/>
      <w:r w:rsidRPr="00DB0AD3">
        <w:t xml:space="preserve">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7B7F8843"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the investor.</w:t>
      </w:r>
      <w:r w:rsidR="00BB5321">
        <w:rPr>
          <w:rFonts w:eastAsiaTheme="minorEastAsia"/>
        </w:rPr>
        <w:t xml:space="preserve"> </w:t>
      </w:r>
      <w:r w:rsidR="00BB5321" w:rsidRPr="00BB5321">
        <w:rPr>
          <w:rFonts w:eastAsiaTheme="minorEastAsia"/>
        </w:rPr>
        <w:t xml:space="preserve">Alternative investment reported returns often serially correlated and lagged. The quantity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8">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5D9E8A9C" w:rsidR="00B865E7" w:rsidRDefault="00B865E7" w:rsidP="006A6BDB">
      <w:pPr>
        <w:jc w:val="both"/>
      </w:pPr>
      <w:r>
        <w:t xml:space="preserve">It is well-known in the finance practitioner literature that </w:t>
      </w:r>
      <w:r w:rsidR="00F3262D">
        <w:t xml:space="preserve">returns from </w:t>
      </w:r>
      <w:r>
        <w:t>alternative investment</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 xml:space="preserve">(see, for example, </w:t>
      </w:r>
      <w:proofErr w:type="spellStart"/>
      <w:r w:rsidR="00FE597E" w:rsidRPr="00FE597E">
        <w:t>Getmansky</w:t>
      </w:r>
      <w:proofErr w:type="spellEnd"/>
      <w:r w:rsidR="00FE597E" w:rsidRPr="00FE597E">
        <w:t xml:space="preserve">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lastRenderedPageBreak/>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6370F571"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 xml:space="preserve">appropriately compare their investments in </w:t>
      </w:r>
      <w:r w:rsidR="006E073F">
        <w:t>Alts</w:t>
      </w:r>
      <w:commentRangeStart w:id="0"/>
      <w:commentRangeStart w:id="1"/>
      <w:r w:rsidR="009D0A58">
        <w:t xml:space="preserve"> </w:t>
      </w:r>
      <w:commentRangeEnd w:id="0"/>
      <w:r w:rsidR="00563869">
        <w:rPr>
          <w:rStyle w:val="CommentReference"/>
        </w:rPr>
        <w:commentReference w:id="0"/>
      </w:r>
      <w:commentRangeEnd w:id="1"/>
      <w:r w:rsidR="006E073F">
        <w:rPr>
          <w:rStyle w:val="CommentReference"/>
        </w:rPr>
        <w:commentReference w:id="1"/>
      </w:r>
      <w:r w:rsidR="009D0A58">
        <w:t>with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13"/>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 xml:space="preserve">This restriction is similar to </w:t>
      </w:r>
      <w:proofErr w:type="spellStart"/>
      <w:r w:rsidRPr="008F28E8">
        <w:t>Getmansky</w:t>
      </w:r>
      <w:proofErr w:type="spellEnd"/>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w:lastRenderedPageBreak/>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r>
        <w:t xml:space="preserve">A Brief Digression </w:t>
      </w:r>
      <w:r w:rsidR="008F73A0">
        <w:t xml:space="preserve">Regarding </w:t>
      </w:r>
      <w:r>
        <w:t>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w:t>
      </w:r>
      <w:proofErr w:type="spellStart"/>
      <w:r w:rsidR="00DB4324" w:rsidRPr="00DB4324">
        <w:rPr>
          <w:rFonts w:eastAsiaTheme="minorEastAsia"/>
        </w:rPr>
        <w:t>Piironen</w:t>
      </w:r>
      <w:proofErr w:type="spellEnd"/>
      <w:r w:rsidR="00DB4324" w:rsidRPr="00DB4324">
        <w:rPr>
          <w:rFonts w:eastAsiaTheme="minorEastAsia"/>
        </w:rPr>
        <w:t xml:space="preserve"> and </w:t>
      </w:r>
      <w:proofErr w:type="spellStart"/>
      <w:r w:rsidR="00DB4324" w:rsidRPr="00DB4324">
        <w:rPr>
          <w:rFonts w:eastAsiaTheme="minorEastAsia"/>
        </w:rPr>
        <w:t>Vehtari</w:t>
      </w:r>
      <w:proofErr w:type="spellEnd"/>
      <w:r w:rsidR="00DB4324" w:rsidRPr="00DB4324">
        <w:rPr>
          <w:rFonts w:eastAsiaTheme="minorEastAsia"/>
        </w:rPr>
        <w:t xml:space="preserve">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w:t>
      </w:r>
      <w:commentRangeStart w:id="2"/>
      <w:commentRangeStart w:id="3"/>
      <w:commentRangeStart w:id="4"/>
      <w:commentRangeStart w:id="5"/>
      <w:r w:rsidRPr="00DB4324">
        <w:rPr>
          <w:rFonts w:eastAsiaTheme="minorEastAsia"/>
        </w:rPr>
        <w:t>(say)</w:t>
      </w:r>
      <w:commentRangeEnd w:id="2"/>
      <w:r w:rsidR="00DB7F5A">
        <w:rPr>
          <w:rStyle w:val="CommentReference"/>
        </w:rPr>
        <w:commentReference w:id="2"/>
      </w:r>
      <w:commentRangeEnd w:id="3"/>
      <w:r w:rsidR="008F73A0">
        <w:rPr>
          <w:rStyle w:val="CommentReference"/>
        </w:rPr>
        <w:commentReference w:id="3"/>
      </w:r>
      <w:commentRangeEnd w:id="4"/>
      <w:r w:rsidR="00071840">
        <w:rPr>
          <w:rStyle w:val="CommentReference"/>
        </w:rPr>
        <w:commentReference w:id="4"/>
      </w:r>
      <w:commentRangeEnd w:id="5"/>
      <w:r w:rsidR="006E073F">
        <w:rPr>
          <w:rStyle w:val="CommentReference"/>
        </w:rPr>
        <w:commentReference w:id="5"/>
      </w:r>
      <w:r w:rsidRPr="00DB4324">
        <w:rPr>
          <w:rFonts w:eastAsiaTheme="minorEastAsia"/>
        </w:rPr>
        <w:t>.</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6F502C46"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populat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2E131432">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0EC0BE9D" w14:textId="3E6F3151"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4C645B12" w14:textId="7AE0789F" w:rsidR="000B09BE" w:rsidRDefault="00670982" w:rsidP="00670982">
      <w:pPr>
        <w:jc w:val="both"/>
        <w:rPr>
          <w:rFonts w:eastAsiaTheme="minorEastAsia"/>
        </w:rPr>
      </w:pPr>
      <w:r w:rsidRPr="00670982">
        <w:rPr>
          <w:rFonts w:eastAsiaTheme="minorEastAsia"/>
        </w:rPr>
        <w:t>We use a hierarchical Bayesian model to generate fund returns when data is sparse and noisy. The data generation process includes de-smoothed returns, generated using a spike and slab regression,</w:t>
      </w:r>
      <w:r>
        <w:rPr>
          <w:rFonts w:eastAsiaTheme="minorEastAsia"/>
        </w:rPr>
        <w:t xml:space="preserve"> </w:t>
      </w:r>
      <w:r w:rsidRPr="00670982">
        <w:rPr>
          <w:rFonts w:eastAsiaTheme="minorEastAsia"/>
        </w:rPr>
        <w:t>and re-smoothed returns used to mimic reported returns. Our technique provides a systematic and rigorous way by which fund performance can be quantified.</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 xml:space="preserve">Edward I. George and Robert E. McCulloch. Variable selection via </w:t>
      </w:r>
      <w:proofErr w:type="spellStart"/>
      <w:r>
        <w:t>gibbs</w:t>
      </w:r>
      <w:proofErr w:type="spellEnd"/>
      <w:r>
        <w:t xml:space="preserve"> sampling. Journal of the American Statistical Association, 88(423):881–889, 1993.</w:t>
      </w:r>
    </w:p>
    <w:p w14:paraId="20F5F55F" w14:textId="3CD5AE69" w:rsidR="00670982" w:rsidRDefault="00670982" w:rsidP="00670982">
      <w:pPr>
        <w:pStyle w:val="ListParagraph"/>
        <w:numPr>
          <w:ilvl w:val="0"/>
          <w:numId w:val="19"/>
        </w:numPr>
      </w:pPr>
      <w:r>
        <w:t xml:space="preserve">Mila </w:t>
      </w:r>
      <w:proofErr w:type="spellStart"/>
      <w:r>
        <w:t>Getmansky</w:t>
      </w:r>
      <w:proofErr w:type="spellEnd"/>
      <w:r>
        <w:t>,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 xml:space="preserve">Hemant Ishwaran and J. Sunil Rao. Spike and slab variable selection: frequentist and </w:t>
      </w:r>
      <w:proofErr w:type="spellStart"/>
      <w:r>
        <w:t>bayesian</w:t>
      </w:r>
      <w:proofErr w:type="spellEnd"/>
      <w:r>
        <w:t xml:space="preserve"> strategies. The Annals of Statistics, 33(2):730–733, 2005.</w:t>
      </w:r>
    </w:p>
    <w:p w14:paraId="39C3B9EC" w14:textId="7BEDB37D" w:rsidR="00670982" w:rsidRDefault="00670982" w:rsidP="00670982">
      <w:pPr>
        <w:pStyle w:val="ListParagraph"/>
        <w:numPr>
          <w:ilvl w:val="0"/>
          <w:numId w:val="19"/>
        </w:numPr>
      </w:pPr>
      <w:r>
        <w:t xml:space="preserve">Steven N Kaplan and Antoinette </w:t>
      </w:r>
      <w:proofErr w:type="spellStart"/>
      <w:r>
        <w:t>Schoar</w:t>
      </w:r>
      <w:proofErr w:type="spellEnd"/>
      <w:r>
        <w:t>.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proofErr w:type="spellStart"/>
      <w:r>
        <w:t>Ludovic</w:t>
      </w:r>
      <w:proofErr w:type="spellEnd"/>
      <w:r>
        <w:t xml:space="preserve"> </w:t>
      </w:r>
      <w:proofErr w:type="spellStart"/>
      <w:r>
        <w:t>Phalippou</w:t>
      </w:r>
      <w:proofErr w:type="spellEnd"/>
      <w:r>
        <w:t xml:space="preserve">. The hazards of using </w:t>
      </w:r>
      <w:proofErr w:type="spellStart"/>
      <w:r>
        <w:t>irr</w:t>
      </w:r>
      <w:proofErr w:type="spellEnd"/>
      <w:r>
        <w:t xml:space="preserve"> to measure performance: The case of </w:t>
      </w:r>
      <w:proofErr w:type="gramStart"/>
      <w:r>
        <w:t>private</w:t>
      </w:r>
      <w:proofErr w:type="gramEnd"/>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 xml:space="preserve">Juho </w:t>
      </w:r>
      <w:proofErr w:type="spellStart"/>
      <w:r>
        <w:t>Piironen</w:t>
      </w:r>
      <w:proofErr w:type="spellEnd"/>
      <w:r>
        <w:t xml:space="preserve"> and Aki </w:t>
      </w:r>
      <w:proofErr w:type="spellStart"/>
      <w:r>
        <w:t>Vehtari</w:t>
      </w:r>
      <w:proofErr w:type="spellEnd"/>
      <w:r>
        <w:t xml:space="preserve">. Comparison of </w:t>
      </w:r>
      <w:proofErr w:type="spellStart"/>
      <w:r>
        <w:t>bayesian</w:t>
      </w:r>
      <w:proofErr w:type="spellEnd"/>
      <w:r>
        <w:t xml:space="preserve">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Barclays Form 13 </w:t>
            </w:r>
            <w:proofErr w:type="gramStart"/>
            <w:r w:rsidRPr="001E584A">
              <w:rPr>
                <w:rFonts w:eastAsia="Times New Roman" w:cstheme="minorHAnsi"/>
                <w:color w:val="000000" w:themeColor="text1"/>
                <w:sz w:val="22"/>
                <w:szCs w:val="22"/>
              </w:rPr>
              <w:t>Filing;</w:t>
            </w:r>
            <w:proofErr w:type="gramEnd"/>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Middle East Crude </w:t>
            </w:r>
            <w:proofErr w:type="gramStart"/>
            <w:r w:rsidRPr="001E584A">
              <w:rPr>
                <w:rFonts w:eastAsia="Times New Roman" w:cstheme="minorHAnsi"/>
                <w:color w:val="000000" w:themeColor="text1"/>
                <w:sz w:val="22"/>
                <w:szCs w:val="22"/>
              </w:rPr>
              <w:t>Oil;</w:t>
            </w:r>
            <w:proofErr w:type="gramEnd"/>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WTI Crude </w:t>
            </w:r>
            <w:proofErr w:type="gramStart"/>
            <w:r w:rsidRPr="001E584A">
              <w:rPr>
                <w:rFonts w:eastAsia="Times New Roman" w:cstheme="minorHAnsi"/>
                <w:color w:val="000000" w:themeColor="text1"/>
                <w:sz w:val="22"/>
                <w:szCs w:val="22"/>
              </w:rPr>
              <w:t>Oil;</w:t>
            </w:r>
            <w:proofErr w:type="gramEnd"/>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roofErr w:type="gramStart"/>
            <w:r w:rsidRPr="001E584A">
              <w:rPr>
                <w:rFonts w:eastAsia="Times New Roman" w:cstheme="minorHAnsi"/>
                <w:color w:val="000000" w:themeColor="text1"/>
                <w:sz w:val="22"/>
                <w:szCs w:val="22"/>
              </w:rPr>
              <w:t>);</w:t>
            </w:r>
            <w:proofErr w:type="gramEnd"/>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Momentum NR </w:t>
            </w:r>
            <w:proofErr w:type="gramStart"/>
            <w:r w:rsidRPr="001E584A">
              <w:rPr>
                <w:rFonts w:eastAsia="Times New Roman" w:cstheme="minorHAnsi"/>
                <w:color w:val="000000" w:themeColor="text1"/>
                <w:sz w:val="22"/>
                <w:szCs w:val="22"/>
              </w:rPr>
              <w:t>USD;</w:t>
            </w:r>
            <w:proofErr w:type="gramEnd"/>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Quality NR </w:t>
            </w:r>
            <w:proofErr w:type="gramStart"/>
            <w:r w:rsidRPr="001E584A">
              <w:rPr>
                <w:rFonts w:eastAsia="Times New Roman" w:cstheme="minorHAnsi"/>
                <w:color w:val="000000" w:themeColor="text1"/>
                <w:sz w:val="22"/>
                <w:szCs w:val="22"/>
              </w:rPr>
              <w:t>USD;</w:t>
            </w:r>
            <w:proofErr w:type="gramEnd"/>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w:t>
            </w:r>
            <w:proofErr w:type="gramStart"/>
            <w:r w:rsidRPr="001E584A">
              <w:rPr>
                <w:rFonts w:eastAsia="Times New Roman" w:cstheme="minorHAnsi"/>
                <w:color w:val="000000" w:themeColor="text1"/>
                <w:sz w:val="22"/>
                <w:szCs w:val="22"/>
              </w:rPr>
              <w:t>Small-cap</w:t>
            </w:r>
            <w:proofErr w:type="gramEnd"/>
            <w:r w:rsidRPr="001E584A">
              <w:rPr>
                <w:rFonts w:eastAsia="Times New Roman" w:cstheme="minorHAnsi"/>
                <w:color w:val="000000" w:themeColor="text1"/>
                <w:sz w:val="22"/>
                <w:szCs w:val="22"/>
              </w:rPr>
              <w:t xml:space="preserve">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Value </w:t>
            </w:r>
            <w:proofErr w:type="gramStart"/>
            <w:r w:rsidRPr="001E584A">
              <w:rPr>
                <w:rFonts w:eastAsia="Times New Roman" w:cstheme="minorHAnsi"/>
                <w:color w:val="000000" w:themeColor="text1"/>
                <w:sz w:val="22"/>
                <w:szCs w:val="22"/>
              </w:rPr>
              <w:t>PR;</w:t>
            </w:r>
            <w:proofErr w:type="gramEnd"/>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 xml:space="preserve">Bloomberg US Corporate High Yield </w:t>
            </w:r>
            <w:proofErr w:type="gramStart"/>
            <w:r w:rsidRPr="001E584A">
              <w:rPr>
                <w:rFonts w:eastAsia="Times New Roman" w:cstheme="minorHAnsi"/>
                <w:sz w:val="22"/>
                <w:szCs w:val="22"/>
              </w:rPr>
              <w:t>Index;</w:t>
            </w:r>
            <w:proofErr w:type="gramEnd"/>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7"/>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8"/>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9"/>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20"/>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21"/>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22"/>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23"/>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4"/>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5"/>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6"/>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7"/>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8"/>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9"/>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30"/>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31"/>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32"/>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33"/>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4"/>
                    <a:stretch>
                      <a:fillRect/>
                    </a:stretch>
                  </pic:blipFill>
                  <pic:spPr>
                    <a:xfrm>
                      <a:off x="0" y="0"/>
                      <a:ext cx="5651500" cy="4191000"/>
                    </a:xfrm>
                    <a:prstGeom prst="rect">
                      <a:avLst/>
                    </a:prstGeom>
                  </pic:spPr>
                </pic:pic>
              </a:graphicData>
            </a:graphic>
          </wp:inline>
        </w:drawing>
      </w:r>
    </w:p>
    <w:sectPr w:rsidR="001B0A76" w:rsidRPr="00437758">
      <w:footerReference w:type="even" r:id="rId35"/>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aylon Bryson" w:date="2024-01-10T14:04:00Z" w:initials="WB">
    <w:p w14:paraId="73947E58" w14:textId="25231812" w:rsidR="00563869" w:rsidRDefault="00563869">
      <w:pPr>
        <w:pStyle w:val="CommentText"/>
      </w:pPr>
      <w:r>
        <w:rPr>
          <w:rStyle w:val="CommentReference"/>
        </w:rPr>
        <w:annotationRef/>
      </w:r>
      <w:r>
        <w:t>PE or Alts?</w:t>
      </w:r>
    </w:p>
  </w:comment>
  <w:comment w:id="1" w:author="Arnav Sheth" w:date="2024-01-11T13:17:00Z" w:initials="AS">
    <w:p w14:paraId="7F84CD09" w14:textId="77777777" w:rsidR="006E073F" w:rsidRDefault="006E073F" w:rsidP="006E073F">
      <w:r>
        <w:rPr>
          <w:rStyle w:val="CommentReference"/>
        </w:rPr>
        <w:annotationRef/>
      </w:r>
      <w:r>
        <w:rPr>
          <w:sz w:val="20"/>
          <w:szCs w:val="20"/>
        </w:rPr>
        <w:t>Alts. Corrected.</w:t>
      </w:r>
    </w:p>
  </w:comment>
  <w:comment w:id="2" w:author="Madeleine Dowling" w:date="2024-01-04T16:56:00Z" w:initials="MD">
    <w:p w14:paraId="6E2C56F4" w14:textId="02D66FE4" w:rsidR="00DB7F5A" w:rsidRDefault="00DB7F5A" w:rsidP="00DB7F5A">
      <w:pPr>
        <w:pStyle w:val="CommentText"/>
      </w:pPr>
      <w:r>
        <w:rPr>
          <w:rStyle w:val="CommentReference"/>
        </w:rPr>
        <w:annotationRef/>
      </w:r>
      <w:r>
        <w:t>?</w:t>
      </w:r>
    </w:p>
  </w:comment>
  <w:comment w:id="3" w:author="Arnav Sheth" w:date="2024-01-10T11:09:00Z" w:initials="AS">
    <w:p w14:paraId="6A47E88E" w14:textId="77777777" w:rsidR="008F73A0" w:rsidRDefault="008F73A0" w:rsidP="008F73A0">
      <w:r>
        <w:rPr>
          <w:rStyle w:val="CommentReference"/>
        </w:rPr>
        <w:annotationRef/>
      </w:r>
      <w:r>
        <w:rPr>
          <w:sz w:val="20"/>
          <w:szCs w:val="20"/>
        </w:rPr>
        <w:t>R^2 considerations are one way by which include and/or exclude regressors.</w:t>
      </w:r>
    </w:p>
  </w:comment>
  <w:comment w:id="4" w:author="Waylon Bryson" w:date="2024-01-10T13:50:00Z" w:initials="WB">
    <w:p w14:paraId="65B1114A" w14:textId="0B1D1714" w:rsidR="00071840" w:rsidRDefault="00071840">
      <w:pPr>
        <w:pStyle w:val="CommentText"/>
      </w:pPr>
      <w:r>
        <w:rPr>
          <w:rStyle w:val="CommentReference"/>
        </w:rPr>
        <w:annotationRef/>
      </w:r>
      <w:r>
        <w:t>I think the question was on the meaning of “(say)”.  Is that a citation or a term of art?</w:t>
      </w:r>
      <w:r w:rsidR="00A80641">
        <w:t xml:space="preserve">  If it is </w:t>
      </w:r>
      <w:r w:rsidR="00776071">
        <w:t>a citation shouldn’t the “s” in “say” be capitalized?</w:t>
      </w:r>
    </w:p>
    <w:p w14:paraId="0233E6FE" w14:textId="4C621572" w:rsidR="00071840" w:rsidRDefault="00071840">
      <w:pPr>
        <w:pStyle w:val="CommentText"/>
      </w:pPr>
    </w:p>
  </w:comment>
  <w:comment w:id="5" w:author="Arnav Sheth" w:date="2024-01-11T13:18:00Z" w:initials="AS">
    <w:p w14:paraId="6384750E" w14:textId="77777777" w:rsidR="006E073F" w:rsidRDefault="006E073F" w:rsidP="006E073F">
      <w:r>
        <w:rPr>
          <w:rStyle w:val="CommentReference"/>
        </w:rPr>
        <w:annotationRef/>
      </w:r>
      <w:r>
        <w:rPr>
          <w:sz w:val="20"/>
          <w:szCs w:val="20"/>
        </w:rPr>
        <w:t>It is a term of art. Not a citation.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947E58" w15:done="0"/>
  <w15:commentEx w15:paraId="7F84CD09" w15:paraIdParent="73947E58" w15:done="0"/>
  <w15:commentEx w15:paraId="6E2C56F4" w15:done="0"/>
  <w15:commentEx w15:paraId="6A47E88E" w15:paraIdParent="6E2C56F4" w15:done="0"/>
  <w15:commentEx w15:paraId="0233E6FE" w15:paraIdParent="6E2C56F4" w15:done="0"/>
  <w15:commentEx w15:paraId="6384750E" w15:paraIdParent="6E2C56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FD3E5F5" w16cex:dateUtc="2024-01-10T19:04:00Z"/>
  <w16cex:commentExtensible w16cex:durableId="3F527695" w16cex:dateUtc="2024-01-11T18:17:00Z"/>
  <w16cex:commentExtensible w16cex:durableId="5911B5A7" w16cex:dateUtc="2024-01-04T21:56:00Z"/>
  <w16cex:commentExtensible w16cex:durableId="04DE7A69" w16cex:dateUtc="2024-01-10T16:09:00Z"/>
  <w16cex:commentExtensible w16cex:durableId="6BBFF7AB" w16cex:dateUtc="2024-01-10T18:50:00Z"/>
  <w16cex:commentExtensible w16cex:durableId="3E159AFB" w16cex:dateUtc="2024-01-11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947E58" w16cid:durableId="5FD3E5F5"/>
  <w16cid:commentId w16cid:paraId="7F84CD09" w16cid:durableId="3F527695"/>
  <w16cid:commentId w16cid:paraId="6E2C56F4" w16cid:durableId="5911B5A7"/>
  <w16cid:commentId w16cid:paraId="6A47E88E" w16cid:durableId="04DE7A69"/>
  <w16cid:commentId w16cid:paraId="0233E6FE" w16cid:durableId="6BBFF7AB"/>
  <w16cid:commentId w16cid:paraId="6384750E" w16cid:durableId="3E159A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3CF2C" w14:textId="77777777" w:rsidR="00E66C1C" w:rsidRDefault="00E66C1C" w:rsidP="00445E14">
      <w:r>
        <w:separator/>
      </w:r>
    </w:p>
  </w:endnote>
  <w:endnote w:type="continuationSeparator" w:id="0">
    <w:p w14:paraId="1AAED4AE" w14:textId="77777777" w:rsidR="00E66C1C" w:rsidRDefault="00E66C1C" w:rsidP="00445E14">
      <w:r>
        <w:continuationSeparator/>
      </w:r>
    </w:p>
  </w:endnote>
  <w:endnote w:type="continuationNotice" w:id="1">
    <w:p w14:paraId="6B5B3441" w14:textId="77777777" w:rsidR="00E66C1C" w:rsidRDefault="00E66C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7AF56" w14:textId="77777777" w:rsidR="00E66C1C" w:rsidRDefault="00E66C1C" w:rsidP="00445E14">
      <w:r>
        <w:separator/>
      </w:r>
    </w:p>
  </w:footnote>
  <w:footnote w:type="continuationSeparator" w:id="0">
    <w:p w14:paraId="026136E6" w14:textId="77777777" w:rsidR="00E66C1C" w:rsidRDefault="00E66C1C" w:rsidP="00445E14">
      <w:r>
        <w:continuationSeparator/>
      </w:r>
    </w:p>
  </w:footnote>
  <w:footnote w:type="continuationNotice" w:id="1">
    <w:p w14:paraId="6600E965" w14:textId="77777777" w:rsidR="00E66C1C" w:rsidRDefault="00E66C1C"/>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proofErr w:type="gramStart"/>
      <w:r w:rsidRPr="00BB5321">
        <w:t>https://pages.stern.nyu.edu/~adamodar/pdfiles/ovhds/ch5.pdf#page=43</w:t>
      </w:r>
      <w:proofErr w:type="gramEnd"/>
    </w:p>
  </w:footnote>
  <w:footnote w:id="7">
    <w:p w14:paraId="16D30137" w14:textId="4C1C5D74" w:rsidR="00DB0AD3" w:rsidRDefault="00DB0AD3" w:rsidP="00DB0AD3">
      <w:pPr>
        <w:pStyle w:val="FootnoteText"/>
      </w:pPr>
      <w:r>
        <w:rPr>
          <w:rStyle w:val="FootnoteReference"/>
        </w:rPr>
        <w:footnoteRef/>
      </w:r>
      <w:r>
        <w:t xml:space="preserve"> They </w:t>
      </w:r>
      <w:r w:rsidRPr="007D2C0F">
        <w:t xml:space="preserve">may not fully capture the complexities of </w:t>
      </w:r>
      <w:r w:rsidR="007958A2">
        <w:t>PE</w:t>
      </w:r>
      <w:r w:rsidRPr="007D2C0F">
        <w:t xml:space="preserve">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12"/>
  </w:num>
  <w:num w:numId="2" w16cid:durableId="1756782704">
    <w:abstractNumId w:val="13"/>
  </w:num>
  <w:num w:numId="3" w16cid:durableId="1370647188">
    <w:abstractNumId w:val="3"/>
  </w:num>
  <w:num w:numId="4" w16cid:durableId="221797831">
    <w:abstractNumId w:val="14"/>
  </w:num>
  <w:num w:numId="5" w16cid:durableId="13600890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0"/>
  </w:num>
  <w:num w:numId="9" w16cid:durableId="1588467186">
    <w:abstractNumId w:val="8"/>
  </w:num>
  <w:num w:numId="10" w16cid:durableId="1811513278">
    <w:abstractNumId w:val="11"/>
  </w:num>
  <w:num w:numId="11" w16cid:durableId="1470900690">
    <w:abstractNumId w:val="5"/>
  </w:num>
  <w:num w:numId="12" w16cid:durableId="132647045">
    <w:abstractNumId w:val="16"/>
  </w:num>
  <w:num w:numId="13" w16cid:durableId="1503231818">
    <w:abstractNumId w:val="2"/>
  </w:num>
  <w:num w:numId="14" w16cid:durableId="278536754">
    <w:abstractNumId w:val="4"/>
  </w:num>
  <w:num w:numId="15" w16cid:durableId="1935360501">
    <w:abstractNumId w:val="6"/>
  </w:num>
  <w:num w:numId="16" w16cid:durableId="2042700761">
    <w:abstractNumId w:val="17"/>
  </w:num>
  <w:num w:numId="17" w16cid:durableId="1880510189">
    <w:abstractNumId w:val="7"/>
  </w:num>
  <w:num w:numId="18" w16cid:durableId="1415129256">
    <w:abstractNumId w:val="15"/>
  </w:num>
  <w:num w:numId="19" w16cid:durableId="74167963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ylon Bryson">
    <w15:presenceInfo w15:providerId="AD" w15:userId="S::wbryson@icapitalnetwork.com::1647a9d1-2bce-4513-a62c-fabe96cfcbe9"/>
  </w15:person>
  <w15:person w15:author="Arnav Sheth">
    <w15:presenceInfo w15:providerId="AD" w15:userId="S::asheth@icapitalnetwork.com::368154f3-f54a-4cfd-bd90-37c78ad34f0c"/>
  </w15:person>
  <w15:person w15:author="Madeleine Dowling">
    <w15:presenceInfo w15:providerId="AD" w15:userId="S::madeleine.dowling@icapitalnetwork.com::2ee1fa40-c171-4e69-8a0f-0cfe42b6eb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840"/>
    <w:rsid w:val="00071A04"/>
    <w:rsid w:val="0007203D"/>
    <w:rsid w:val="00080123"/>
    <w:rsid w:val="000819A6"/>
    <w:rsid w:val="00084660"/>
    <w:rsid w:val="00084851"/>
    <w:rsid w:val="000951C8"/>
    <w:rsid w:val="000971A4"/>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73A04"/>
    <w:rsid w:val="00175B4D"/>
    <w:rsid w:val="0017626A"/>
    <w:rsid w:val="00191A24"/>
    <w:rsid w:val="001A39E9"/>
    <w:rsid w:val="001A59CE"/>
    <w:rsid w:val="001B0A76"/>
    <w:rsid w:val="001B13CD"/>
    <w:rsid w:val="001B5915"/>
    <w:rsid w:val="001C1179"/>
    <w:rsid w:val="001C6E21"/>
    <w:rsid w:val="001E15A9"/>
    <w:rsid w:val="001E57E6"/>
    <w:rsid w:val="001E584A"/>
    <w:rsid w:val="001F782B"/>
    <w:rsid w:val="00200BAC"/>
    <w:rsid w:val="00202480"/>
    <w:rsid w:val="002104D1"/>
    <w:rsid w:val="00215B3F"/>
    <w:rsid w:val="00220931"/>
    <w:rsid w:val="002228CA"/>
    <w:rsid w:val="00225CDA"/>
    <w:rsid w:val="0024126E"/>
    <w:rsid w:val="002414A9"/>
    <w:rsid w:val="002429DA"/>
    <w:rsid w:val="00245CA1"/>
    <w:rsid w:val="00261275"/>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702DD"/>
    <w:rsid w:val="0038248F"/>
    <w:rsid w:val="00386AD3"/>
    <w:rsid w:val="00395B48"/>
    <w:rsid w:val="003A3A33"/>
    <w:rsid w:val="003A76FB"/>
    <w:rsid w:val="003B2F29"/>
    <w:rsid w:val="003B60C9"/>
    <w:rsid w:val="003C70B9"/>
    <w:rsid w:val="003D2169"/>
    <w:rsid w:val="003F07D2"/>
    <w:rsid w:val="003F262A"/>
    <w:rsid w:val="003F276A"/>
    <w:rsid w:val="004021A8"/>
    <w:rsid w:val="004077C6"/>
    <w:rsid w:val="00407D8F"/>
    <w:rsid w:val="004139DB"/>
    <w:rsid w:val="004174A5"/>
    <w:rsid w:val="00422883"/>
    <w:rsid w:val="004313D8"/>
    <w:rsid w:val="00433504"/>
    <w:rsid w:val="00437758"/>
    <w:rsid w:val="00444214"/>
    <w:rsid w:val="00445E14"/>
    <w:rsid w:val="00466D25"/>
    <w:rsid w:val="00467806"/>
    <w:rsid w:val="00483690"/>
    <w:rsid w:val="004848F5"/>
    <w:rsid w:val="004902FA"/>
    <w:rsid w:val="004932AD"/>
    <w:rsid w:val="004A0431"/>
    <w:rsid w:val="004A1B0A"/>
    <w:rsid w:val="004A2C3A"/>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13722"/>
    <w:rsid w:val="00514034"/>
    <w:rsid w:val="00515176"/>
    <w:rsid w:val="00515D1A"/>
    <w:rsid w:val="00521A0C"/>
    <w:rsid w:val="00523400"/>
    <w:rsid w:val="005252A6"/>
    <w:rsid w:val="00546EAD"/>
    <w:rsid w:val="00551EDE"/>
    <w:rsid w:val="00552541"/>
    <w:rsid w:val="0055696A"/>
    <w:rsid w:val="00563869"/>
    <w:rsid w:val="0056499F"/>
    <w:rsid w:val="0056685E"/>
    <w:rsid w:val="00573F14"/>
    <w:rsid w:val="005744AC"/>
    <w:rsid w:val="00575773"/>
    <w:rsid w:val="00583DAC"/>
    <w:rsid w:val="00584274"/>
    <w:rsid w:val="005862A7"/>
    <w:rsid w:val="00592923"/>
    <w:rsid w:val="0059578D"/>
    <w:rsid w:val="005A0780"/>
    <w:rsid w:val="005A1AE5"/>
    <w:rsid w:val="005A3D55"/>
    <w:rsid w:val="005B4068"/>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2461"/>
    <w:rsid w:val="006576A3"/>
    <w:rsid w:val="00661F25"/>
    <w:rsid w:val="0066211E"/>
    <w:rsid w:val="00670982"/>
    <w:rsid w:val="00672BA1"/>
    <w:rsid w:val="0067612A"/>
    <w:rsid w:val="00677320"/>
    <w:rsid w:val="00684284"/>
    <w:rsid w:val="006901EE"/>
    <w:rsid w:val="00690892"/>
    <w:rsid w:val="006A4F01"/>
    <w:rsid w:val="006A6BDB"/>
    <w:rsid w:val="006B207F"/>
    <w:rsid w:val="006B3600"/>
    <w:rsid w:val="006B7708"/>
    <w:rsid w:val="006C342A"/>
    <w:rsid w:val="006C3514"/>
    <w:rsid w:val="006C54A0"/>
    <w:rsid w:val="006D0D67"/>
    <w:rsid w:val="006D1003"/>
    <w:rsid w:val="006D11AF"/>
    <w:rsid w:val="006E073F"/>
    <w:rsid w:val="006E4B31"/>
    <w:rsid w:val="006F202F"/>
    <w:rsid w:val="006F497E"/>
    <w:rsid w:val="00702490"/>
    <w:rsid w:val="00704A3E"/>
    <w:rsid w:val="007206EE"/>
    <w:rsid w:val="00730391"/>
    <w:rsid w:val="00737675"/>
    <w:rsid w:val="00743C5D"/>
    <w:rsid w:val="007537CD"/>
    <w:rsid w:val="0075474E"/>
    <w:rsid w:val="007576A3"/>
    <w:rsid w:val="00757B7C"/>
    <w:rsid w:val="00761D86"/>
    <w:rsid w:val="0076483B"/>
    <w:rsid w:val="00776071"/>
    <w:rsid w:val="007828DE"/>
    <w:rsid w:val="00784158"/>
    <w:rsid w:val="007860C0"/>
    <w:rsid w:val="00791EF2"/>
    <w:rsid w:val="00792D6F"/>
    <w:rsid w:val="007958A2"/>
    <w:rsid w:val="007A2FB0"/>
    <w:rsid w:val="007B078A"/>
    <w:rsid w:val="007B18A5"/>
    <w:rsid w:val="007B70AD"/>
    <w:rsid w:val="007C0425"/>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517E"/>
    <w:rsid w:val="0080681B"/>
    <w:rsid w:val="008155A6"/>
    <w:rsid w:val="00815C12"/>
    <w:rsid w:val="0083076D"/>
    <w:rsid w:val="00833A5E"/>
    <w:rsid w:val="008341A1"/>
    <w:rsid w:val="008349BC"/>
    <w:rsid w:val="00847785"/>
    <w:rsid w:val="00852D4B"/>
    <w:rsid w:val="00863F6F"/>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6E4A"/>
    <w:rsid w:val="008C24FB"/>
    <w:rsid w:val="008D2720"/>
    <w:rsid w:val="008D4B98"/>
    <w:rsid w:val="008D531B"/>
    <w:rsid w:val="008D5E1C"/>
    <w:rsid w:val="008F28E8"/>
    <w:rsid w:val="008F73A0"/>
    <w:rsid w:val="00900D40"/>
    <w:rsid w:val="00903738"/>
    <w:rsid w:val="00916EF6"/>
    <w:rsid w:val="00921E0C"/>
    <w:rsid w:val="00926A4A"/>
    <w:rsid w:val="0093096E"/>
    <w:rsid w:val="0093152B"/>
    <w:rsid w:val="00931A51"/>
    <w:rsid w:val="00940E75"/>
    <w:rsid w:val="00943744"/>
    <w:rsid w:val="00951CF4"/>
    <w:rsid w:val="00952FD4"/>
    <w:rsid w:val="0095678D"/>
    <w:rsid w:val="00974A7E"/>
    <w:rsid w:val="00991042"/>
    <w:rsid w:val="00991092"/>
    <w:rsid w:val="009A26E4"/>
    <w:rsid w:val="009A2878"/>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342D8"/>
    <w:rsid w:val="00A362C5"/>
    <w:rsid w:val="00A40D5C"/>
    <w:rsid w:val="00A45FFE"/>
    <w:rsid w:val="00A51E60"/>
    <w:rsid w:val="00A541D2"/>
    <w:rsid w:val="00A63ADE"/>
    <w:rsid w:val="00A64578"/>
    <w:rsid w:val="00A64C4D"/>
    <w:rsid w:val="00A73C1B"/>
    <w:rsid w:val="00A7584B"/>
    <w:rsid w:val="00A80641"/>
    <w:rsid w:val="00A862E7"/>
    <w:rsid w:val="00A94242"/>
    <w:rsid w:val="00A97F0C"/>
    <w:rsid w:val="00AA20DC"/>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13580"/>
    <w:rsid w:val="00B1453D"/>
    <w:rsid w:val="00B215DD"/>
    <w:rsid w:val="00B2330E"/>
    <w:rsid w:val="00B2529F"/>
    <w:rsid w:val="00B264FC"/>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6075"/>
    <w:rsid w:val="00B979F9"/>
    <w:rsid w:val="00BA5202"/>
    <w:rsid w:val="00BB5321"/>
    <w:rsid w:val="00BB592B"/>
    <w:rsid w:val="00BB7097"/>
    <w:rsid w:val="00BC0C6C"/>
    <w:rsid w:val="00BC3334"/>
    <w:rsid w:val="00BD383A"/>
    <w:rsid w:val="00BE3B5F"/>
    <w:rsid w:val="00BE569A"/>
    <w:rsid w:val="00BF0835"/>
    <w:rsid w:val="00BF1BAA"/>
    <w:rsid w:val="00BF6272"/>
    <w:rsid w:val="00BF73CB"/>
    <w:rsid w:val="00C0147C"/>
    <w:rsid w:val="00C01965"/>
    <w:rsid w:val="00C05967"/>
    <w:rsid w:val="00C10E95"/>
    <w:rsid w:val="00C12997"/>
    <w:rsid w:val="00C1599A"/>
    <w:rsid w:val="00C26366"/>
    <w:rsid w:val="00C308B6"/>
    <w:rsid w:val="00C32B61"/>
    <w:rsid w:val="00C44A8F"/>
    <w:rsid w:val="00C46351"/>
    <w:rsid w:val="00C51D2F"/>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F3365"/>
    <w:rsid w:val="00CF5152"/>
    <w:rsid w:val="00CF6AA8"/>
    <w:rsid w:val="00D24422"/>
    <w:rsid w:val="00D26092"/>
    <w:rsid w:val="00D504C3"/>
    <w:rsid w:val="00D5440B"/>
    <w:rsid w:val="00D5464A"/>
    <w:rsid w:val="00D81FEB"/>
    <w:rsid w:val="00D863DB"/>
    <w:rsid w:val="00D87F30"/>
    <w:rsid w:val="00D92A8D"/>
    <w:rsid w:val="00D94592"/>
    <w:rsid w:val="00DA15D4"/>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521A"/>
    <w:rsid w:val="00E054A2"/>
    <w:rsid w:val="00E10410"/>
    <w:rsid w:val="00E1106B"/>
    <w:rsid w:val="00E146F1"/>
    <w:rsid w:val="00E14BA4"/>
    <w:rsid w:val="00E166DD"/>
    <w:rsid w:val="00E322F0"/>
    <w:rsid w:val="00E43FD1"/>
    <w:rsid w:val="00E557FB"/>
    <w:rsid w:val="00E55A36"/>
    <w:rsid w:val="00E624FB"/>
    <w:rsid w:val="00E64998"/>
    <w:rsid w:val="00E66C1C"/>
    <w:rsid w:val="00E70030"/>
    <w:rsid w:val="00E757FD"/>
    <w:rsid w:val="00E860FC"/>
    <w:rsid w:val="00E918B0"/>
    <w:rsid w:val="00E97D4B"/>
    <w:rsid w:val="00EA0CCD"/>
    <w:rsid w:val="00EA36DE"/>
    <w:rsid w:val="00EA4493"/>
    <w:rsid w:val="00EA4A95"/>
    <w:rsid w:val="00EB0B06"/>
    <w:rsid w:val="00EB7DD2"/>
    <w:rsid w:val="00EC2F2A"/>
    <w:rsid w:val="00EC570F"/>
    <w:rsid w:val="00EC7E30"/>
    <w:rsid w:val="00ED6048"/>
    <w:rsid w:val="00ED6608"/>
    <w:rsid w:val="00EE0937"/>
    <w:rsid w:val="00EF11EE"/>
    <w:rsid w:val="00EF4E53"/>
    <w:rsid w:val="00F01146"/>
    <w:rsid w:val="00F011BC"/>
    <w:rsid w:val="00F0273C"/>
    <w:rsid w:val="00F03AB1"/>
    <w:rsid w:val="00F10F29"/>
    <w:rsid w:val="00F178EF"/>
    <w:rsid w:val="00F2110B"/>
    <w:rsid w:val="00F23E84"/>
    <w:rsid w:val="00F25BFC"/>
    <w:rsid w:val="00F30A5F"/>
    <w:rsid w:val="00F3262D"/>
    <w:rsid w:val="00F34DE6"/>
    <w:rsid w:val="00F47DD4"/>
    <w:rsid w:val="00F53AA5"/>
    <w:rsid w:val="00F54EEC"/>
    <w:rsid w:val="00F60F3C"/>
    <w:rsid w:val="00F62EE0"/>
    <w:rsid w:val="00F63729"/>
    <w:rsid w:val="00F642CE"/>
    <w:rsid w:val="00F71D5E"/>
    <w:rsid w:val="00F73622"/>
    <w:rsid w:val="00F77E0B"/>
    <w:rsid w:val="00F86330"/>
    <w:rsid w:val="00F904A2"/>
    <w:rsid w:val="00F9586C"/>
    <w:rsid w:val="00F965A7"/>
    <w:rsid w:val="00FA16DC"/>
    <w:rsid w:val="00FA56BA"/>
    <w:rsid w:val="00FA6AAD"/>
    <w:rsid w:val="00FB2CC3"/>
    <w:rsid w:val="00FB3D77"/>
    <w:rsid w:val="00FB4BA7"/>
    <w:rsid w:val="00FB726A"/>
    <w:rsid w:val="00FC4095"/>
    <w:rsid w:val="00FC558A"/>
    <w:rsid w:val="00FC59A5"/>
    <w:rsid w:val="00FD5D09"/>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25</Pages>
  <Words>3937</Words>
  <Characters>22441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5</cp:revision>
  <dcterms:created xsi:type="dcterms:W3CDTF">2024-01-10T19:06:00Z</dcterms:created>
  <dcterms:modified xsi:type="dcterms:W3CDTF">2024-01-11T18:18:00Z</dcterms:modified>
</cp:coreProperties>
</file>