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proofErr w:type="spellStart"/>
      <w:r w:rsidRPr="000971A4">
        <w:t>iCapital</w:t>
      </w:r>
      <w:proofErr w:type="spellEnd"/>
      <w:r w:rsidRPr="000971A4">
        <w:t xml:space="preserve">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369C9DA"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w:t>
            </w:r>
            <w:proofErr w:type="spellStart"/>
            <w:r w:rsidR="006D0D67" w:rsidRPr="006D0D67">
              <w:rPr>
                <w:i/>
                <w:iCs/>
                <w:sz w:val="24"/>
                <w:szCs w:val="24"/>
              </w:rPr>
              <w:t>paramets</w:t>
            </w:r>
            <w:proofErr w:type="spellEnd"/>
            <w:r w:rsidR="006D0D67" w:rsidRPr="006D0D67">
              <w:rPr>
                <w:i/>
                <w:iCs/>
                <w:sz w:val="24"/>
                <w:szCs w:val="24"/>
              </w:rPr>
              <w:t xml:space="preserve">.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5931790A" w:rsidR="00041E26" w:rsidRDefault="00041E26" w:rsidP="006A6BDB">
      <w:pPr>
        <w:jc w:val="both"/>
      </w:pPr>
      <w:r w:rsidRPr="00041E26">
        <w:t>Alternative investments such as private equity, hedge funds, and structured products are being traded at all-time highs. For instance, Bain &amp; Company</w:t>
      </w:r>
      <w:r>
        <w:rPr>
          <w:rStyle w:val="FootnoteReference"/>
        </w:rPr>
        <w:footnoteReference w:id="2"/>
      </w:r>
      <w:r w:rsidRPr="00041E26">
        <w:t xml:space="preserve"> valued private equity (PE) buyout deals for 2022 at $654 billion globally. This was the second-highest valuation since </w:t>
      </w:r>
      <w:r w:rsidR="00C64523" w:rsidRPr="00041E26">
        <w:t>2008 and</w:t>
      </w:r>
      <w:r w:rsidRPr="00041E26">
        <w:t xml:space="preserve"> brought the total deal volume to $2.4 trillion</w:t>
      </w:r>
      <w:r>
        <w:rPr>
          <w:rStyle w:val="FootnoteReference"/>
        </w:rPr>
        <w:footnoteReference w:id="3"/>
      </w:r>
      <w:r w:rsidRPr="00041E26">
        <w:t>. Additionally, total private markets AUM reached $11.7 trillion as of June 2022. Structured products also grew to reach $1.5 trillion in new issuance in 2021, according to S&amp;P and Bloomberg states that structured products still outsize the total ETF market at $5.3tn</w:t>
      </w:r>
      <w:r w:rsidR="00A51E60">
        <w:rPr>
          <w:rStyle w:val="FootnoteReference"/>
        </w:rPr>
        <w:footnoteReference w:id="4"/>
      </w:r>
      <w:r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77777777"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 xml:space="preserve">individual investors that have the knowledge and expertise to participate </w:t>
      </w:r>
      <w:r w:rsidR="00080123" w:rsidRPr="00080123">
        <w:lastRenderedPageBreak/>
        <w:t>in [financial] markets.</w:t>
      </w:r>
      <w:r w:rsidR="008A6C07">
        <w:t>”</w:t>
      </w:r>
      <w:r w:rsidR="00080123" w:rsidRPr="00080123">
        <w:t xml:space="preserve"> One no longer needs to pass </w:t>
      </w:r>
      <w:r w:rsidR="002B4BA6">
        <w:t xml:space="preserve">previously stringent </w:t>
      </w:r>
      <w:r w:rsidR="00080123" w:rsidRPr="00080123">
        <w:t>income requirement</w:t>
      </w:r>
      <w:r w:rsidR="002B4BA6">
        <w:t>s</w:t>
      </w:r>
      <w:r w:rsidR="0055696A">
        <w:t xml:space="preserve"> to be able to avail of such investment opportunities</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proofErr w:type="spellStart"/>
      <w:r>
        <w:t>iCapital</w:t>
      </w:r>
      <w:proofErr w:type="spellEnd"/>
      <w:r>
        <w:t xml:space="preserve">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12885433" w:rsidR="007537CD" w:rsidRDefault="007C6D3E" w:rsidP="006A6BDB">
      <w:pPr>
        <w:jc w:val="both"/>
      </w:pPr>
      <w:r w:rsidRPr="007C6D3E">
        <w:t>Optimal wealth allocation requires data on the risk, return, and covariance of asset classes. Un- fortunately, PE is largely exempt from public disclosure requirements. The issue is particularly pernicious 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77777777" w:rsidR="004021A8" w:rsidRDefault="004021A8" w:rsidP="004021A8">
      <w:pPr>
        <w:jc w:val="both"/>
      </w:pPr>
      <w:proofErr w:type="spellStart"/>
      <w:r>
        <w:t>iCapital</w:t>
      </w:r>
      <w:proofErr w:type="spellEnd"/>
      <w:r>
        <w:t xml:space="preserve"> solves this problem and other issues associated with returns on illiquid and alternative investments via our Generalized Multi-Asset Model version 3.0 (henceforth, GMAM 3). GMAM 3 is a returns-based model that uses hierarchical Bayesian modeling techniques to generate the underlying economic returns for any single fund that trades on </w:t>
      </w:r>
      <w:proofErr w:type="spellStart"/>
      <w:r>
        <w:t>iCapital’s</w:t>
      </w:r>
      <w:proofErr w:type="spellEnd"/>
      <w:r>
        <w:t xml:space="preserve"> marketplace. The model helps educate investors on fund suitability based on their 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77777777" w:rsidR="00445E14" w:rsidRDefault="004B40B3" w:rsidP="006A6BDB">
      <w:pPr>
        <w:jc w:val="both"/>
      </w:pPr>
      <w:r w:rsidRPr="004B40B3">
        <w:t>Bayesian techniques offer a more robust and flexible approach to capture the complex dynamics of private equity 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1DF0647F"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51DBB207" w:rsidR="00444214" w:rsidRDefault="00F23E84" w:rsidP="006A6BDB">
      <w:pPr>
        <w:jc w:val="both"/>
      </w:pPr>
      <w:r w:rsidRPr="00F23E84">
        <w:t xml:space="preserve">It is well-known in the academic finance literature that for private equity (henceforth, PE) </w:t>
      </w:r>
      <w:r w:rsidR="00DB0AD3">
        <w:t xml:space="preserve">and other alternative investments (henceforth, alts) </w:t>
      </w:r>
      <w:r w:rsidRPr="00F23E84">
        <w:t xml:space="preserve">there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w:t>
      </w:r>
      <w:r w:rsidRPr="00F23E84">
        <w:lastRenderedPageBreak/>
        <w:t>years of the funds. For investors seeking to optimally allocate their wealth across public securities and private equity, the lack of data is a significant barrier. Even 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346F35BF" w:rsidR="00521A0C" w:rsidRDefault="00DB0AD3" w:rsidP="006A6BDB">
      <w:pPr>
        <w:jc w:val="both"/>
      </w:pPr>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investments are typically illiquid and longer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lastRenderedPageBreak/>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F755939"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reported to the investor.</w:t>
      </w:r>
      <w:r w:rsidR="00BB5321">
        <w:rPr>
          <w:rFonts w:eastAsiaTheme="minorEastAsia"/>
        </w:rPr>
        <w:t xml:space="preserve"> </w:t>
      </w:r>
      <w:r w:rsidR="00BB5321" w:rsidRPr="00BB5321">
        <w:rPr>
          <w:rFonts w:eastAsiaTheme="minorEastAsia"/>
        </w:rPr>
        <w:t xml:space="preserve">Alternative investment re- ported returns often serially correlated and lagged. The quantity </w:t>
      </w:r>
      <w:proofErr w:type="spellStart"/>
      <w:r w:rsidR="00BB5321" w:rsidRPr="00BB5321">
        <w:rPr>
          <w:rFonts w:eastAsiaTheme="minorEastAsia"/>
        </w:rPr>
        <w:t>xt</w:t>
      </w:r>
      <w:proofErr w:type="spellEnd"/>
      <w:r w:rsidR="00BB5321" w:rsidRPr="00BB5321">
        <w:rPr>
          <w:rFonts w:eastAsiaTheme="minorEastAsia"/>
        </w:rPr>
        <w:t xml:space="preserve"> represents the unobservable true economic returns of the fund. The model simultaneously estimates these returns as part of the estimation procedure. To mimic the underlying characteristics of the reported returns to a greater degree5,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w:t>
      </w:r>
      <w:r w:rsidR="00FE597E" w:rsidRPr="00FE597E">
        <w:lastRenderedPageBreak/>
        <w:t>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t>The effect extends to the reported returns of real estate funds</w:t>
      </w:r>
      <w:r>
        <w:t xml:space="preserve"> </w:t>
      </w:r>
      <w:r w:rsidRPr="00FE597E">
        <w:t>(</w:t>
      </w:r>
      <w:proofErr w:type="spellStart"/>
      <w:r w:rsidRPr="00FE597E">
        <w:t>Geltner</w:t>
      </w:r>
      <w:proofErr w:type="spellEnd"/>
      <w:r w:rsidRPr="00FE597E">
        <w:t xml:space="preserve">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42CF5D9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appropriately compare their investments in PE 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lastRenderedPageBreak/>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w:t>
      </w:r>
      <w:r w:rsidRPr="008F28E8">
        <w:lastRenderedPageBreak/>
        <w:t xml:space="preserve">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7C8EEDCF" w:rsidR="00084851" w:rsidRDefault="00084851" w:rsidP="00E166DD">
      <w:pPr>
        <w:pStyle w:val="Heading2"/>
      </w:pPr>
      <w:r>
        <w:t>A Brief Digression 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(say).</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proofErr w:type="spellStart"/>
      <w:r w:rsidRPr="00DB4324">
        <w:t>Ishwaran</w:t>
      </w:r>
      <w:proofErr w:type="spellEnd"/>
      <w:r w:rsidRPr="00DB4324">
        <w:t xml:space="preserve">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populat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00018806">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EC0BE9D" w14:textId="3E6F3151"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4C645B12" w14:textId="7AE0789F" w:rsidR="000B09BE" w:rsidRDefault="00670982" w:rsidP="00670982">
      <w:pPr>
        <w:jc w:val="both"/>
        <w:rPr>
          <w:rFonts w:eastAsiaTheme="minorEastAsia"/>
        </w:rPr>
      </w:pPr>
      <w:r w:rsidRPr="00670982">
        <w:rPr>
          <w:rFonts w:eastAsiaTheme="minorEastAsia"/>
        </w:rPr>
        <w:t>We use a hierarchical Bayesian model to generate fund returns when data is sparse and noisy. The data generation process includes de-smoothed returns, generated using a spike and slab regression,</w:t>
      </w:r>
      <w:r>
        <w:rPr>
          <w:rFonts w:eastAsiaTheme="minorEastAsia"/>
        </w:rPr>
        <w:t xml:space="preserve"> </w:t>
      </w:r>
      <w:r w:rsidRPr="00670982">
        <w:rPr>
          <w:rFonts w:eastAsiaTheme="minorEastAsia"/>
        </w:rPr>
        <w:t>and re-smoothed returns used to mimic reported returns. Our technique provides a systematic and rigorous way by which fund performance can be quantified.</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 xml:space="preserve">David </w:t>
      </w:r>
      <w:proofErr w:type="spellStart"/>
      <w:r>
        <w:t>Geltner</w:t>
      </w:r>
      <w:proofErr w:type="spellEnd"/>
      <w:r>
        <w:t>.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w:t>
      </w:r>
      <w:proofErr w:type="spellStart"/>
      <w:r>
        <w:t>Ishwaran</w:t>
      </w:r>
      <w:proofErr w:type="spellEnd"/>
      <w:r>
        <w:t xml:space="preserve">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 xml:space="preserve">Variable Names and </w:t>
      </w:r>
      <w:r>
        <w:rPr>
          <w:rFonts w:eastAsiaTheme="minorEastAsia"/>
        </w:rPr>
        <w:t>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3"/>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4"/>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5"/>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16"/>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17"/>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18"/>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19"/>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0"/>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1"/>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2"/>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3"/>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4"/>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5"/>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26"/>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27"/>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28"/>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29"/>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0"/>
                    <a:stretch>
                      <a:fillRect/>
                    </a:stretch>
                  </pic:blipFill>
                  <pic:spPr>
                    <a:xfrm>
                      <a:off x="0" y="0"/>
                      <a:ext cx="5651500" cy="4191000"/>
                    </a:xfrm>
                    <a:prstGeom prst="rect">
                      <a:avLst/>
                    </a:prstGeom>
                  </pic:spPr>
                </pic:pic>
              </a:graphicData>
            </a:graphic>
          </wp:inline>
        </w:drawing>
      </w:r>
    </w:p>
    <w:sectPr w:rsidR="001B0A76" w:rsidRPr="00437758">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61F56" w14:textId="77777777" w:rsidR="007F1C66" w:rsidRDefault="007F1C66" w:rsidP="00445E14">
      <w:r>
        <w:separator/>
      </w:r>
    </w:p>
  </w:endnote>
  <w:endnote w:type="continuationSeparator" w:id="0">
    <w:p w14:paraId="3C4139D1" w14:textId="77777777" w:rsidR="007F1C66" w:rsidRDefault="007F1C66" w:rsidP="00445E14">
      <w:r>
        <w:continuationSeparator/>
      </w:r>
    </w:p>
  </w:endnote>
  <w:endnote w:type="continuationNotice" w:id="1">
    <w:p w14:paraId="061C0E4B" w14:textId="77777777" w:rsidR="007F1C66" w:rsidRDefault="007F1C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B55A6" w14:textId="77777777" w:rsidR="007F1C66" w:rsidRDefault="007F1C66" w:rsidP="00445E14">
      <w:r>
        <w:separator/>
      </w:r>
    </w:p>
  </w:footnote>
  <w:footnote w:type="continuationSeparator" w:id="0">
    <w:p w14:paraId="3B15A7FA" w14:textId="77777777" w:rsidR="007F1C66" w:rsidRDefault="007F1C66" w:rsidP="00445E14">
      <w:r>
        <w:continuationSeparator/>
      </w:r>
    </w:p>
  </w:footnote>
  <w:footnote w:type="continuationNotice" w:id="1">
    <w:p w14:paraId="6B0331CF" w14:textId="77777777" w:rsidR="007F1C66" w:rsidRDefault="007F1C66"/>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77777777" w:rsidR="00DB0AD3" w:rsidRDefault="00DB0AD3" w:rsidP="00DB0AD3">
      <w:pPr>
        <w:pStyle w:val="FootnoteText"/>
      </w:pPr>
      <w:r>
        <w:rPr>
          <w:rStyle w:val="FootnoteReference"/>
        </w:rPr>
        <w:footnoteRef/>
      </w:r>
      <w:r>
        <w:t xml:space="preserve"> They </w:t>
      </w:r>
      <w:r w:rsidRPr="007D2C0F">
        <w:t>may not fully capture the complexities of private equity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2"/>
  </w:num>
  <w:num w:numId="2" w16cid:durableId="1756782704">
    <w:abstractNumId w:val="13"/>
  </w:num>
  <w:num w:numId="3" w16cid:durableId="1370647188">
    <w:abstractNumId w:val="3"/>
  </w:num>
  <w:num w:numId="4" w16cid:durableId="221797831">
    <w:abstractNumId w:val="14"/>
  </w:num>
  <w:num w:numId="5" w16cid:durableId="1360089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0"/>
  </w:num>
  <w:num w:numId="9" w16cid:durableId="1588467186">
    <w:abstractNumId w:val="8"/>
  </w:num>
  <w:num w:numId="10" w16cid:durableId="1811513278">
    <w:abstractNumId w:val="11"/>
  </w:num>
  <w:num w:numId="11" w16cid:durableId="1470900690">
    <w:abstractNumId w:val="5"/>
  </w:num>
  <w:num w:numId="12" w16cid:durableId="132647045">
    <w:abstractNumId w:val="16"/>
  </w:num>
  <w:num w:numId="13" w16cid:durableId="1503231818">
    <w:abstractNumId w:val="2"/>
  </w:num>
  <w:num w:numId="14" w16cid:durableId="278536754">
    <w:abstractNumId w:val="4"/>
  </w:num>
  <w:num w:numId="15" w16cid:durableId="1935360501">
    <w:abstractNumId w:val="6"/>
  </w:num>
  <w:num w:numId="16" w16cid:durableId="2042700761">
    <w:abstractNumId w:val="17"/>
  </w:num>
  <w:num w:numId="17" w16cid:durableId="1880510189">
    <w:abstractNumId w:val="7"/>
  </w:num>
  <w:num w:numId="18" w16cid:durableId="1415129256">
    <w:abstractNumId w:val="15"/>
  </w:num>
  <w:num w:numId="19" w16cid:durableId="741679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A24"/>
    <w:rsid w:val="001A39E9"/>
    <w:rsid w:val="001A59CE"/>
    <w:rsid w:val="001B0A76"/>
    <w:rsid w:val="001B13CD"/>
    <w:rsid w:val="001B5915"/>
    <w:rsid w:val="001C1179"/>
    <w:rsid w:val="001C6E21"/>
    <w:rsid w:val="001E15A9"/>
    <w:rsid w:val="001E57E6"/>
    <w:rsid w:val="001E584A"/>
    <w:rsid w:val="001F782B"/>
    <w:rsid w:val="00200BAC"/>
    <w:rsid w:val="00202480"/>
    <w:rsid w:val="002104D1"/>
    <w:rsid w:val="00215B3F"/>
    <w:rsid w:val="00220931"/>
    <w:rsid w:val="002228CA"/>
    <w:rsid w:val="00225CDA"/>
    <w:rsid w:val="0024126E"/>
    <w:rsid w:val="002414A9"/>
    <w:rsid w:val="002429DA"/>
    <w:rsid w:val="00245CA1"/>
    <w:rsid w:val="00261275"/>
    <w:rsid w:val="00271918"/>
    <w:rsid w:val="00276823"/>
    <w:rsid w:val="00276D6C"/>
    <w:rsid w:val="00282EF4"/>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46EAD"/>
    <w:rsid w:val="00551EDE"/>
    <w:rsid w:val="00552541"/>
    <w:rsid w:val="0055696A"/>
    <w:rsid w:val="0056499F"/>
    <w:rsid w:val="0056685E"/>
    <w:rsid w:val="00573F14"/>
    <w:rsid w:val="005744AC"/>
    <w:rsid w:val="00575773"/>
    <w:rsid w:val="00583DAC"/>
    <w:rsid w:val="00584274"/>
    <w:rsid w:val="005862A7"/>
    <w:rsid w:val="00592923"/>
    <w:rsid w:val="0059578D"/>
    <w:rsid w:val="005A0780"/>
    <w:rsid w:val="005A1AE5"/>
    <w:rsid w:val="005A3D55"/>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4B31"/>
    <w:rsid w:val="006F202F"/>
    <w:rsid w:val="006F497E"/>
    <w:rsid w:val="00702490"/>
    <w:rsid w:val="00704A3E"/>
    <w:rsid w:val="007206EE"/>
    <w:rsid w:val="00730391"/>
    <w:rsid w:val="00737675"/>
    <w:rsid w:val="00743C5D"/>
    <w:rsid w:val="007537CD"/>
    <w:rsid w:val="0075474E"/>
    <w:rsid w:val="007576A3"/>
    <w:rsid w:val="00757B7C"/>
    <w:rsid w:val="00761D86"/>
    <w:rsid w:val="0076483B"/>
    <w:rsid w:val="00784158"/>
    <w:rsid w:val="007860C0"/>
    <w:rsid w:val="00791EF2"/>
    <w:rsid w:val="00792D6F"/>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342D8"/>
    <w:rsid w:val="00A362C5"/>
    <w:rsid w:val="00A40D5C"/>
    <w:rsid w:val="00A45FFE"/>
    <w:rsid w:val="00A51E60"/>
    <w:rsid w:val="00A541D2"/>
    <w:rsid w:val="00A63ADE"/>
    <w:rsid w:val="00A64578"/>
    <w:rsid w:val="00A7584B"/>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215DD"/>
    <w:rsid w:val="00B2330E"/>
    <w:rsid w:val="00B2529F"/>
    <w:rsid w:val="00B264FC"/>
    <w:rsid w:val="00B34F77"/>
    <w:rsid w:val="00B42267"/>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84BAA"/>
    <w:rsid w:val="00C90316"/>
    <w:rsid w:val="00CA48E5"/>
    <w:rsid w:val="00CB0CDF"/>
    <w:rsid w:val="00CB1088"/>
    <w:rsid w:val="00CB6447"/>
    <w:rsid w:val="00CB708B"/>
    <w:rsid w:val="00CC4AB7"/>
    <w:rsid w:val="00CD114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C62D5"/>
    <w:rsid w:val="00DC79D8"/>
    <w:rsid w:val="00DD0E9F"/>
    <w:rsid w:val="00DD2152"/>
    <w:rsid w:val="00DE4CFE"/>
    <w:rsid w:val="00DF3D58"/>
    <w:rsid w:val="00DF41FC"/>
    <w:rsid w:val="00DF7B95"/>
    <w:rsid w:val="00E00AF0"/>
    <w:rsid w:val="00E012A2"/>
    <w:rsid w:val="00E0521A"/>
    <w:rsid w:val="00E054A2"/>
    <w:rsid w:val="00E10410"/>
    <w:rsid w:val="00E146F1"/>
    <w:rsid w:val="00E14BA4"/>
    <w:rsid w:val="00E166DD"/>
    <w:rsid w:val="00E322F0"/>
    <w:rsid w:val="00E43FD1"/>
    <w:rsid w:val="00E557FB"/>
    <w:rsid w:val="00E55A36"/>
    <w:rsid w:val="00E624FB"/>
    <w:rsid w:val="00E64998"/>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25</Pages>
  <Words>3956</Words>
  <Characters>22551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4</cp:revision>
  <dcterms:created xsi:type="dcterms:W3CDTF">2023-12-17T00:23:00Z</dcterms:created>
  <dcterms:modified xsi:type="dcterms:W3CDTF">2023-12-17T07:26:00Z</dcterms:modified>
</cp:coreProperties>
</file>