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E1AD" w14:textId="4F702EB2" w:rsidR="00AD65BF" w:rsidRPr="00AD65BF" w:rsidRDefault="00551EDE" w:rsidP="006A6BDB">
      <w:pPr>
        <w:jc w:val="both"/>
        <w:rPr>
          <w:b/>
          <w:bCs/>
          <w:sz w:val="32"/>
          <w:szCs w:val="32"/>
        </w:rPr>
      </w:pPr>
      <w:r w:rsidRPr="00AD65BF">
        <w:rPr>
          <w:b/>
          <w:bCs/>
          <w:sz w:val="32"/>
          <w:szCs w:val="32"/>
        </w:rPr>
        <w:t>Generalized Multi-Asset Model v3.0</w:t>
      </w:r>
      <w:r w:rsidR="00AD65BF">
        <w:rPr>
          <w:b/>
          <w:bCs/>
          <w:sz w:val="32"/>
          <w:szCs w:val="32"/>
        </w:rPr>
        <w:t xml:space="preserve"> (GMAM 3.0)</w:t>
      </w:r>
    </w:p>
    <w:p w14:paraId="3F02028E" w14:textId="47799813" w:rsidR="000B3B31" w:rsidRPr="001E15A9" w:rsidRDefault="00AD65BF" w:rsidP="006A6BDB">
      <w:pPr>
        <w:jc w:val="both"/>
        <w:rPr>
          <w:b/>
          <w:bCs/>
          <w:sz w:val="28"/>
          <w:szCs w:val="28"/>
        </w:rPr>
      </w:pPr>
      <w:r>
        <w:rPr>
          <w:b/>
          <w:bCs/>
          <w:sz w:val="28"/>
          <w:szCs w:val="28"/>
        </w:rPr>
        <w:t>Methodological Document</w:t>
      </w:r>
    </w:p>
    <w:p w14:paraId="714AB338" w14:textId="77777777" w:rsidR="00551EDE" w:rsidRDefault="00551EDE" w:rsidP="006A6BDB">
      <w:pPr>
        <w:jc w:val="both"/>
      </w:pPr>
    </w:p>
    <w:p w14:paraId="5A8A8E62" w14:textId="28C39D8A" w:rsidR="001E15A9" w:rsidRDefault="000971A4" w:rsidP="006A6BDB">
      <w:pPr>
        <w:jc w:val="both"/>
      </w:pPr>
      <w:proofErr w:type="spellStart"/>
      <w:r w:rsidRPr="000971A4">
        <w:t>iCapital</w:t>
      </w:r>
      <w:proofErr w:type="spellEnd"/>
      <w:r w:rsidRPr="000971A4">
        <w:t xml:space="preserve"> Portfolio Analytics, Quantitative Research Group</w:t>
      </w:r>
    </w:p>
    <w:p w14:paraId="384B42C2" w14:textId="77777777" w:rsidR="000971A4" w:rsidRDefault="000971A4" w:rsidP="006A6BDB">
      <w:pPr>
        <w:jc w:val="both"/>
      </w:pPr>
    </w:p>
    <w:tbl>
      <w:tblPr>
        <w:tblStyle w:val="TableGrid"/>
        <w:tblW w:w="0" w:type="auto"/>
        <w:tblInd w:w="432" w:type="dxa"/>
        <w:tblLook w:val="04A0" w:firstRow="1" w:lastRow="0" w:firstColumn="1" w:lastColumn="0" w:noHBand="0" w:noVBand="1"/>
      </w:tblPr>
      <w:tblGrid>
        <w:gridCol w:w="8928"/>
      </w:tblGrid>
      <w:tr w:rsidR="004B40B3" w:rsidRPr="004B40B3" w14:paraId="3E52CADE" w14:textId="77777777" w:rsidTr="004B40B3">
        <w:trPr>
          <w:trHeight w:val="144"/>
        </w:trPr>
        <w:tc>
          <w:tcPr>
            <w:tcW w:w="0" w:type="auto"/>
            <w:tcBorders>
              <w:top w:val="nil"/>
              <w:left w:val="nil"/>
              <w:bottom w:val="nil"/>
              <w:right w:val="nil"/>
            </w:tcBorders>
            <w:vAlign w:val="center"/>
          </w:tcPr>
          <w:p w14:paraId="1AA4C629" w14:textId="6953EAE6" w:rsidR="004B40B3" w:rsidRPr="004B40B3" w:rsidRDefault="004B40B3" w:rsidP="00DC79D8">
            <w:pPr>
              <w:pStyle w:val="Heading1"/>
              <w:numPr>
                <w:ilvl w:val="0"/>
                <w:numId w:val="0"/>
              </w:numPr>
              <w:jc w:val="center"/>
              <w:rPr>
                <w:sz w:val="28"/>
                <w:szCs w:val="28"/>
              </w:rPr>
            </w:pPr>
            <w:r w:rsidRPr="004B40B3">
              <w:rPr>
                <w:noProof/>
                <w:sz w:val="28"/>
                <w:szCs w:val="28"/>
              </w:rPr>
              <w:drawing>
                <wp:inline distT="0" distB="0" distL="0" distR="0" wp14:anchorId="317A8A3F" wp14:editId="550FF72A">
                  <wp:extent cx="5367528" cy="2221992"/>
                  <wp:effectExtent l="0" t="0" r="5080" b="635"/>
                  <wp:docPr id="1044672343" name="Picture 104467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234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7528" cy="2221992"/>
                          </a:xfrm>
                          <a:prstGeom prst="rect">
                            <a:avLst/>
                          </a:prstGeom>
                        </pic:spPr>
                      </pic:pic>
                    </a:graphicData>
                  </a:graphic>
                </wp:inline>
              </w:drawing>
            </w:r>
          </w:p>
        </w:tc>
      </w:tr>
      <w:tr w:rsidR="004B40B3" w:rsidRPr="008B4DAC" w14:paraId="7B778A0E" w14:textId="77777777" w:rsidTr="004B40B3">
        <w:trPr>
          <w:trHeight w:val="144"/>
        </w:trPr>
        <w:tc>
          <w:tcPr>
            <w:tcW w:w="0" w:type="auto"/>
            <w:tcBorders>
              <w:top w:val="nil"/>
              <w:left w:val="nil"/>
              <w:bottom w:val="nil"/>
              <w:right w:val="nil"/>
            </w:tcBorders>
            <w:vAlign w:val="center"/>
          </w:tcPr>
          <w:p w14:paraId="4BCC6625" w14:textId="2369C9DA" w:rsidR="004B40B3" w:rsidRPr="008B4DAC" w:rsidRDefault="00670982" w:rsidP="006A6BDB">
            <w:pPr>
              <w:pStyle w:val="Heading1"/>
              <w:numPr>
                <w:ilvl w:val="0"/>
                <w:numId w:val="0"/>
              </w:numPr>
              <w:spacing w:before="0"/>
              <w:jc w:val="both"/>
              <w:rPr>
                <w:i/>
                <w:iCs/>
                <w:sz w:val="24"/>
                <w:szCs w:val="24"/>
              </w:rPr>
            </w:pPr>
            <w:r w:rsidRPr="00670982">
              <w:rPr>
                <w:i/>
                <w:iCs/>
                <w:sz w:val="24"/>
                <w:szCs w:val="24"/>
              </w:rPr>
              <w:t xml:space="preserve">Figure </w:t>
            </w:r>
            <w:r>
              <w:rPr>
                <w:i/>
                <w:iCs/>
                <w:sz w:val="24"/>
                <w:szCs w:val="24"/>
              </w:rPr>
              <w:t>1</w:t>
            </w:r>
            <w:r w:rsidRPr="00670982">
              <w:rPr>
                <w:i/>
                <w:iCs/>
                <w:sz w:val="24"/>
                <w:szCs w:val="24"/>
              </w:rPr>
              <w:t xml:space="preserve">: </w:t>
            </w:r>
            <w:r w:rsidR="006D0D67" w:rsidRPr="006D0D67">
              <w:rPr>
                <w:i/>
                <w:iCs/>
                <w:sz w:val="24"/>
                <w:szCs w:val="24"/>
              </w:rPr>
              <w:t xml:space="preserve">An example of a fund’s returns as generated by GMAM 3.0. The fund was launched in 2019. GMAM 3.0 </w:t>
            </w:r>
            <w:proofErr w:type="spellStart"/>
            <w:r w:rsidR="006D0D67" w:rsidRPr="006D0D67">
              <w:rPr>
                <w:i/>
                <w:iCs/>
                <w:sz w:val="24"/>
                <w:szCs w:val="24"/>
              </w:rPr>
              <w:t>backcasted</w:t>
            </w:r>
            <w:proofErr w:type="spellEnd"/>
            <w:r w:rsidR="006D0D67" w:rsidRPr="006D0D67">
              <w:rPr>
                <w:i/>
                <w:iCs/>
                <w:sz w:val="24"/>
                <w:szCs w:val="24"/>
              </w:rPr>
              <w:t xml:space="preserve"> the returns to 2004 using hierarchical Bayesian techniques. These included joint estimation of de-smoothed returns and systematic factor exposures, among other model </w:t>
            </w:r>
            <w:proofErr w:type="spellStart"/>
            <w:r w:rsidR="006D0D67" w:rsidRPr="006D0D67">
              <w:rPr>
                <w:i/>
                <w:iCs/>
                <w:sz w:val="24"/>
                <w:szCs w:val="24"/>
              </w:rPr>
              <w:t>paramets</w:t>
            </w:r>
            <w:proofErr w:type="spellEnd"/>
            <w:r w:rsidR="006D0D67" w:rsidRPr="006D0D67">
              <w:rPr>
                <w:i/>
                <w:iCs/>
                <w:sz w:val="24"/>
                <w:szCs w:val="24"/>
              </w:rPr>
              <w:t xml:space="preserve">. The </w:t>
            </w:r>
            <w:proofErr w:type="spellStart"/>
            <w:r w:rsidR="006D0D67" w:rsidRPr="006D0D67">
              <w:rPr>
                <w:i/>
                <w:iCs/>
                <w:sz w:val="24"/>
                <w:szCs w:val="24"/>
              </w:rPr>
              <w:t>backcast</w:t>
            </w:r>
            <w:proofErr w:type="spellEnd"/>
            <w:r w:rsidR="006D0D67" w:rsidRPr="006D0D67">
              <w:rPr>
                <w:i/>
                <w:iCs/>
                <w:sz w:val="24"/>
                <w:szCs w:val="24"/>
              </w:rPr>
              <w:t xml:space="preserve"> helps investors pair the fund with a portfolio of publicly available securities.</w:t>
            </w:r>
          </w:p>
        </w:tc>
      </w:tr>
    </w:tbl>
    <w:p w14:paraId="63F973D8" w14:textId="77777777" w:rsidR="004B40B3" w:rsidRDefault="004B40B3" w:rsidP="006A6BDB">
      <w:pPr>
        <w:pStyle w:val="Heading1"/>
        <w:numPr>
          <w:ilvl w:val="0"/>
          <w:numId w:val="0"/>
        </w:numPr>
        <w:jc w:val="both"/>
      </w:pPr>
    </w:p>
    <w:p w14:paraId="44D1D3F0" w14:textId="278DCA17" w:rsidR="00551EDE" w:rsidRPr="00551EDE" w:rsidRDefault="00551EDE" w:rsidP="006A6BDB">
      <w:pPr>
        <w:pStyle w:val="Heading1"/>
        <w:jc w:val="both"/>
      </w:pPr>
      <w:r w:rsidRPr="00551EDE">
        <w:t>Introduction</w:t>
      </w:r>
      <w:r w:rsidR="00EB7DD2">
        <w:t xml:space="preserve"> and Motivation</w:t>
      </w:r>
    </w:p>
    <w:p w14:paraId="44682C8E" w14:textId="5931790A" w:rsidR="00041E26" w:rsidRDefault="00041E26" w:rsidP="006A6BDB">
      <w:pPr>
        <w:jc w:val="both"/>
      </w:pPr>
      <w:r w:rsidRPr="00041E26">
        <w:t>Alternative investments such as private equity, hedge funds, and structured products are being traded at all-time highs. For instance, Bain &amp; Company</w:t>
      </w:r>
      <w:r>
        <w:rPr>
          <w:rStyle w:val="FootnoteReference"/>
        </w:rPr>
        <w:footnoteReference w:id="2"/>
      </w:r>
      <w:r w:rsidRPr="00041E26">
        <w:t xml:space="preserve"> valued private equity (PE) buyout deals for 2022 at $654 billion globally. This was the second-highest valuation since </w:t>
      </w:r>
      <w:r w:rsidR="00C64523" w:rsidRPr="00041E26">
        <w:t>2008 and</w:t>
      </w:r>
      <w:r w:rsidRPr="00041E26">
        <w:t xml:space="preserve"> brought the total deal volume to $2.4 trillion</w:t>
      </w:r>
      <w:r>
        <w:rPr>
          <w:rStyle w:val="FootnoteReference"/>
        </w:rPr>
        <w:footnoteReference w:id="3"/>
      </w:r>
      <w:r w:rsidRPr="00041E26">
        <w:t>. Additionally, total private markets AUM reached $11.7 trillion as of June 2022. Structured products also grew to reach $1.5 trillion in new issuance in 2021, according to S&amp;P and Bloomberg states that structured products still outsize the total ETF market at $5.3tn</w:t>
      </w:r>
      <w:r w:rsidR="00A51E60">
        <w:rPr>
          <w:rStyle w:val="FootnoteReference"/>
        </w:rPr>
        <w:footnoteReference w:id="4"/>
      </w:r>
      <w:r w:rsidRPr="00041E26">
        <w:t>.</w:t>
      </w:r>
      <w:r w:rsidR="002C4E2E">
        <w:t xml:space="preserve"> </w:t>
      </w:r>
      <w:r w:rsidR="002C4E2E" w:rsidRPr="002C4E2E">
        <w:t>All of this makes alternatives a major asset class, with institutions such as colleges, foundations, pension funds, and more investing in it.</w:t>
      </w:r>
    </w:p>
    <w:p w14:paraId="78737E7E" w14:textId="77777777" w:rsidR="00041E26" w:rsidRDefault="00041E26" w:rsidP="006A6BDB">
      <w:pPr>
        <w:jc w:val="both"/>
      </w:pPr>
    </w:p>
    <w:p w14:paraId="68A0B1C0" w14:textId="77777777" w:rsidR="003B60C9" w:rsidRDefault="009A26E4" w:rsidP="006A6BDB">
      <w:pPr>
        <w:jc w:val="both"/>
      </w:pPr>
      <w:r>
        <w:t>On the investor-side</w:t>
      </w:r>
      <w:r w:rsidR="00080123" w:rsidRPr="00080123">
        <w:t xml:space="preserve">, SEC rules defining what an accredited investor is have recently been broadened to include </w:t>
      </w:r>
      <w:r w:rsidR="008A6C07">
        <w:t>“</w:t>
      </w:r>
      <w:r w:rsidR="00080123" w:rsidRPr="00080123">
        <w:t xml:space="preserve">individual investors that have the knowledge and expertise to participate </w:t>
      </w:r>
      <w:r w:rsidR="00080123" w:rsidRPr="00080123">
        <w:lastRenderedPageBreak/>
        <w:t>in [financial] markets.</w:t>
      </w:r>
      <w:r w:rsidR="008A6C07">
        <w:t>”</w:t>
      </w:r>
      <w:r w:rsidR="00080123" w:rsidRPr="00080123">
        <w:t xml:space="preserve"> One no longer needs to pass </w:t>
      </w:r>
      <w:r w:rsidR="002B4BA6">
        <w:t xml:space="preserve">previously stringent </w:t>
      </w:r>
      <w:r w:rsidR="00080123" w:rsidRPr="00080123">
        <w:t>income requirement</w:t>
      </w:r>
      <w:r w:rsidR="002B4BA6">
        <w:t>s</w:t>
      </w:r>
      <w:r w:rsidR="0055696A">
        <w:t xml:space="preserve"> to be able to avail of such investment opportunities</w:t>
      </w:r>
      <w:r w:rsidR="00080123" w:rsidRPr="00080123">
        <w:t xml:space="preserve">. </w:t>
      </w:r>
    </w:p>
    <w:p w14:paraId="044BAE21" w14:textId="77777777" w:rsidR="003B60C9" w:rsidRDefault="003B60C9" w:rsidP="006A6BDB">
      <w:pPr>
        <w:jc w:val="both"/>
      </w:pPr>
    </w:p>
    <w:p w14:paraId="3092690E" w14:textId="21ACD8C3" w:rsidR="00FB3D77" w:rsidRDefault="003B60C9" w:rsidP="006A6BDB">
      <w:pPr>
        <w:jc w:val="both"/>
      </w:pPr>
      <w:proofErr w:type="spellStart"/>
      <w:r>
        <w:t>iCapital</w:t>
      </w:r>
      <w:proofErr w:type="spellEnd"/>
      <w:r>
        <w:t xml:space="preserve"> has </w:t>
      </w:r>
      <w:r w:rsidR="00080123" w:rsidRPr="00080123">
        <w:t>hastened the market expansion and liquidity of alternative investments</w:t>
      </w:r>
      <w:r w:rsidR="00DB704B">
        <w:t>, democratizing the market,</w:t>
      </w:r>
      <w:r w:rsidR="00080123" w:rsidRPr="00080123">
        <w:t xml:space="preserve"> and made it a viable option for </w:t>
      </w:r>
      <w:r w:rsidR="00311B7A">
        <w:t>mass affluent</w:t>
      </w:r>
      <w:r w:rsidR="00080123" w:rsidRPr="00080123">
        <w:t xml:space="preserve"> investors and private wealth funds</w:t>
      </w:r>
      <w:r w:rsidR="008A6C07">
        <w:rPr>
          <w:rStyle w:val="FootnoteReference"/>
        </w:rPr>
        <w:footnoteReference w:id="5"/>
      </w:r>
      <w:r w:rsidR="00080123" w:rsidRPr="00080123">
        <w:t>.</w:t>
      </w:r>
    </w:p>
    <w:p w14:paraId="350CFE6C" w14:textId="77777777" w:rsidR="00FB3D77" w:rsidRDefault="00FB3D77" w:rsidP="006A6BDB">
      <w:pPr>
        <w:jc w:val="both"/>
      </w:pPr>
    </w:p>
    <w:p w14:paraId="54FD1E61" w14:textId="12885433" w:rsidR="007537CD" w:rsidRDefault="007C6D3E" w:rsidP="006A6BDB">
      <w:pPr>
        <w:jc w:val="both"/>
      </w:pPr>
      <w:r w:rsidRPr="007C6D3E">
        <w:t>Optimal wealth allocation requires data on the risk, return, and covariance of asset classes. Un- fortunately, PE is largely exempt from public disclosure requirements. The issue is particularly pernicious with respect to performance metrics based on actual transactions. The</w:t>
      </w:r>
      <w:r>
        <w:t xml:space="preserve"> </w:t>
      </w:r>
      <w:r w:rsidRPr="007C6D3E">
        <w:t>limit</w:t>
      </w:r>
      <w:r>
        <w:t>e</w:t>
      </w:r>
      <w:r w:rsidRPr="007C6D3E">
        <w:t>d data im</w:t>
      </w:r>
      <w:r w:rsidR="004021A8" w:rsidRPr="004021A8">
        <w:t>pedes the investment process for portfolios containing such assets.</w:t>
      </w:r>
    </w:p>
    <w:p w14:paraId="555E063C" w14:textId="77777777" w:rsidR="004021A8" w:rsidRDefault="004021A8" w:rsidP="006A6BDB">
      <w:pPr>
        <w:jc w:val="both"/>
      </w:pPr>
    </w:p>
    <w:p w14:paraId="6FB13369" w14:textId="77777777" w:rsidR="004021A8" w:rsidRDefault="004021A8" w:rsidP="004021A8">
      <w:pPr>
        <w:jc w:val="both"/>
      </w:pPr>
      <w:proofErr w:type="spellStart"/>
      <w:r>
        <w:t>iCapital</w:t>
      </w:r>
      <w:proofErr w:type="spellEnd"/>
      <w:r>
        <w:t xml:space="preserve"> solves this problem and other issues associated with returns on illiquid and alternative investments via our Generalized Multi-Asset Model version 3.0 (henceforth, GMAM 3). GMAM 3 is a returns-based model that uses hierarchical Bayesian modeling techniques to generate the underlying economic returns for any single fund that trades on </w:t>
      </w:r>
      <w:proofErr w:type="spellStart"/>
      <w:r>
        <w:t>iCapital’s</w:t>
      </w:r>
      <w:proofErr w:type="spellEnd"/>
      <w:r>
        <w:t xml:space="preserve"> marketplace. The model helps educate investors on fund suitability based on their investment needs and risk preferences.</w:t>
      </w:r>
    </w:p>
    <w:p w14:paraId="7F5C304C" w14:textId="77777777" w:rsidR="004021A8" w:rsidRDefault="004021A8" w:rsidP="004021A8">
      <w:pPr>
        <w:jc w:val="both"/>
      </w:pPr>
    </w:p>
    <w:p w14:paraId="23401D0C" w14:textId="46F39E2F" w:rsidR="00F71D5E" w:rsidRDefault="004021A8" w:rsidP="004021A8">
      <w:pPr>
        <w:jc w:val="both"/>
      </w:pPr>
      <w:r>
        <w:t xml:space="preserve">This technical manual documents the important economic features of the </w:t>
      </w:r>
      <w:r w:rsidR="00C64523">
        <w:t>model and</w:t>
      </w:r>
      <w:r>
        <w:t xml:space="preserve"> explains the economic and econometric motivation behind choices made in model construction. The intended audience for this document has a working familiarity with Bayesian hierarchical models, econometric time series, expected return beta models, and other similar topics.</w:t>
      </w:r>
    </w:p>
    <w:p w14:paraId="6DEDE25D" w14:textId="77777777" w:rsidR="004021A8" w:rsidRDefault="004021A8" w:rsidP="004021A8">
      <w:pPr>
        <w:jc w:val="both"/>
      </w:pPr>
    </w:p>
    <w:p w14:paraId="24E4EDEC" w14:textId="265E8452" w:rsidR="00F71D5E" w:rsidRDefault="004B40B3" w:rsidP="006A6BDB">
      <w:pPr>
        <w:pStyle w:val="Heading2"/>
        <w:jc w:val="both"/>
      </w:pPr>
      <w:r w:rsidRPr="004B40B3">
        <w:t>Why Bayesian?</w:t>
      </w:r>
    </w:p>
    <w:p w14:paraId="3C365668" w14:textId="77777777" w:rsidR="00445E14" w:rsidRDefault="004B40B3" w:rsidP="006A6BDB">
      <w:pPr>
        <w:jc w:val="both"/>
      </w:pPr>
      <w:r w:rsidRPr="004B40B3">
        <w:t>Bayesian techniques offer a more robust and flexible approach to capture the complex dynamics of private equity returns due to their ability to</w:t>
      </w:r>
      <w:r w:rsidR="00445E14">
        <w:t>:</w:t>
      </w:r>
    </w:p>
    <w:p w14:paraId="5219F5AA" w14:textId="77777777" w:rsidR="00445E14" w:rsidRDefault="004B40B3" w:rsidP="006A6BDB">
      <w:pPr>
        <w:pStyle w:val="ListParagraph"/>
        <w:numPr>
          <w:ilvl w:val="0"/>
          <w:numId w:val="3"/>
        </w:numPr>
        <w:jc w:val="both"/>
      </w:pPr>
      <w:r w:rsidRPr="004B40B3">
        <w:t xml:space="preserve">incorporate prior knowledge, </w:t>
      </w:r>
    </w:p>
    <w:p w14:paraId="15FFE819" w14:textId="77777777" w:rsidR="00445E14" w:rsidRDefault="004B40B3" w:rsidP="006A6BDB">
      <w:pPr>
        <w:pStyle w:val="ListParagraph"/>
        <w:numPr>
          <w:ilvl w:val="0"/>
          <w:numId w:val="3"/>
        </w:numPr>
        <w:jc w:val="both"/>
      </w:pPr>
      <w:r w:rsidRPr="004B40B3">
        <w:t xml:space="preserve">handle limited data, </w:t>
      </w:r>
    </w:p>
    <w:p w14:paraId="2FB5352C" w14:textId="77777777" w:rsidR="00445E14" w:rsidRDefault="004B40B3" w:rsidP="006A6BDB">
      <w:pPr>
        <w:pStyle w:val="ListParagraph"/>
        <w:numPr>
          <w:ilvl w:val="0"/>
          <w:numId w:val="3"/>
        </w:numPr>
        <w:jc w:val="both"/>
      </w:pPr>
      <w:r w:rsidRPr="004B40B3">
        <w:t xml:space="preserve">account for illiquidity, and </w:t>
      </w:r>
    </w:p>
    <w:p w14:paraId="18B58501" w14:textId="77777777" w:rsidR="00445E14" w:rsidRDefault="004B40B3" w:rsidP="006A6BDB">
      <w:pPr>
        <w:pStyle w:val="ListParagraph"/>
        <w:numPr>
          <w:ilvl w:val="0"/>
          <w:numId w:val="3"/>
        </w:numPr>
        <w:jc w:val="both"/>
      </w:pPr>
      <w:r w:rsidRPr="004B40B3">
        <w:t xml:space="preserve">update estimates as new information becomes available. </w:t>
      </w:r>
    </w:p>
    <w:p w14:paraId="7E482ECE" w14:textId="77777777" w:rsidR="00445E14" w:rsidRDefault="00445E14" w:rsidP="006A6BDB">
      <w:pPr>
        <w:pStyle w:val="ListParagraph"/>
        <w:jc w:val="both"/>
      </w:pPr>
    </w:p>
    <w:p w14:paraId="2D9506E7" w14:textId="1DF0647F" w:rsidR="00445E14" w:rsidRDefault="00903738" w:rsidP="006A6BDB">
      <w:pPr>
        <w:jc w:val="both"/>
      </w:pPr>
      <w:r w:rsidRPr="00903738">
        <w:t>Bayesian methodologies allow for the integration of prior beliefs or information about specific funds into the estimation of returns. The prior information effectually supplements limited data. These techniques directly incorporate uncertainty into the return estimates by treating all parameters as stochastic. The framework aligns well with the unique characteristics of alternative investments, allowing for more accurate and informed returns estimation.</w:t>
      </w:r>
    </w:p>
    <w:p w14:paraId="68F2F5A3" w14:textId="77777777" w:rsidR="00903738" w:rsidRDefault="00903738" w:rsidP="006A6BDB">
      <w:pPr>
        <w:jc w:val="both"/>
      </w:pPr>
    </w:p>
    <w:p w14:paraId="14B07289" w14:textId="51DBB207" w:rsidR="00444214" w:rsidRDefault="00F23E84" w:rsidP="006A6BDB">
      <w:pPr>
        <w:jc w:val="both"/>
      </w:pPr>
      <w:r w:rsidRPr="00F23E84">
        <w:t xml:space="preserve">It is well-known in the academic finance literature that for private equity (henceforth, PE) </w:t>
      </w:r>
      <w:r w:rsidR="00DB0AD3">
        <w:t xml:space="preserve">and other alternative investments (henceforth, alts) </w:t>
      </w:r>
      <w:r w:rsidRPr="00F23E84">
        <w:t xml:space="preserve">there is a dearth of performance metrics based on actual transactions (Kaplan and </w:t>
      </w:r>
      <w:proofErr w:type="spellStart"/>
      <w:r w:rsidRPr="00F23E84">
        <w:t>Schoar</w:t>
      </w:r>
      <w:proofErr w:type="spellEnd"/>
      <w:r w:rsidRPr="00F23E84">
        <w:t xml:space="preserve"> [2005]). The available time series data often relies on non-market valuations or multiyear internal rates of return (IRR), often segmented by the vintage </w:t>
      </w:r>
      <w:r w:rsidRPr="00F23E84">
        <w:lastRenderedPageBreak/>
        <w:t>years of the funds. For investors seeking to optimally allocate their wealth across public securities and private equity, the lack of data is a significant barrier. Even simple Markowitz-style (Markowitz [1952]) mean-variance optimization requires a sufficiently long history of returns, which is unavailable in the case of PE.</w:t>
      </w:r>
    </w:p>
    <w:p w14:paraId="2AA0F2B1" w14:textId="77777777" w:rsidR="00F23E84" w:rsidRDefault="00F23E84" w:rsidP="006A6BDB">
      <w:pPr>
        <w:jc w:val="both"/>
      </w:pPr>
    </w:p>
    <w:p w14:paraId="3378A07E" w14:textId="346F35BF" w:rsidR="00521A0C" w:rsidRDefault="00DB0AD3" w:rsidP="006A6BDB">
      <w:pPr>
        <w:jc w:val="both"/>
      </w:pPr>
      <w:r w:rsidRPr="00DB0AD3">
        <w:t>IRR is a commonly used metric in the PE world to gauge a fund’s performance. It provides a convenient way by which to compare and benchmark various funds. Furthermore, it provides a computationally simple procedure to account for the timing and magnitude of cash flows since PE</w:t>
      </w:r>
      <w:r>
        <w:t xml:space="preserve"> </w:t>
      </w:r>
      <w:r w:rsidRPr="00DB0AD3">
        <w:t>investments are typically illiquid and longer investment horizons. And finally, it helps investors assess the risk of a fund.</w:t>
      </w:r>
    </w:p>
    <w:p w14:paraId="50384286" w14:textId="77777777" w:rsidR="00DB0AD3" w:rsidRDefault="00DB0AD3" w:rsidP="006A6BDB">
      <w:pPr>
        <w:jc w:val="both"/>
      </w:pPr>
    </w:p>
    <w:p w14:paraId="0190A73D" w14:textId="60B6189E" w:rsidR="00445E14" w:rsidRDefault="00DB0AD3" w:rsidP="006A6BDB">
      <w:pPr>
        <w:jc w:val="both"/>
      </w:pPr>
      <w:r w:rsidRPr="00DB0AD3">
        <w:t xml:space="preserve">While these are good reasons to use the IRR, the measure has numerous shortcomings. </w:t>
      </w:r>
      <w:r>
        <w:t>Many academics</w:t>
      </w:r>
      <w:r w:rsidR="00BB5321">
        <w:rPr>
          <w:rStyle w:val="FootnoteReference"/>
        </w:rPr>
        <w:footnoteReference w:id="6"/>
      </w:r>
      <w:r w:rsidR="00BB5321">
        <w:t xml:space="preserve"> </w:t>
      </w:r>
      <w:r>
        <w:t xml:space="preserve">believe that </w:t>
      </w:r>
      <w:r w:rsidRPr="00DB0AD3">
        <w:t>IRR assumes cash proceeds will be reinvested to achieve a particular return. This assumption does not coincide with the reality of cash flow distributions. For example, if a fund reports a 50% IRR and has returned cash early in its life, the assumption is that the cash will be reinvested at 50%. However, it is unlikely that the fund will find such an investment opportunity every time cash is distributed.</w:t>
      </w:r>
    </w:p>
    <w:p w14:paraId="734FB67A" w14:textId="77777777" w:rsidR="00DB0AD3" w:rsidRPr="00445E14" w:rsidRDefault="00DB0AD3" w:rsidP="006A6BDB">
      <w:pPr>
        <w:jc w:val="both"/>
      </w:pPr>
    </w:p>
    <w:p w14:paraId="0CDACAB6" w14:textId="0AF8DBBE" w:rsidR="00EB7DD2" w:rsidRDefault="00DB0AD3" w:rsidP="006A6BDB">
      <w:pPr>
        <w:jc w:val="both"/>
      </w:pPr>
      <w:r w:rsidRPr="00DB0AD3">
        <w:t>Furthermore, IRR can distort management incentives, upwardly bias performance measures, and misrepresent volatility estimates (</w:t>
      </w:r>
      <w:proofErr w:type="spellStart"/>
      <w:r w:rsidRPr="00DB0AD3">
        <w:t>Phalippou</w:t>
      </w:r>
      <w:proofErr w:type="spellEnd"/>
      <w:r w:rsidRPr="00DB0AD3">
        <w:t xml:space="preserve"> [2008]). As stated in Sorensen and Jagannathan [2013], “The IRR may not exist, and it may not be unique.” Even though the Modified IRR (MIRR) accounts for some well-known pitfalls in the measure, its practical implementation in a private partnership is not obvious.</w:t>
      </w:r>
    </w:p>
    <w:p w14:paraId="52D521FB" w14:textId="77777777" w:rsidR="00DB0AD3" w:rsidRDefault="00DB0AD3" w:rsidP="006A6BDB">
      <w:pPr>
        <w:jc w:val="both"/>
      </w:pPr>
    </w:p>
    <w:p w14:paraId="4B695BD8" w14:textId="2B90A3FF" w:rsidR="00CA48E5" w:rsidRDefault="00EB7DD2" w:rsidP="006A6BDB">
      <w:pPr>
        <w:jc w:val="both"/>
      </w:pPr>
      <w:r>
        <w:t>GMAM 3</w:t>
      </w:r>
      <w:r w:rsidR="00AE205B">
        <w:t>,</w:t>
      </w:r>
      <w:r>
        <w:t xml:space="preserve"> </w:t>
      </w:r>
      <w:r w:rsidR="00AE205B">
        <w:t xml:space="preserve">on the other hand, </w:t>
      </w:r>
      <w:r>
        <w:t>uses time-weighted returns</w:t>
      </w:r>
      <w:r w:rsidR="00F03AB1">
        <w:t xml:space="preserve">. </w:t>
      </w:r>
    </w:p>
    <w:p w14:paraId="0203C58C" w14:textId="77777777" w:rsidR="00CA48E5" w:rsidRDefault="00CA48E5" w:rsidP="006A6BDB">
      <w:pPr>
        <w:jc w:val="both"/>
      </w:pPr>
    </w:p>
    <w:p w14:paraId="506AE294" w14:textId="0735285E" w:rsidR="00CA48E5" w:rsidRDefault="00000000" w:rsidP="006A6BDB">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NA</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+Distribution</m:t>
              </m:r>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NA</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+Contribution</m:t>
              </m:r>
              <m:sSub>
                <m:sSubPr>
                  <m:ctrlPr>
                    <w:rPr>
                      <w:rFonts w:ascii="Cambria Math" w:hAnsi="Cambria Math"/>
                      <w:i/>
                    </w:rPr>
                  </m:ctrlPr>
                </m:sSubPr>
                <m:e>
                  <m:r>
                    <w:rPr>
                      <w:rFonts w:ascii="Cambria Math" w:hAnsi="Cambria Math"/>
                    </w:rPr>
                    <m:t>s</m:t>
                  </m:r>
                </m:e>
                <m:sub>
                  <m:r>
                    <w:rPr>
                      <w:rFonts w:ascii="Cambria Math" w:hAnsi="Cambria Math"/>
                    </w:rPr>
                    <m:t>t</m:t>
                  </m:r>
                </m:sub>
              </m:sSub>
            </m:den>
          </m:f>
        </m:oMath>
      </m:oMathPara>
    </w:p>
    <w:p w14:paraId="6384AACE" w14:textId="77777777" w:rsidR="00BF1BAA" w:rsidRDefault="00BF1BAA" w:rsidP="006A6BDB">
      <w:pPr>
        <w:jc w:val="both"/>
      </w:pPr>
    </w:p>
    <w:p w14:paraId="7BEED9C7" w14:textId="2E268F9B" w:rsidR="00DB0AD3" w:rsidRDefault="00DB0AD3" w:rsidP="006A6BDB">
      <w:pPr>
        <w:jc w:val="both"/>
      </w:pPr>
      <w:r w:rsidRPr="00DB0AD3">
        <w:t>Though time-weighted returns have their own caveats</w:t>
      </w:r>
      <w:r>
        <w:rPr>
          <w:rStyle w:val="FootnoteReference"/>
        </w:rPr>
        <w:footnoteReference w:id="7"/>
      </w:r>
      <w:r w:rsidRPr="00DB0AD3">
        <w:t xml:space="preserve">, they also mitigate many of the shortcomings of IRR. For instance, this method of calculation accounts for contributions and distributions, as well as their timing, in representing the total return on a single investment. Also, they allow for a more standardized comparison of performance across different investment vehicles and asset classes. The standardization is particularly valuable to investors seeking to combine </w:t>
      </w:r>
      <w:r>
        <w:t xml:space="preserve">alts </w:t>
      </w:r>
      <w:r w:rsidRPr="00DB0AD3">
        <w:t xml:space="preserve">with publicly available investments. Finally, time-weighted returns are a widely understood and commonly used method in the broader investment industry. Their use in measuring </w:t>
      </w:r>
      <w:r>
        <w:t>fund</w:t>
      </w:r>
      <w:r w:rsidRPr="00DB0AD3">
        <w:t xml:space="preserve"> performance facilitates understanding and communication about fund performance, especially for stakeholders more familiar with traditional investment vehicles.</w:t>
      </w:r>
    </w:p>
    <w:p w14:paraId="3EE4D10A" w14:textId="77777777" w:rsidR="00592923" w:rsidRDefault="00592923" w:rsidP="006A6BDB">
      <w:pPr>
        <w:jc w:val="both"/>
      </w:pPr>
    </w:p>
    <w:p w14:paraId="561F0786" w14:textId="302A9738" w:rsidR="00445E14" w:rsidRDefault="00EB0B06" w:rsidP="006A6BDB">
      <w:pPr>
        <w:jc w:val="both"/>
      </w:pPr>
      <w:r>
        <w:lastRenderedPageBreak/>
        <w:t>One of the strengths of t</w:t>
      </w:r>
      <w:r w:rsidR="00EB7DD2">
        <w:t>he model’s Bayesian estimation process provides measures of uncertainty around the estimated returns, and this allows the user to decide for themselves the degree to which they can rely on the</w:t>
      </w:r>
      <w:r>
        <w:t>se</w:t>
      </w:r>
      <w:r w:rsidR="00EB7DD2">
        <w:t xml:space="preserve"> estimated</w:t>
      </w:r>
      <w:r>
        <w:t>, time-weighed</w:t>
      </w:r>
      <w:r w:rsidR="00EB7DD2">
        <w:t xml:space="preserve"> returns.</w:t>
      </w:r>
    </w:p>
    <w:p w14:paraId="5E50A6E7" w14:textId="77777777" w:rsidR="00FD5D09" w:rsidRDefault="00FD5D09" w:rsidP="006A6BDB">
      <w:pPr>
        <w:jc w:val="both"/>
      </w:pPr>
    </w:p>
    <w:p w14:paraId="78CFF6B2" w14:textId="6944C518" w:rsidR="00FD5D09" w:rsidRDefault="00FD5D09" w:rsidP="004F4307">
      <w:pPr>
        <w:pStyle w:val="Heading1"/>
      </w:pPr>
      <w:r>
        <w:t>The Model</w:t>
      </w:r>
    </w:p>
    <w:p w14:paraId="4FB6E032" w14:textId="540AF40D" w:rsidR="00FD5D09" w:rsidRPr="00FD5D09" w:rsidRDefault="00FD5D09" w:rsidP="006A6BDB">
      <w:pPr>
        <w:jc w:val="both"/>
      </w:pPr>
      <w:r>
        <w:t xml:space="preserve">At its </w:t>
      </w:r>
      <w:r w:rsidR="00C12997">
        <w:t>core,</w:t>
      </w:r>
      <w:r>
        <w:t xml:space="preserve"> the model </w:t>
      </w:r>
      <w:r w:rsidR="00C12997">
        <w:t xml:space="preserve">predicts fund returns from factor returns. </w:t>
      </w:r>
      <w:r w:rsidR="00F642CE">
        <w:t xml:space="preserve">The </w:t>
      </w:r>
      <w:r w:rsidR="006E4B31">
        <w:t>essence of the</w:t>
      </w:r>
      <w:r w:rsidR="004848F5">
        <w:t xml:space="preserve"> </w:t>
      </w:r>
      <w:r w:rsidR="00C12997">
        <w:t xml:space="preserve">GMAM 3 </w:t>
      </w:r>
      <w:r w:rsidR="004848F5">
        <w:t>returns-generating process can be modeled as</w:t>
      </w:r>
      <w:r w:rsidR="00C12997">
        <w:t>:</w:t>
      </w:r>
    </w:p>
    <w:p w14:paraId="4EFAE6BC" w14:textId="77777777" w:rsidR="00445E14" w:rsidRPr="004B40B3" w:rsidRDefault="00445E14" w:rsidP="006A6BDB">
      <w:pPr>
        <w:jc w:val="both"/>
      </w:pPr>
    </w:p>
    <w:p w14:paraId="13826041" w14:textId="3755A562" w:rsidR="00C12997" w:rsidRPr="00944E5C" w:rsidRDefault="00000000" w:rsidP="006A6BDB">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i,t</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 xml:space="preserve"> </m:t>
          </m:r>
        </m:oMath>
      </m:oMathPara>
    </w:p>
    <w:p w14:paraId="0BB36BBB" w14:textId="77777777" w:rsidR="00C12997" w:rsidRPr="00712122" w:rsidRDefault="00C12997" w:rsidP="006A6BDB">
      <w:pPr>
        <w:jc w:val="both"/>
      </w:pPr>
    </w:p>
    <w:p w14:paraId="004C2E6A" w14:textId="1B5D19AF" w:rsidR="007E067B" w:rsidRDefault="00C12997" w:rsidP="006A6BDB">
      <w:pPr>
        <w:jc w:val="both"/>
      </w:pPr>
      <w:r w:rsidRPr="00712122">
        <w:t xml:space="preserve">where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oMath>
      <w:r>
        <w:t xml:space="preserve"> </w:t>
      </w:r>
      <w:r w:rsidRPr="00712122">
        <w:t xml:space="preserve">is a length </w:t>
      </w:r>
      <m:oMath>
        <m:r>
          <w:rPr>
            <w:rFonts w:ascii="Cambria Math" w:hAnsi="Cambria Math"/>
          </w:rPr>
          <m:t>K</m:t>
        </m:r>
      </m:oMath>
      <w:r w:rsidRPr="00712122">
        <w:t xml:space="preserve"> vector of factor returns including an intercept dummy, </w:t>
      </w:r>
      <m:oMath>
        <m:sSub>
          <m:sSubPr>
            <m:ctrlPr>
              <w:rPr>
                <w:rFonts w:ascii="Cambria Math" w:hAnsi="Cambria Math"/>
                <w:i/>
              </w:rPr>
            </m:ctrlPr>
          </m:sSubPr>
          <m:e>
            <m:r>
              <w:rPr>
                <w:rFonts w:ascii="Cambria Math" w:hAnsi="Cambria Math"/>
              </w:rPr>
              <m:t>β</m:t>
            </m:r>
          </m:e>
          <m:sub>
            <m:r>
              <w:rPr>
                <w:rFonts w:ascii="Cambria Math" w:hAnsi="Cambria Math"/>
              </w:rPr>
              <m:t>i,t</m:t>
            </m:r>
          </m:sub>
        </m:sSub>
      </m:oMath>
      <w:r w:rsidRPr="00712122">
        <w:t xml:space="preserve"> is </w:t>
      </w:r>
      <w:r w:rsidR="005D20CD">
        <w:t xml:space="preserve">a </w:t>
      </w:r>
      <m:oMath>
        <m:r>
          <w:rPr>
            <w:rFonts w:ascii="Cambria Math" w:hAnsi="Cambria Math"/>
          </w:rPr>
          <m:t>K×1</m:t>
        </m:r>
      </m:oMath>
      <w:r w:rsidR="005D20CD">
        <w:rPr>
          <w:rFonts w:eastAsiaTheme="minorEastAsia"/>
        </w:rPr>
        <w:t xml:space="preserve"> matrix of </w:t>
      </w:r>
      <w:r w:rsidRPr="00712122">
        <w:t>exposure</w:t>
      </w:r>
      <w:r w:rsidR="005D20CD">
        <w:t>s</w:t>
      </w:r>
      <w:r w:rsidRPr="00712122">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w:t>
      </w:r>
      <w:r w:rsidRPr="00712122">
        <w:t xml:space="preserve">is the predicted return,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f</m:t>
            </m:r>
          </m:sup>
        </m:sSubSup>
      </m:oMath>
      <w:r w:rsidRPr="00712122">
        <w:t>is the risk-free rate of return, and</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Pr="00712122">
        <w:t xml:space="preserve"> is the error.</w:t>
      </w:r>
      <w:r w:rsidR="00E55A36">
        <w:t xml:space="preserve"> </w:t>
      </w:r>
      <w:r w:rsidR="001436C9">
        <w:t>The subscripts here are for an individual fund (</w:t>
      </w:r>
      <m:oMath>
        <m:r>
          <w:rPr>
            <w:rFonts w:ascii="Cambria Math" w:hAnsi="Cambria Math"/>
          </w:rPr>
          <m:t>i</m:t>
        </m:r>
      </m:oMath>
      <w:r w:rsidR="001436C9">
        <w:rPr>
          <w:rFonts w:eastAsiaTheme="minorEastAsia"/>
        </w:rPr>
        <w:t xml:space="preserve">) for a given </w:t>
      </w:r>
      <w:r w:rsidR="00F73622">
        <w:rPr>
          <w:rFonts w:eastAsiaTheme="minorEastAsia"/>
        </w:rPr>
        <w:t>period</w:t>
      </w:r>
      <w:r w:rsidR="001436C9">
        <w:rPr>
          <w:rFonts w:eastAsiaTheme="minorEastAsia"/>
        </w:rPr>
        <w:t xml:space="preserve"> (</w:t>
      </w:r>
      <m:oMath>
        <m:r>
          <w:rPr>
            <w:rFonts w:ascii="Cambria Math" w:eastAsiaTheme="minorEastAsia" w:hAnsi="Cambria Math"/>
          </w:rPr>
          <m:t>t</m:t>
        </m:r>
      </m:oMath>
      <w:r w:rsidR="001436C9">
        <w:rPr>
          <w:rFonts w:eastAsiaTheme="minorEastAsia"/>
        </w:rPr>
        <w:t xml:space="preserve">). </w:t>
      </w:r>
      <w:r w:rsidR="00F73622">
        <w:rPr>
          <w:rFonts w:eastAsiaTheme="minorEastAsia"/>
        </w:rPr>
        <w:t xml:space="preserve">Henceforth, assume that all measures are for an individual fund, and so the </w:t>
      </w:r>
      <m:oMath>
        <m:r>
          <w:rPr>
            <w:rFonts w:ascii="Cambria Math" w:eastAsiaTheme="minorEastAsia" w:hAnsi="Cambria Math"/>
          </w:rPr>
          <m:t>i</m:t>
        </m:r>
      </m:oMath>
      <w:r w:rsidR="00F73622">
        <w:rPr>
          <w:rFonts w:eastAsiaTheme="minorEastAsia"/>
        </w:rPr>
        <w:t>-subscript will be dropped.</w:t>
      </w:r>
    </w:p>
    <w:p w14:paraId="7ABC185C" w14:textId="77777777" w:rsidR="007E067B" w:rsidRDefault="007E067B" w:rsidP="006A6BDB">
      <w:pPr>
        <w:jc w:val="both"/>
      </w:pPr>
    </w:p>
    <w:p w14:paraId="37D5287D" w14:textId="705BBC4D" w:rsidR="000318D6" w:rsidRDefault="007E067B" w:rsidP="006A6BDB">
      <w:pPr>
        <w:jc w:val="both"/>
      </w:pPr>
      <w:r>
        <w:t>We use a superset of thirteen factors</w:t>
      </w:r>
      <w:r w:rsidR="000318D6">
        <w:t xml:space="preserve">: Alt Commodities, Alt Hedge Fund Crowding, Alt Oil, Alt Trend, Emerging Markets, Equity Market, Equity Momentum, Equity Quality, Equity SmallCap, Equity Value, Fixed Credit, Fixed Duration, and US Dollar. </w:t>
      </w:r>
      <w:r w:rsidR="005252A6">
        <w:t>Detailed information about factor construction can be found in the Appendix.</w:t>
      </w:r>
    </w:p>
    <w:p w14:paraId="7CE66653" w14:textId="77777777" w:rsidR="007E067B" w:rsidRDefault="007E067B" w:rsidP="006A6BDB">
      <w:pPr>
        <w:jc w:val="both"/>
      </w:pPr>
    </w:p>
    <w:p w14:paraId="751B4259" w14:textId="0BF208BB" w:rsidR="00F03AB1" w:rsidRDefault="005252A6" w:rsidP="006A6BDB">
      <w:pPr>
        <w:jc w:val="both"/>
      </w:pPr>
      <w:r>
        <w:t xml:space="preserve">While this may seem like a </w:t>
      </w:r>
      <w:r w:rsidR="003F07D2">
        <w:t>conventional way to estimate returns, t</w:t>
      </w:r>
      <w:r w:rsidR="00F03AB1">
        <w:t xml:space="preserve">here are </w:t>
      </w:r>
      <w:r w:rsidR="002A297F">
        <w:t>two important</w:t>
      </w:r>
      <w:r w:rsidR="00F03AB1">
        <w:t xml:space="preserve"> things to be noted about the equation above:</w:t>
      </w:r>
    </w:p>
    <w:p w14:paraId="642D27CD" w14:textId="7F755939" w:rsidR="00F03AB1" w:rsidRPr="00B5034A" w:rsidRDefault="00000000" w:rsidP="00F03AB1">
      <w:pPr>
        <w:pStyle w:val="ListParagraph"/>
        <w:numPr>
          <w:ilvl w:val="0"/>
          <w:numId w:val="6"/>
        </w:numPr>
        <w:jc w:val="both"/>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5034A">
        <w:rPr>
          <w:rFonts w:eastAsiaTheme="minorEastAsia"/>
        </w:rPr>
        <w:t xml:space="preserve"> </w:t>
      </w:r>
      <w:r w:rsidR="00BB5321" w:rsidRPr="00BB5321">
        <w:rPr>
          <w:rFonts w:eastAsiaTheme="minorEastAsia"/>
        </w:rPr>
        <w:t>is NOT the final return provided to reported to the investor.</w:t>
      </w:r>
      <w:r w:rsidR="00BB5321">
        <w:rPr>
          <w:rFonts w:eastAsiaTheme="minorEastAsia"/>
        </w:rPr>
        <w:t xml:space="preserve"> </w:t>
      </w:r>
      <w:r w:rsidR="00BB5321" w:rsidRPr="00BB5321">
        <w:rPr>
          <w:rFonts w:eastAsiaTheme="minorEastAsia"/>
        </w:rPr>
        <w:t xml:space="preserve">Alternative investment re- ported returns often serially correlated and lagged. The quantity </w:t>
      </w:r>
      <w:proofErr w:type="spellStart"/>
      <w:r w:rsidR="00BB5321" w:rsidRPr="00BB5321">
        <w:rPr>
          <w:rFonts w:eastAsiaTheme="minorEastAsia"/>
        </w:rPr>
        <w:t>xt</w:t>
      </w:r>
      <w:proofErr w:type="spellEnd"/>
      <w:r w:rsidR="00BB5321" w:rsidRPr="00BB5321">
        <w:rPr>
          <w:rFonts w:eastAsiaTheme="minorEastAsia"/>
        </w:rPr>
        <w:t xml:space="preserve"> represents the unobservable true economic returns of the fund. The model simultaneously estimates these returns as part of the estimation procedure. To mimic the underlying characteristics of the reported returns to a greater degree5, we model the data generating process as re-smoothing of the economic returns before they are reported to investors. Section 2.1 below discusses the economic rationale and mathematical process in greater detail.</w:t>
      </w:r>
      <w:r w:rsidR="00BB5321">
        <w:rPr>
          <w:rFonts w:eastAsiaTheme="minorEastAsia"/>
        </w:rPr>
        <w:t xml:space="preserve"> </w:t>
      </w:r>
      <w:r w:rsidR="007E067B">
        <w:rPr>
          <w:rFonts w:eastAsiaTheme="minorEastAsia"/>
        </w:rPr>
        <w:t xml:space="preserve">The Appendix has </w:t>
      </w:r>
      <w:r w:rsidR="00BB5321">
        <w:rPr>
          <w:rFonts w:eastAsiaTheme="minorEastAsia"/>
        </w:rPr>
        <w:t xml:space="preserve">additional </w:t>
      </w:r>
      <w:r w:rsidR="007E067B">
        <w:rPr>
          <w:rFonts w:eastAsiaTheme="minorEastAsia"/>
        </w:rPr>
        <w:t>details.</w:t>
      </w:r>
    </w:p>
    <w:p w14:paraId="67E29083" w14:textId="4D38ABAD" w:rsidR="00B5034A" w:rsidRDefault="00BB5321" w:rsidP="00F03AB1">
      <w:pPr>
        <w:pStyle w:val="ListParagraph"/>
        <w:numPr>
          <w:ilvl w:val="0"/>
          <w:numId w:val="6"/>
        </w:numPr>
        <w:jc w:val="both"/>
      </w:pPr>
      <w:r w:rsidRPr="00BB5321">
        <w:t xml:space="preserve">Rather than include all the return factors in the regression, GMAM 3 uses the stochastic search variable selection (SSVS) technique (George and McCulloch [1993]) to account for the likelihood that an exposure is economically meaningful. SSVS is a type of Bayesian linear regression which is useful when the number of predictors is larger than the number of observations – a problem frequently encountered in alternative investment data. See </w:t>
      </w:r>
      <w:r>
        <w:t>below</w:t>
      </w:r>
      <w:r w:rsidRPr="00BB5321">
        <w:t>, and the Appendix for details.</w:t>
      </w:r>
    </w:p>
    <w:p w14:paraId="2DD95B09" w14:textId="77777777" w:rsidR="00F03AB1" w:rsidRDefault="00F03AB1" w:rsidP="006A6BDB">
      <w:pPr>
        <w:jc w:val="both"/>
      </w:pPr>
    </w:p>
    <w:p w14:paraId="5F5FCD8E" w14:textId="121EF473" w:rsidR="00BF0835" w:rsidRDefault="00BF0835" w:rsidP="006A6BDB">
      <w:pPr>
        <w:jc w:val="both"/>
        <w:rPr>
          <w:rFonts w:eastAsiaTheme="minorEastAsia"/>
        </w:rPr>
      </w:pPr>
      <w:r>
        <w:t xml:space="preserve">GMAM 3 uses Markov Chain Monte Carlo (MCMC) to compute estimates of </w:t>
      </w:r>
      <m:oMath>
        <m:r>
          <w:rPr>
            <w:rFonts w:ascii="Cambria Math" w:hAnsi="Cambria Math"/>
          </w:rPr>
          <m:t>β</m:t>
        </m:r>
      </m:oMath>
      <w:r w:rsidR="007A2FB0">
        <w:rPr>
          <w:rFonts w:eastAsiaTheme="minorEastAsia"/>
        </w:rPr>
        <w:t xml:space="preserve"> as well as the </w:t>
      </w:r>
      <w:r w:rsidR="007A2FB0" w:rsidRPr="00BB5321">
        <w:rPr>
          <w:rFonts w:eastAsiaTheme="minorEastAsia"/>
        </w:rPr>
        <w:t>distributional</w:t>
      </w:r>
      <w:r w:rsidR="007A2FB0">
        <w:rPr>
          <w:rFonts w:eastAsiaTheme="minorEastAsia"/>
        </w:rPr>
        <w:t xml:space="preserve"> parameters of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7A2FB0">
        <w:rPr>
          <w:rFonts w:eastAsiaTheme="minorEastAsia"/>
        </w:rPr>
        <w:t>. The final product displays only point estimates – which are calculated as averages across draw</w:t>
      </w:r>
      <w:r w:rsidR="00B2330E">
        <w:rPr>
          <w:rFonts w:eastAsiaTheme="minorEastAsia"/>
        </w:rPr>
        <w:t>s</w:t>
      </w:r>
      <w:r w:rsidR="007A2FB0">
        <w:rPr>
          <w:rFonts w:eastAsiaTheme="minorEastAsia"/>
        </w:rPr>
        <w:t xml:space="preserve"> in the MCMC process. </w:t>
      </w:r>
      <w:r w:rsidR="00D504C3">
        <w:rPr>
          <w:rFonts w:eastAsiaTheme="minorEastAsia"/>
        </w:rPr>
        <w:t>F</w:t>
      </w:r>
      <w:r w:rsidR="00672BA1">
        <w:rPr>
          <w:rFonts w:eastAsiaTheme="minorEastAsia"/>
        </w:rPr>
        <w:t>or MCMC</w:t>
      </w:r>
      <w:r w:rsidR="00D504C3">
        <w:rPr>
          <w:rFonts w:eastAsiaTheme="minorEastAsia"/>
        </w:rPr>
        <w:t>,</w:t>
      </w:r>
      <w:r w:rsidR="00672BA1">
        <w:rPr>
          <w:rFonts w:eastAsiaTheme="minorEastAsia"/>
        </w:rPr>
        <w:t xml:space="preserve"> each draw is a </w:t>
      </w:r>
      <w:r w:rsidR="00672BA1" w:rsidRPr="00BB5321">
        <w:rPr>
          <w:rFonts w:eastAsiaTheme="minorEastAsia"/>
        </w:rPr>
        <w:t>distribution</w:t>
      </w:r>
      <w:r w:rsidR="00672BA1">
        <w:rPr>
          <w:rFonts w:eastAsiaTheme="minorEastAsia"/>
        </w:rPr>
        <w:t xml:space="preserve"> and not a point estimate</w:t>
      </w:r>
      <w:r w:rsidR="000E5580">
        <w:rPr>
          <w:rFonts w:eastAsiaTheme="minorEastAsia"/>
        </w:rPr>
        <w:t xml:space="preserve"> (more details on this in the Appendix)</w:t>
      </w:r>
      <w:r w:rsidR="00672BA1">
        <w:rPr>
          <w:rFonts w:eastAsiaTheme="minorEastAsia"/>
        </w:rPr>
        <w:t>. So,</w:t>
      </w:r>
      <w:r w:rsidR="007A2FB0">
        <w:rPr>
          <w:rFonts w:eastAsiaTheme="minorEastAsia"/>
        </w:rPr>
        <w:t xml:space="preserve"> the expected, predicted, de-smoothed returns estimated from </w:t>
      </w:r>
      <m:oMath>
        <m:r>
          <w:rPr>
            <w:rFonts w:ascii="Cambria Math" w:eastAsiaTheme="minorEastAsia" w:hAnsi="Cambria Math"/>
          </w:rPr>
          <m:t>N</m:t>
        </m:r>
      </m:oMath>
      <w:r w:rsidR="007A2FB0">
        <w:rPr>
          <w:rFonts w:eastAsiaTheme="minorEastAsia"/>
        </w:rPr>
        <w:t xml:space="preserve"> simulations are given by:</w:t>
      </w:r>
    </w:p>
    <w:p w14:paraId="60D1A156" w14:textId="77777777" w:rsidR="007A2FB0" w:rsidRDefault="007A2FB0" w:rsidP="006A6BDB">
      <w:pPr>
        <w:jc w:val="both"/>
        <w:rPr>
          <w:rFonts w:eastAsiaTheme="minorEastAsia"/>
        </w:rPr>
      </w:pPr>
    </w:p>
    <w:p w14:paraId="2E5ED89E" w14:textId="08078F23" w:rsidR="007A2FB0" w:rsidRDefault="00000000" w:rsidP="006A6BDB">
      <w:pPr>
        <w:jc w:val="both"/>
      </w:pPr>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n,t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n∈1:N</m:t>
              </m:r>
            </m:sub>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n,t</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n,t</m:t>
                      </m:r>
                    </m:sub>
                  </m:sSub>
                </m:e>
              </m:d>
            </m:e>
          </m:nary>
        </m:oMath>
      </m:oMathPara>
    </w:p>
    <w:p w14:paraId="4D47E9F7" w14:textId="77777777" w:rsidR="007A2FB0" w:rsidRDefault="007A2FB0" w:rsidP="006A6BDB">
      <w:pPr>
        <w:jc w:val="both"/>
        <w:rPr>
          <w:rFonts w:eastAsiaTheme="minorEastAsia"/>
        </w:rPr>
      </w:pPr>
    </w:p>
    <w:p w14:paraId="178E3FAC" w14:textId="081BFAA9" w:rsidR="00F03AB1" w:rsidRDefault="007A2FB0" w:rsidP="006A6BDB">
      <w:pPr>
        <w:jc w:val="both"/>
        <w:rPr>
          <w:rFonts w:eastAsiaTheme="minorEastAsia"/>
        </w:rPr>
      </w:pPr>
      <w:r>
        <w:rPr>
          <w:rFonts w:eastAsiaTheme="minorEastAsia"/>
        </w:rPr>
        <w:t xml:space="preserve">Since this is the result of a hierarchical Bayesian regression, </w:t>
      </w:r>
      <w:r w:rsidR="004B0BF3">
        <w:rPr>
          <w:rFonts w:eastAsiaTheme="minorEastAsia"/>
        </w:rPr>
        <w:t xml:space="preserve">the </w:t>
      </w:r>
      <w:r w:rsidR="00BB5321">
        <w:rPr>
          <w:rFonts w:eastAsiaTheme="minorEastAsia"/>
        </w:rPr>
        <w:t xml:space="preserve">true conditional distribution of the error terms </w:t>
      </w:r>
      <w:r w:rsidR="00BB5321" w:rsidRPr="00BB5321">
        <w:rPr>
          <w:rFonts w:eastAsiaTheme="minorEastAsia"/>
        </w:rPr>
        <w:t>can be characterized to arbitrary accuracy in a numerical sense</w:t>
      </w:r>
      <w:r>
        <w:rPr>
          <w:rFonts w:eastAsiaTheme="minorEastAsia"/>
        </w:rPr>
        <w:t>:</w:t>
      </w:r>
    </w:p>
    <w:p w14:paraId="31AEDE35" w14:textId="77777777" w:rsidR="007A2FB0" w:rsidRDefault="007A2FB0" w:rsidP="006A6BDB">
      <w:pPr>
        <w:jc w:val="both"/>
        <w:rPr>
          <w:rFonts w:eastAsiaTheme="minorEastAsia"/>
        </w:rPr>
      </w:pPr>
    </w:p>
    <w:p w14:paraId="133DA440" w14:textId="1829ED14" w:rsidR="007A2FB0" w:rsidRDefault="00000000" w:rsidP="006A6BD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n,t</m:t>
              </m:r>
            </m:sub>
          </m:sSub>
          <m:r>
            <w:rPr>
              <w:rFonts w:ascii="Cambria Math" w:eastAsiaTheme="minorEastAsia" w:hAnsi="Cambria Math"/>
            </w:rPr>
            <m:t xml:space="preserve"> ~Tdist(0, </m:t>
          </m:r>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n</m:t>
              </m:r>
            </m:sub>
          </m:sSub>
          <m:r>
            <w:rPr>
              <w:rFonts w:ascii="Cambria Math" w:eastAsiaTheme="minorEastAsia" w:hAnsi="Cambria Math"/>
            </w:rPr>
            <m:t>)</m:t>
          </m:r>
        </m:oMath>
      </m:oMathPara>
    </w:p>
    <w:p w14:paraId="7089284B" w14:textId="77777777" w:rsidR="007A2FB0" w:rsidRPr="007A2FB0" w:rsidRDefault="007A2FB0" w:rsidP="007A2FB0">
      <w:pPr>
        <w:jc w:val="both"/>
      </w:pPr>
    </w:p>
    <w:p w14:paraId="2D9447E0" w14:textId="7BCC2E10" w:rsidR="00C12997" w:rsidRDefault="00F03AB1" w:rsidP="006A6BDB">
      <w:pPr>
        <w:pStyle w:val="Heading2"/>
        <w:jc w:val="both"/>
      </w:pPr>
      <w:r>
        <w:t>Re-Smoothing</w:t>
      </w:r>
    </w:p>
    <w:p w14:paraId="70C58937" w14:textId="77777777" w:rsidR="00FE597E" w:rsidRDefault="00FE597E" w:rsidP="00FE597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E597E" w14:paraId="710541C8" w14:textId="77777777" w:rsidTr="00FE597E">
        <w:tc>
          <w:tcPr>
            <w:tcW w:w="9350" w:type="dxa"/>
            <w:vAlign w:val="center"/>
          </w:tcPr>
          <w:p w14:paraId="0BB31A51" w14:textId="36F32212" w:rsidR="00FE597E" w:rsidRDefault="00FE597E" w:rsidP="00FE597E">
            <w:pPr>
              <w:jc w:val="center"/>
            </w:pPr>
            <w:r>
              <w:rPr>
                <w:noProof/>
              </w:rPr>
              <w:drawing>
                <wp:inline distT="0" distB="0" distL="0" distR="0" wp14:anchorId="286EDCB7" wp14:editId="4D6B4031">
                  <wp:extent cx="5795335" cy="3892657"/>
                  <wp:effectExtent l="0" t="0" r="0" b="0"/>
                  <wp:docPr id="205121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10580" name="Picture 2051210580"/>
                          <pic:cNvPicPr/>
                        </pic:nvPicPr>
                        <pic:blipFill>
                          <a:blip r:embed="rId8">
                            <a:extLst>
                              <a:ext uri="{28A0092B-C50C-407E-A947-70E740481C1C}">
                                <a14:useLocalDpi xmlns:a14="http://schemas.microsoft.com/office/drawing/2010/main" val="0"/>
                              </a:ext>
                            </a:extLst>
                          </a:blip>
                          <a:stretch>
                            <a:fillRect/>
                          </a:stretch>
                        </pic:blipFill>
                        <pic:spPr>
                          <a:xfrm>
                            <a:off x="0" y="0"/>
                            <a:ext cx="5802875" cy="3897722"/>
                          </a:xfrm>
                          <a:prstGeom prst="rect">
                            <a:avLst/>
                          </a:prstGeom>
                        </pic:spPr>
                      </pic:pic>
                    </a:graphicData>
                  </a:graphic>
                </wp:inline>
              </w:drawing>
            </w:r>
          </w:p>
        </w:tc>
      </w:tr>
      <w:tr w:rsidR="00FE597E" w14:paraId="750509B4" w14:textId="77777777" w:rsidTr="00FE597E">
        <w:tc>
          <w:tcPr>
            <w:tcW w:w="9350" w:type="dxa"/>
          </w:tcPr>
          <w:p w14:paraId="71B983E0" w14:textId="2F3BD077" w:rsidR="00FE597E" w:rsidRPr="00FE597E" w:rsidRDefault="00670982" w:rsidP="00FE597E">
            <w:pPr>
              <w:rPr>
                <w:rFonts w:asciiTheme="majorHAnsi" w:hAnsiTheme="majorHAnsi" w:cstheme="majorHAnsi"/>
                <w:i/>
                <w:iCs/>
              </w:rPr>
            </w:pPr>
            <w:r w:rsidRPr="00670982">
              <w:rPr>
                <w:rFonts w:asciiTheme="majorHAnsi" w:eastAsiaTheme="minorEastAsia" w:hAnsiTheme="majorHAnsi" w:cstheme="majorHAnsi"/>
                <w:i/>
                <w:iCs/>
                <w:color w:val="2F5496" w:themeColor="accent1" w:themeShade="BF"/>
              </w:rPr>
              <w:t xml:space="preserve">Figure </w:t>
            </w:r>
            <w:r>
              <w:rPr>
                <w:rFonts w:asciiTheme="majorHAnsi" w:eastAsiaTheme="minorEastAsia" w:hAnsiTheme="majorHAnsi" w:cstheme="majorHAnsi"/>
                <w:i/>
                <w:iCs/>
                <w:color w:val="2F5496" w:themeColor="accent1" w:themeShade="BF"/>
              </w:rPr>
              <w:t>2</w:t>
            </w:r>
            <w:r w:rsidRPr="00670982">
              <w:rPr>
                <w:rFonts w:asciiTheme="majorHAnsi" w:eastAsiaTheme="minorEastAsia" w:hAnsiTheme="majorHAnsi" w:cstheme="majorHAnsi"/>
                <w:i/>
                <w:iCs/>
                <w:color w:val="2F5496" w:themeColor="accent1" w:themeShade="BF"/>
              </w:rPr>
              <w:t xml:space="preserve">: </w:t>
            </w:r>
            <w:r w:rsidR="00FE597E" w:rsidRPr="00FE597E">
              <w:rPr>
                <w:rFonts w:asciiTheme="majorHAnsi" w:hAnsiTheme="majorHAnsi" w:cstheme="majorHAnsi"/>
                <w:i/>
                <w:iCs/>
                <w:color w:val="2F5496" w:themeColor="accent1" w:themeShade="BF"/>
              </w:rPr>
              <w:t>An example of a fund’s de-smoothed (</w:t>
            </w:r>
            <m:oMath>
              <m:r>
                <w:rPr>
                  <w:rFonts w:ascii="Cambria Math" w:hAnsi="Cambria Math" w:cstheme="majorHAnsi"/>
                  <w:color w:val="2F5496" w:themeColor="accent1" w:themeShade="BF"/>
                </w:rPr>
                <m:t>x</m:t>
              </m:r>
            </m:oMath>
            <w:r w:rsidR="00FE597E" w:rsidRPr="00FE597E">
              <w:rPr>
                <w:rFonts w:asciiTheme="majorHAnsi" w:hAnsiTheme="majorHAnsi" w:cstheme="majorHAnsi"/>
                <w:i/>
                <w:iCs/>
                <w:color w:val="2F5496" w:themeColor="accent1" w:themeShade="BF"/>
              </w:rPr>
              <w:t>), and re-smoothed (</w:t>
            </w:r>
            <m:oMath>
              <m:r>
                <w:rPr>
                  <w:rFonts w:ascii="Cambria Math" w:hAnsi="Cambria Math" w:cstheme="majorHAnsi"/>
                  <w:color w:val="2F5496" w:themeColor="accent1" w:themeShade="BF"/>
                </w:rPr>
                <m:t>y</m:t>
              </m:r>
            </m:oMath>
            <w:r w:rsidR="00FE597E" w:rsidRPr="00FE597E">
              <w:rPr>
                <w:rFonts w:asciiTheme="majorHAnsi" w:hAnsiTheme="majorHAnsi" w:cstheme="majorHAnsi"/>
                <w:i/>
                <w:iCs/>
                <w:color w:val="2F5496" w:themeColor="accent1" w:themeShade="BF"/>
              </w:rPr>
              <w:t>) returns as generated by GMAM 3. The reported re-smoothed returns are quarterly, and the de-smoothed returns are monthly. Shown here is the cumulative return of $1 invested in each of the set of returns.</w:t>
            </w:r>
          </w:p>
        </w:tc>
      </w:tr>
    </w:tbl>
    <w:p w14:paraId="30963B53" w14:textId="77777777" w:rsidR="00FE597E" w:rsidRPr="00FE597E" w:rsidRDefault="00FE597E" w:rsidP="00FE597E"/>
    <w:p w14:paraId="0DA6D251" w14:textId="5D9E8A9C" w:rsidR="00B865E7" w:rsidRDefault="00B865E7" w:rsidP="006A6BDB">
      <w:pPr>
        <w:jc w:val="both"/>
      </w:pPr>
      <w:r>
        <w:t xml:space="preserve">It is well-known in the finance practitioner literature that </w:t>
      </w:r>
      <w:r w:rsidR="00F3262D">
        <w:t xml:space="preserve">returns from </w:t>
      </w:r>
      <w:r>
        <w:t>alternative investment</w:t>
      </w:r>
      <w:r w:rsidR="00F3262D">
        <w:t xml:space="preserve"> such as </w:t>
      </w:r>
      <w:r w:rsidR="006A6BDB">
        <w:t>PE</w:t>
      </w:r>
      <w:r w:rsidR="00F3262D">
        <w:t xml:space="preserve">, hedge funds, or real estate funds, </w:t>
      </w:r>
      <w:r>
        <w:t>are highly serially correlated</w:t>
      </w:r>
      <w:r w:rsidR="00FE597E">
        <w:t xml:space="preserve"> </w:t>
      </w:r>
      <w:r w:rsidR="00FE597E" w:rsidRPr="00FE597E">
        <w:t xml:space="preserve">(see, for example, </w:t>
      </w:r>
      <w:proofErr w:type="spellStart"/>
      <w:r w:rsidR="00FE597E" w:rsidRPr="00FE597E">
        <w:t>Getmansky</w:t>
      </w:r>
      <w:proofErr w:type="spellEnd"/>
      <w:r w:rsidR="00FE597E" w:rsidRPr="00FE597E">
        <w:t xml:space="preserve"> et al. [2004]). In other words, past values correlate with present values. The serial correlation occurs because of the lack of liquidity in the fund itself or some of the assets held within it. For instance, these illiquid assets may not trade frequently, leading to subjective and other- wise noisy valuations. The effect is such that when funds contain illiquid assets, their reported returns may seem steadier than their actual economic returns (returns that consider all </w:t>
      </w:r>
      <w:r w:rsidR="00FE597E" w:rsidRPr="00FE597E">
        <w:lastRenderedPageBreak/>
        <w:t>available market information about those securities). The positive serial return correlatio</w:t>
      </w:r>
      <w:r w:rsidR="00FE597E">
        <w:t>n</w:t>
      </w:r>
      <w:r w:rsidR="00FE597E" w:rsidRPr="00FE597E">
        <w:t xml:space="preserve"> commonly leads to a downward bias in estimated return variance.</w:t>
      </w:r>
    </w:p>
    <w:p w14:paraId="7B9D7553" w14:textId="77777777" w:rsidR="007860C0" w:rsidRDefault="007860C0" w:rsidP="006A6BDB">
      <w:pPr>
        <w:jc w:val="both"/>
      </w:pPr>
    </w:p>
    <w:p w14:paraId="608D4AA7" w14:textId="1D613A43" w:rsidR="00AA5300" w:rsidRDefault="00FE597E" w:rsidP="00AA5300">
      <w:pPr>
        <w:jc w:val="both"/>
      </w:pPr>
      <w:r w:rsidRPr="00FE597E">
        <w:t>The effect extends to the reported returns of real estate funds</w:t>
      </w:r>
      <w:r>
        <w:t xml:space="preserve"> </w:t>
      </w:r>
      <w:r w:rsidRPr="00FE597E">
        <w:t>(</w:t>
      </w:r>
      <w:proofErr w:type="spellStart"/>
      <w:r w:rsidRPr="00FE597E">
        <w:t>Geltner</w:t>
      </w:r>
      <w:proofErr w:type="spellEnd"/>
      <w:r w:rsidRPr="00FE597E">
        <w:t xml:space="preserve"> [1993]). Investors typically demand monthly or quarterly reporting. But valuations of many properties included in the funds are effectively updated only annually. Each quarter some properties have their valuations updated, and others do not. </w:t>
      </w:r>
      <w:r w:rsidR="00AA5300">
        <w:t xml:space="preserve"> </w:t>
      </w:r>
      <w:r>
        <w:t xml:space="preserve">For some </w:t>
      </w:r>
      <w:r w:rsidR="00AA5300" w:rsidRPr="00AA5300">
        <w:t>properties</w:t>
      </w:r>
      <w:r>
        <w:t xml:space="preserve">, the lack of </w:t>
      </w:r>
      <w:r w:rsidR="00AA5300" w:rsidRPr="00AA5300">
        <w:t xml:space="preserve">a new valuation within a quarter </w:t>
      </w:r>
      <w:r>
        <w:t xml:space="preserve">might result in a </w:t>
      </w:r>
      <w:r w:rsidR="00AA5300" w:rsidRPr="00AA5300">
        <w:t>carry</w:t>
      </w:r>
      <w:r>
        <w:t>-</w:t>
      </w:r>
      <w:r w:rsidR="00AA5300" w:rsidRPr="00AA5300">
        <w:t xml:space="preserve">over </w:t>
      </w:r>
      <w:r>
        <w:t xml:space="preserve">of </w:t>
      </w:r>
      <w:r w:rsidR="00AA5300" w:rsidRPr="00AA5300">
        <w:t>their last known value into the current quarter.</w:t>
      </w:r>
      <w:r w:rsidR="00AA5300">
        <w:t xml:space="preserve"> </w:t>
      </w:r>
    </w:p>
    <w:p w14:paraId="17929C46" w14:textId="77777777" w:rsidR="008A4DF0" w:rsidRDefault="008A4DF0" w:rsidP="00AA5300">
      <w:pPr>
        <w:jc w:val="both"/>
      </w:pPr>
    </w:p>
    <w:p w14:paraId="10D5C2E6" w14:textId="4F3E5720" w:rsidR="008A4DF0" w:rsidRPr="008A4DF0" w:rsidRDefault="00FE597E" w:rsidP="008A4DF0">
      <w:pPr>
        <w:jc w:val="both"/>
      </w:pPr>
      <w:r w:rsidRPr="00FE597E">
        <w:t>Finally, Financial Accounting Standard 157, released by the FASB in 2006 during the run-up to the financial crisis, and now called Accounting Standards Code Topic 820, requires companies to mark their assets to market. The rule was a radical change from historic cost accounting and required general partners to periodically mark the assets to market.</w:t>
      </w:r>
    </w:p>
    <w:p w14:paraId="5F215198" w14:textId="77777777" w:rsidR="00AA5300" w:rsidRDefault="00AA5300" w:rsidP="00AA5300">
      <w:pPr>
        <w:jc w:val="both"/>
      </w:pPr>
    </w:p>
    <w:p w14:paraId="7AE1BB59" w14:textId="42CF5D91" w:rsidR="00AA5300" w:rsidRDefault="00BC0C6C" w:rsidP="00AA5300">
      <w:pPr>
        <w:jc w:val="both"/>
      </w:pPr>
      <w:r>
        <w:t xml:space="preserve">The latent returns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henceforth just </w:t>
      </w:r>
      <m:oMath>
        <m:r>
          <w:rPr>
            <w:rFonts w:ascii="Cambria Math" w:eastAsiaTheme="minorEastAsia" w:hAnsi="Cambria Math"/>
          </w:rPr>
          <m:t>x</m:t>
        </m:r>
      </m:oMath>
      <w:r>
        <w:rPr>
          <w:rFonts w:eastAsiaTheme="minorEastAsia"/>
        </w:rPr>
        <w:t xml:space="preserve"> for notational simplicity</w:t>
      </w:r>
      <w:r w:rsidR="000D43EE">
        <w:rPr>
          <w:rFonts w:eastAsiaTheme="minorEastAsia"/>
        </w:rPr>
        <w:t>,</w:t>
      </w:r>
      <w:r>
        <w:t xml:space="preserve"> generated above are not smoothed. They </w:t>
      </w:r>
      <w:r w:rsidR="000D43EE">
        <w:t>are the true economic returns</w:t>
      </w:r>
      <w:r w:rsidR="00A342D8">
        <w:t xml:space="preserve">. Since GMAM 3 attempts to mimic true reported </w:t>
      </w:r>
      <w:r w:rsidR="00847785">
        <w:t>returns,</w:t>
      </w:r>
      <w:r w:rsidR="00A342D8">
        <w:t xml:space="preserve"> we must re-smooth the latent returns to reflect </w:t>
      </w:r>
      <w:r w:rsidR="00847785">
        <w:t xml:space="preserve">the </w:t>
      </w:r>
      <w:r w:rsidR="007576A3">
        <w:t xml:space="preserve">reported returns so that investors can </w:t>
      </w:r>
      <w:r w:rsidR="009D0A58">
        <w:t>appropriately compare their investments in PE with publicly available investments</w:t>
      </w:r>
      <w:r w:rsidR="00847785">
        <w:t xml:space="preserve">. </w:t>
      </w:r>
      <w:r w:rsidR="009D0A58">
        <w:t>In GMAM 3, t</w:t>
      </w:r>
      <w:r w:rsidR="00847785">
        <w:t xml:space="preserve">his is done </w:t>
      </w:r>
      <w:r w:rsidR="00BD383A">
        <w:t xml:space="preserve">using a moving average (MA) process with smoothing parameters estimated using </w:t>
      </w:r>
      <w:r w:rsidR="00AA5300">
        <w:t xml:space="preserve">a Bayesian </w:t>
      </w:r>
      <w:r w:rsidR="00BD383A">
        <w:t xml:space="preserve">linear </w:t>
      </w:r>
      <w:r w:rsidR="00F30A5F">
        <w:t>regression</w:t>
      </w:r>
      <w:r w:rsidR="005A0780">
        <w:t xml:space="preserve">. </w:t>
      </w:r>
      <w:r w:rsidR="004F12EB">
        <w:t xml:space="preserve">Note that the MA is </w:t>
      </w:r>
      <w:r w:rsidR="00D5440B">
        <w:t>defined in an econometric sense, and not in a literal sense</w:t>
      </w:r>
      <w:r w:rsidR="00DF7B95">
        <w:t>, although it may be interpreted as such</w:t>
      </w:r>
      <w:r w:rsidR="00D5440B">
        <w:t>. More specifically</w:t>
      </w:r>
      <w:r w:rsidR="005A0780">
        <w:t xml:space="preserve">, the final returns presented to the user are re-smoothed </w:t>
      </w:r>
      <w:r w:rsidR="008B080E">
        <w:t>using the following process:</w:t>
      </w:r>
    </w:p>
    <w:p w14:paraId="2CC1A49B" w14:textId="77777777" w:rsidR="008B080E" w:rsidRDefault="008B080E" w:rsidP="00AA5300">
      <w:pPr>
        <w:jc w:val="both"/>
      </w:pPr>
    </w:p>
    <w:p w14:paraId="46A87DF8" w14:textId="091A9010" w:rsidR="008B080E" w:rsidRDefault="00702490" w:rsidP="00AA5300">
      <w:pPr>
        <w:jc w:val="both"/>
      </w:pPr>
      <m:oMathPara>
        <m:oMath>
          <m:r>
            <w:rPr>
              <w:rFonts w:ascii="Cambria Math" w:hAnsi="Cambria Math"/>
            </w:rPr>
            <m:t>y=</m:t>
          </m:r>
          <m:r>
            <m:rPr>
              <m:sty m:val="p"/>
            </m:rPr>
            <w:rPr>
              <w:rFonts w:ascii="Cambria Math" w:hAnsi="Cambria Math"/>
            </w:rPr>
            <m:t>Φ</m:t>
          </m:r>
          <m:r>
            <m:rPr>
              <m:sty m:val="b"/>
            </m:rPr>
            <w:rPr>
              <w:rFonts w:ascii="Cambria Math" w:hAnsi="Cambria Math"/>
            </w:rPr>
            <m:t>x</m:t>
          </m:r>
        </m:oMath>
      </m:oMathPara>
    </w:p>
    <w:p w14:paraId="709ECE40" w14:textId="77777777" w:rsidR="00AA5300" w:rsidRDefault="00AA5300" w:rsidP="00AA5300">
      <w:pPr>
        <w:jc w:val="both"/>
      </w:pPr>
    </w:p>
    <w:p w14:paraId="5B2DC2BB" w14:textId="754A7254" w:rsidR="005A3D55" w:rsidRDefault="002925E4" w:rsidP="00AA5300">
      <w:pPr>
        <w:jc w:val="both"/>
        <w:rPr>
          <w:rFonts w:eastAsiaTheme="minorEastAsia"/>
          <w:iCs/>
        </w:rPr>
      </w:pPr>
      <w:r>
        <w:t>w</w:t>
      </w:r>
      <w:r w:rsidR="00317DD7">
        <w:t xml:space="preserve">here </w:t>
      </w:r>
      <m:oMath>
        <m:r>
          <w:rPr>
            <w:rFonts w:ascii="Cambria Math" w:hAnsi="Cambria Math"/>
          </w:rPr>
          <m:t>y</m:t>
        </m:r>
      </m:oMath>
      <w:r w:rsidR="00317DD7">
        <w:rPr>
          <w:rFonts w:eastAsiaTheme="minorEastAsia"/>
        </w:rPr>
        <w:t xml:space="preserve"> </w:t>
      </w:r>
      <w:r w:rsidR="005A3D55">
        <w:rPr>
          <w:rFonts w:eastAsiaTheme="minorEastAsia"/>
        </w:rPr>
        <w:t>is a vector of</w:t>
      </w:r>
      <w:r w:rsidR="00317DD7">
        <w:rPr>
          <w:rFonts w:eastAsiaTheme="minorEastAsia"/>
        </w:rPr>
        <w:t xml:space="preserve"> the reported returns</w:t>
      </w:r>
      <w:r w:rsidR="005A3D55">
        <w:rPr>
          <w:rFonts w:eastAsiaTheme="minorEastAsia"/>
        </w:rPr>
        <w:t>;</w:t>
      </w:r>
      <w:r w:rsidR="000467EC">
        <w:rPr>
          <w:rFonts w:eastAsiaTheme="minorEastAsia"/>
        </w:rPr>
        <w:t xml:space="preserve"> </w:t>
      </w:r>
      <m:oMath>
        <m:r>
          <m:rPr>
            <m:sty m:val="p"/>
          </m:rPr>
          <w:rPr>
            <w:rFonts w:ascii="Cambria Math" w:eastAsiaTheme="minorEastAsia" w:hAnsi="Cambria Math"/>
          </w:rPr>
          <m:t>Φ</m:t>
        </m:r>
      </m:oMath>
      <w:r w:rsidR="000467EC">
        <w:rPr>
          <w:rFonts w:eastAsiaTheme="minorEastAsia"/>
        </w:rPr>
        <w:t xml:space="preserve"> is a matrix consisting of smoothing coefficients, </w:t>
      </w:r>
      <m:oMath>
        <m:r>
          <w:rPr>
            <w:rFonts w:ascii="Cambria Math" w:eastAsiaTheme="minorEastAsia" w:hAnsi="Cambria Math"/>
          </w:rPr>
          <m:t>ϕ</m:t>
        </m:r>
      </m:oMath>
      <w:r w:rsidR="000467EC">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sidR="005A3D55">
        <w:rPr>
          <w:rFonts w:eastAsiaTheme="minorEastAsia"/>
        </w:rPr>
        <w:t xml:space="preserve"> (defined </w:t>
      </w:r>
      <w:r w:rsidR="00084851">
        <w:rPr>
          <w:rFonts w:eastAsiaTheme="minorEastAsia"/>
        </w:rPr>
        <w:t xml:space="preserve">in more detail </w:t>
      </w:r>
      <w:r w:rsidR="005A3D55">
        <w:rPr>
          <w:rFonts w:eastAsiaTheme="minorEastAsia"/>
        </w:rPr>
        <w:t xml:space="preserve">below); and </w:t>
      </w:r>
      <m:oMath>
        <m:r>
          <m:rPr>
            <m:sty m:val="b"/>
          </m:rPr>
          <w:rPr>
            <w:rFonts w:ascii="Cambria Math" w:eastAsiaTheme="minorEastAsia" w:hAnsi="Cambria Math"/>
          </w:rPr>
          <m:t>x</m:t>
        </m:r>
      </m:oMath>
      <w:r w:rsidR="005A3D55">
        <w:rPr>
          <w:rFonts w:eastAsiaTheme="minorEastAsia"/>
          <w:b/>
          <w:bCs/>
        </w:rPr>
        <w:t xml:space="preserve"> </w:t>
      </w:r>
      <w:r w:rsidR="005A3D55">
        <w:rPr>
          <w:rFonts w:eastAsiaTheme="minorEastAsia"/>
        </w:rPr>
        <w:t xml:space="preserve">is a vector of </w:t>
      </w:r>
      <m:oMath>
        <m:r>
          <w:rPr>
            <w:rFonts w:ascii="Cambria Math" w:eastAsiaTheme="minorEastAsia" w:hAnsi="Cambria Math"/>
          </w:rPr>
          <m:t>x</m:t>
        </m:r>
      </m:oMath>
      <w:r w:rsidR="005A3D55">
        <w:rPr>
          <w:rFonts w:eastAsiaTheme="minorEastAsia"/>
        </w:rPr>
        <w:t xml:space="preserve"> values</w:t>
      </w:r>
      <w:r w:rsidR="008D531B">
        <w:rPr>
          <w:rFonts w:eastAsiaTheme="minorEastAsia"/>
        </w:rPr>
        <w:t>.</w:t>
      </w:r>
      <w:r w:rsidR="00627403">
        <w:rPr>
          <w:rFonts w:eastAsiaTheme="minorEastAsia"/>
        </w:rPr>
        <w:t xml:space="preserve"> </w:t>
      </w:r>
      <w:r w:rsidR="00084851">
        <w:rPr>
          <w:rFonts w:eastAsiaTheme="minorEastAsia"/>
        </w:rPr>
        <w:t>W</w:t>
      </w:r>
      <w:r w:rsidR="005A3D55">
        <w:rPr>
          <w:rFonts w:eastAsiaTheme="minorEastAsia"/>
        </w:rPr>
        <w:t xml:space="preserve">hen both </w:t>
      </w:r>
      <m:oMath>
        <m:r>
          <m:rPr>
            <m:sty m:val="b"/>
          </m:rPr>
          <w:rPr>
            <w:rFonts w:ascii="Cambria Math" w:eastAsiaTheme="minorEastAsia" w:hAnsi="Cambria Math"/>
          </w:rPr>
          <m:t>x</m:t>
        </m:r>
      </m:oMath>
      <w:r w:rsidR="005A3D55">
        <w:rPr>
          <w:rFonts w:eastAsiaTheme="minorEastAsia"/>
          <w:b/>
          <w:bCs/>
          <w:i/>
        </w:rPr>
        <w:t xml:space="preserve"> </w:t>
      </w:r>
      <w:r w:rsidR="005A3D55">
        <w:rPr>
          <w:rFonts w:eastAsiaTheme="minorEastAsia"/>
          <w:iCs/>
        </w:rPr>
        <w:t xml:space="preserve">and </w:t>
      </w:r>
      <m:oMath>
        <m:r>
          <w:rPr>
            <w:rFonts w:ascii="Cambria Math" w:eastAsiaTheme="minorEastAsia" w:hAnsi="Cambria Math"/>
          </w:rPr>
          <m:t>y</m:t>
        </m:r>
      </m:oMath>
      <w:r w:rsidR="005A3D55">
        <w:rPr>
          <w:rFonts w:eastAsiaTheme="minorEastAsia"/>
          <w:iCs/>
        </w:rPr>
        <w:t xml:space="preserve"> have the same reporting frequency:</w:t>
      </w:r>
    </w:p>
    <w:p w14:paraId="337F5756" w14:textId="79ADBED8" w:rsidR="005A3D55" w:rsidRDefault="005A3D55" w:rsidP="00AA5300">
      <w:pPr>
        <w:jc w:val="both"/>
        <w:rPr>
          <w:rFonts w:eastAsiaTheme="minorEastAsia"/>
          <w:iCs/>
        </w:rPr>
      </w:pPr>
    </w:p>
    <w:p w14:paraId="7A7320A2" w14:textId="14CBA068" w:rsidR="005A3D55" w:rsidRPr="005A3D55" w:rsidRDefault="005A3D55" w:rsidP="005A3D55">
      <w:pPr>
        <w:jc w:val="center"/>
        <w:rPr>
          <w:rFonts w:eastAsiaTheme="minorEastAsia"/>
          <w:iCs/>
        </w:rPr>
      </w:pPr>
      <w:r w:rsidRPr="005A3D55">
        <w:rPr>
          <w:rFonts w:eastAsiaTheme="minorEastAsia"/>
          <w:iCs/>
          <w:noProof/>
        </w:rPr>
        <w:drawing>
          <wp:inline distT="0" distB="0" distL="0" distR="0" wp14:anchorId="62D58055" wp14:editId="33A932D1">
            <wp:extent cx="3225800" cy="1143000"/>
            <wp:effectExtent l="0" t="0" r="0" b="0"/>
            <wp:docPr id="16231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179" name=""/>
                    <pic:cNvPicPr/>
                  </pic:nvPicPr>
                  <pic:blipFill>
                    <a:blip r:embed="rId9"/>
                    <a:stretch>
                      <a:fillRect/>
                    </a:stretch>
                  </pic:blipFill>
                  <pic:spPr>
                    <a:xfrm>
                      <a:off x="0" y="0"/>
                      <a:ext cx="3225800" cy="1143000"/>
                    </a:xfrm>
                    <a:prstGeom prst="rect">
                      <a:avLst/>
                    </a:prstGeom>
                  </pic:spPr>
                </pic:pic>
              </a:graphicData>
            </a:graphic>
          </wp:inline>
        </w:drawing>
      </w:r>
    </w:p>
    <w:p w14:paraId="532CAFB6" w14:textId="77777777" w:rsidR="005A3D55" w:rsidRDefault="005A3D55" w:rsidP="00AA5300">
      <w:pPr>
        <w:jc w:val="both"/>
        <w:rPr>
          <w:rFonts w:eastAsiaTheme="minorEastAsia"/>
        </w:rPr>
      </w:pPr>
    </w:p>
    <w:p w14:paraId="41FA9611" w14:textId="455BD93A" w:rsidR="00084851" w:rsidRDefault="00084851" w:rsidP="005A3D55">
      <w:pPr>
        <w:jc w:val="both"/>
        <w:rPr>
          <w:rFonts w:eastAsiaTheme="minorEastAsia"/>
        </w:rPr>
      </w:pPr>
      <m:oMath>
        <m:r>
          <w:rPr>
            <w:rFonts w:ascii="Cambria Math" w:eastAsiaTheme="minorEastAsia" w:hAnsi="Cambria Math"/>
          </w:rPr>
          <m:t>ϕ</m:t>
        </m:r>
      </m:oMath>
      <w:r>
        <w:rPr>
          <w:rFonts w:eastAsiaTheme="minorEastAsia"/>
        </w:rPr>
        <w:t xml:space="preserve"> is a vector of </w:t>
      </w:r>
      <m:oMath>
        <m:r>
          <w:rPr>
            <w:rFonts w:ascii="Cambria Math" w:eastAsiaTheme="minorEastAsia" w:hAnsi="Cambria Math"/>
          </w:rPr>
          <m:t>P</m:t>
        </m:r>
      </m:oMath>
      <w:r>
        <w:rPr>
          <w:rFonts w:eastAsiaTheme="minorEastAsia"/>
        </w:rPr>
        <w:t xml:space="preserve"> unrestricted coefficients,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is a vector of </w:t>
      </w:r>
      <m:oMath>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restricted and unrestricted coefficients. </w:t>
      </w:r>
      <m:oMath>
        <m:r>
          <w:rPr>
            <w:rFonts w:ascii="Cambria Math" w:hAnsi="Cambria Math"/>
          </w:rPr>
          <m:t>P</m:t>
        </m:r>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represent terms that map the observation period of the reported, smoothed returns </w:t>
      </w:r>
      <m:oMath>
        <m:r>
          <w:rPr>
            <w:rFonts w:ascii="Cambria Math" w:eastAsiaTheme="minorEastAsia" w:hAnsi="Cambria Math"/>
          </w:rPr>
          <m:t>y</m:t>
        </m:r>
      </m:oMath>
      <w:r>
        <w:rPr>
          <w:rFonts w:eastAsiaTheme="minorEastAsia"/>
        </w:rPr>
        <w:t xml:space="preserve"> to the latent, de-smoothed returns </w:t>
      </w:r>
      <m:oMath>
        <m:r>
          <w:rPr>
            <w:rFonts w:ascii="Cambria Math" w:eastAsiaTheme="minorEastAsia" w:hAnsi="Cambria Math"/>
          </w:rPr>
          <m:t>x</m:t>
        </m:r>
      </m:oMath>
      <w:r>
        <w:rPr>
          <w:rFonts w:eastAsiaTheme="minorEastAsia"/>
        </w:rPr>
        <w:t>.</w:t>
      </w:r>
    </w:p>
    <w:p w14:paraId="4DB1F7C2" w14:textId="77777777" w:rsidR="00084851" w:rsidRDefault="00084851" w:rsidP="005A3D55">
      <w:pPr>
        <w:jc w:val="both"/>
        <w:rPr>
          <w:rFonts w:eastAsiaTheme="minorEastAsia"/>
        </w:rPr>
      </w:pPr>
    </w:p>
    <w:p w14:paraId="4AE0521D" w14:textId="6B4144D5" w:rsidR="005A3D55" w:rsidRPr="004F5132" w:rsidRDefault="005A3D55" w:rsidP="005A3D55">
      <w:pPr>
        <w:jc w:val="both"/>
        <w:rPr>
          <w:rFonts w:eastAsiaTheme="minorEastAsia"/>
        </w:rPr>
      </w:pPr>
      <w:r>
        <w:rPr>
          <w:rFonts w:eastAsiaTheme="minorEastAsia"/>
        </w:rPr>
        <w:lastRenderedPageBreak/>
        <w:t xml:space="preserve">The reported returns are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oMath>
      <w:r>
        <w:rPr>
          <w:rFonts w:eastAsiaTheme="minorEastAsia"/>
        </w:rPr>
        <w:t xml:space="preserve"> s.t. </w:t>
      </w:r>
      <m:oMath>
        <m:r>
          <w:rPr>
            <w:rFonts w:ascii="Cambria Math" w:eastAsiaTheme="minorEastAsia" w:hAnsi="Cambria Math"/>
          </w:rPr>
          <m:t>s∈1:S</m:t>
        </m:r>
      </m:oMath>
      <w:r>
        <w:rPr>
          <w:rFonts w:eastAsiaTheme="minorEastAsia"/>
        </w:rPr>
        <w:t xml:space="preserve">, and the latent returns are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s.t. </w:t>
      </w:r>
      <m:oMath>
        <m:r>
          <w:rPr>
            <w:rFonts w:ascii="Cambria Math" w:eastAsiaTheme="minorEastAsia" w:hAnsi="Cambria Math"/>
          </w:rPr>
          <m:t>t∈1:T</m:t>
        </m:r>
      </m:oMath>
      <w:r>
        <w:rPr>
          <w:rFonts w:eastAsiaTheme="minorEastAsia"/>
        </w:rPr>
        <w:t xml:space="preserve">. Here, </w:t>
      </w:r>
      <m:oMath>
        <m:r>
          <w:rPr>
            <w:rFonts w:ascii="Cambria Math" w:eastAsiaTheme="minorEastAsia" w:hAnsi="Cambria Math"/>
          </w:rPr>
          <m:t>S</m:t>
        </m:r>
      </m:oMath>
      <w:r>
        <w:rPr>
          <w:rFonts w:eastAsiaTheme="minorEastAsia"/>
        </w:rPr>
        <w:t xml:space="preserve"> may or may not equal </w:t>
      </w:r>
      <m:oMath>
        <m:r>
          <w:rPr>
            <w:rFonts w:ascii="Cambria Math" w:eastAsiaTheme="minorEastAsia" w:hAnsi="Cambria Math"/>
          </w:rPr>
          <m:t>T</m:t>
        </m:r>
      </m:oMath>
      <w:r>
        <w:rPr>
          <w:rFonts w:eastAsiaTheme="minorEastAsia"/>
        </w:rPr>
        <w:t>; for example, when the reported returns are quarterly, and the factor returns are monthly</w:t>
      </w:r>
      <w:r w:rsidR="00EF4E53">
        <w:rPr>
          <w:rStyle w:val="FootnoteReference"/>
          <w:rFonts w:eastAsiaTheme="minorEastAsia"/>
        </w:rPr>
        <w:footnoteReference w:id="8"/>
      </w:r>
      <w:r>
        <w:rPr>
          <w:rFonts w:eastAsiaTheme="minorEastAsia"/>
        </w:rPr>
        <w:t xml:space="preserve">. </w:t>
      </w:r>
      <w:r w:rsidRPr="004F5132">
        <w:rPr>
          <w:rFonts w:eastAsiaTheme="minorEastAsia"/>
        </w:rPr>
        <w:t>T</w:t>
      </w:r>
      <w:r>
        <w:rPr>
          <w:rFonts w:eastAsiaTheme="minorEastAsia"/>
        </w:rPr>
        <w:t>o resolve this, we have t</w:t>
      </w:r>
      <w:r w:rsidRPr="004F5132">
        <w:rPr>
          <w:rFonts w:eastAsiaTheme="minorEastAsia"/>
        </w:rPr>
        <w:t xml:space="preserve">he following formula </w:t>
      </w:r>
      <w:r>
        <w:rPr>
          <w:rFonts w:eastAsiaTheme="minorEastAsia"/>
        </w:rPr>
        <w:t xml:space="preserve">that </w:t>
      </w:r>
      <w:r w:rsidRPr="004F5132">
        <w:rPr>
          <w:rFonts w:eastAsiaTheme="minorEastAsia"/>
        </w:rPr>
        <w:t xml:space="preserve">maps </w:t>
      </w:r>
      <m:oMath>
        <m:r>
          <w:rPr>
            <w:rFonts w:ascii="Cambria Math" w:eastAsiaTheme="minorEastAsia" w:hAnsi="Cambria Math"/>
          </w:rPr>
          <m:t>t</m:t>
        </m:r>
      </m:oMath>
      <w:r w:rsidRPr="004F5132">
        <w:rPr>
          <w:rFonts w:eastAsiaTheme="minorEastAsia"/>
        </w:rPr>
        <w:t xml:space="preserve"> to </w:t>
      </w:r>
      <m:oMath>
        <m:r>
          <w:rPr>
            <w:rFonts w:ascii="Cambria Math" w:eastAsiaTheme="minorEastAsia" w:hAnsi="Cambria Math"/>
          </w:rPr>
          <m:t>s</m:t>
        </m:r>
      </m:oMath>
      <w:r w:rsidRPr="004F5132">
        <w:rPr>
          <w:rFonts w:eastAsiaTheme="minorEastAsia"/>
        </w:rPr>
        <w:t>:</w:t>
      </w:r>
    </w:p>
    <w:p w14:paraId="1ABB12B5" w14:textId="77777777" w:rsidR="005A3D55" w:rsidRPr="004F5132" w:rsidRDefault="005A3D55" w:rsidP="005A3D55">
      <w:pPr>
        <w:jc w:val="both"/>
        <w:rPr>
          <w:rFonts w:eastAsiaTheme="minorEastAsia"/>
        </w:rPr>
      </w:pPr>
    </w:p>
    <w:p w14:paraId="15C95A03" w14:textId="77777777" w:rsidR="005A3D55" w:rsidRPr="004F5132" w:rsidRDefault="005A3D55" w:rsidP="005A3D55">
      <w:pPr>
        <w:jc w:val="both"/>
        <w:rPr>
          <w:rFonts w:eastAsiaTheme="minorEastAsia"/>
        </w:rPr>
      </w:pPr>
      <m:oMathPara>
        <m:oMath>
          <m:r>
            <w:rPr>
              <w:rFonts w:ascii="Cambria Math" w:hAnsi="Cambria Math"/>
              <w:vertAlign w:val="subscript"/>
            </w:rPr>
            <m:t>t</m:t>
          </m:r>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=P+s*</m:t>
          </m:r>
          <m:r>
            <m:rPr>
              <m:sty m:val="p"/>
            </m:rPr>
            <w:rPr>
              <w:rFonts w:ascii="Cambria Math" w:hAnsi="Cambria Math"/>
              <w:vertAlign w:val="subscript"/>
            </w:rPr>
            <m:t>Δ</m:t>
          </m:r>
          <m:r>
            <w:rPr>
              <w:rFonts w:ascii="Cambria Math" w:hAnsi="Cambria Math"/>
              <w:vertAlign w:val="subscript"/>
            </w:rPr>
            <m:t>t</m:t>
          </m:r>
        </m:oMath>
      </m:oMathPara>
    </w:p>
    <w:p w14:paraId="236A94EF" w14:textId="77777777" w:rsidR="005A3D55" w:rsidRDefault="005A3D55" w:rsidP="00AA5300">
      <w:pPr>
        <w:jc w:val="both"/>
        <w:rPr>
          <w:rFonts w:eastAsiaTheme="minorEastAsia"/>
        </w:rPr>
      </w:pPr>
    </w:p>
    <w:p w14:paraId="42EE7C4B" w14:textId="696607EA" w:rsidR="005A3D55" w:rsidRDefault="005A3D55" w:rsidP="005A3D55">
      <w:pPr>
        <w:jc w:val="both"/>
        <w:rPr>
          <w:rFonts w:eastAsiaTheme="minorEastAsia"/>
        </w:rPr>
      </w:pPr>
      <w:r>
        <w:rPr>
          <w:rFonts w:eastAsiaTheme="minorEastAsia"/>
        </w:rPr>
        <w:t>I</w:t>
      </w:r>
      <w:r w:rsidRPr="004F5132">
        <w:rPr>
          <w:rFonts w:eastAsiaTheme="minorEastAsia"/>
        </w:rPr>
        <w:t xml:space="preserve">f reported returns </w:t>
      </w:r>
      <w:r>
        <w:rPr>
          <w:rFonts w:eastAsiaTheme="minorEastAsia"/>
        </w:rPr>
        <w:t>(</w:t>
      </w:r>
      <m:oMath>
        <m:r>
          <w:rPr>
            <w:rFonts w:ascii="Cambria Math" w:eastAsiaTheme="minorEastAsia" w:hAnsi="Cambria Math"/>
          </w:rPr>
          <m:t>y)</m:t>
        </m:r>
      </m:oMath>
      <w:r w:rsidR="00084851">
        <w:rPr>
          <w:rFonts w:eastAsiaTheme="minorEastAsia"/>
        </w:rPr>
        <w:t xml:space="preserve"> </w:t>
      </w:r>
      <w:r w:rsidRPr="004F5132">
        <w:rPr>
          <w:rFonts w:eastAsiaTheme="minorEastAsia"/>
        </w:rPr>
        <w:t xml:space="preserve">are quarterly, and latent returns </w:t>
      </w:r>
      <w:r>
        <w:rPr>
          <w:rFonts w:eastAsiaTheme="minorEastAsia"/>
        </w:rPr>
        <w:t>(</w:t>
      </w:r>
      <m:oMath>
        <m:r>
          <w:rPr>
            <w:rFonts w:ascii="Cambria Math" w:eastAsiaTheme="minorEastAsia" w:hAnsi="Cambria Math"/>
          </w:rPr>
          <m:t>x</m:t>
        </m:r>
      </m:oMath>
      <w:r>
        <w:rPr>
          <w:rFonts w:eastAsiaTheme="minorEastAsia"/>
        </w:rPr>
        <w:t xml:space="preserve">) </w:t>
      </w:r>
      <w:r w:rsidRPr="004F5132">
        <w:rPr>
          <w:rFonts w:eastAsiaTheme="minorEastAsia"/>
        </w:rPr>
        <w:t xml:space="preserve">are monthly, </w:t>
      </w:r>
      <m:oMath>
        <m:r>
          <w:rPr>
            <w:rFonts w:ascii="Cambria Math" w:eastAsiaTheme="minorEastAsia" w:hAnsi="Cambria Math"/>
          </w:rPr>
          <m:t>P=3</m:t>
        </m:r>
      </m:oMath>
      <w:r w:rsidRPr="004F5132">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t=3</m:t>
        </m:r>
      </m:oMath>
      <w:r>
        <w:rPr>
          <w:rFonts w:eastAsiaTheme="minorEastAsia"/>
        </w:rPr>
        <w:t xml:space="preserve"> (</w:t>
      </w:r>
      <w:r w:rsidRPr="004F5132">
        <w:rPr>
          <w:rFonts w:eastAsiaTheme="minorEastAsia"/>
        </w:rPr>
        <w:t>since each quarter consists of</w:t>
      </w:r>
      <w:r w:rsidR="00084851">
        <w:rPr>
          <w:rFonts w:eastAsiaTheme="minorEastAsia"/>
        </w:rPr>
        <w:t xml:space="preserve"> </w:t>
      </w:r>
      <w:r w:rsidRPr="004F5132">
        <w:rPr>
          <w:rFonts w:eastAsiaTheme="minorEastAsia"/>
        </w:rPr>
        <w:t>three months</w:t>
      </w:r>
      <w:r>
        <w:rPr>
          <w:rFonts w:eastAsiaTheme="minorEastAsia"/>
        </w:rPr>
        <w:t>)</w:t>
      </w:r>
      <w:r w:rsidRPr="004F5132">
        <w:rPr>
          <w:rFonts w:eastAsiaTheme="minorEastAsia"/>
        </w:rPr>
        <w:t xml:space="preserve">. And so, for the first quarter, </w:t>
      </w:r>
      <m:oMath>
        <m:r>
          <w:rPr>
            <w:rFonts w:ascii="Cambria Math" w:eastAsiaTheme="minorEastAsia" w:hAnsi="Cambria Math"/>
          </w:rPr>
          <m:t>s=1</m:t>
        </m:r>
      </m:oMath>
      <w:r w:rsidRPr="004F5132">
        <w:rPr>
          <w:rFonts w:eastAsiaTheme="minorEastAsia"/>
        </w:rPr>
        <w:t xml:space="preserve"> and </w:t>
      </w:r>
      <m:oMath>
        <m:r>
          <w:rPr>
            <w:rFonts w:ascii="Cambria Math" w:eastAsiaTheme="minorEastAsia" w:hAnsi="Cambria Math"/>
          </w:rPr>
          <m:t>t=6</m:t>
        </m:r>
      </m:oMath>
      <w:r w:rsidRPr="004F5132">
        <w:rPr>
          <w:rFonts w:eastAsiaTheme="minorEastAsia"/>
        </w:rPr>
        <w:t xml:space="preserve">. </w:t>
      </w:r>
      <w:r>
        <w:rPr>
          <w:rFonts w:eastAsiaTheme="minorEastAsia"/>
        </w:rPr>
        <w:t>W</w:t>
      </w:r>
      <w:r w:rsidRPr="004F5132">
        <w:rPr>
          <w:rFonts w:eastAsiaTheme="minorEastAsia"/>
        </w:rPr>
        <w:t xml:space="preserve">hen </w:t>
      </w:r>
      <m:oMath>
        <m:r>
          <m:rPr>
            <m:sty m:val="p"/>
          </m:rPr>
          <w:rPr>
            <w:rFonts w:ascii="Cambria Math" w:eastAsiaTheme="minorEastAsia" w:hAnsi="Cambria Math"/>
          </w:rPr>
          <m:t>Δ</m:t>
        </m:r>
        <m:r>
          <w:rPr>
            <w:rFonts w:ascii="Cambria Math" w:eastAsiaTheme="minorEastAsia" w:hAnsi="Cambria Math"/>
          </w:rPr>
          <m:t>t&gt;1</m:t>
        </m:r>
      </m:oMath>
      <w:r w:rsidRPr="004F5132">
        <w:rPr>
          <w:rFonts w:eastAsiaTheme="minorEastAsia"/>
        </w:rPr>
        <w:t>, the</w:t>
      </w:r>
      <w:r w:rsidR="00EF4E53">
        <w:rPr>
          <w:rFonts w:eastAsiaTheme="minorEastAsia"/>
        </w:rPr>
        <w:t xml:space="preserve"> values in</w:t>
      </w:r>
      <w:r w:rsidRPr="004F5132">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j</m:t>
            </m:r>
          </m:sub>
        </m:sSub>
      </m:oMath>
      <w:r w:rsidR="00EF4E53">
        <w:rPr>
          <w:rFonts w:eastAsiaTheme="minorEastAsia"/>
        </w:rPr>
        <w:t xml:space="preserve"> must add up to 1 for each month of the quarter (first, second, third). </w:t>
      </w:r>
      <w:r w:rsidRPr="004F5132">
        <w:rPr>
          <w:rFonts w:eastAsiaTheme="minorEastAsia"/>
        </w:rPr>
        <w:t>If not, months that fall earlier in the quarter will have a different long-run impact on NAV than months later in the quarter.</w:t>
      </w:r>
      <w:r>
        <w:rPr>
          <w:rFonts w:eastAsiaTheme="minorEastAsia"/>
        </w:rPr>
        <w:t xml:space="preserve"> </w:t>
      </w:r>
      <w:r w:rsidR="00EF4E53" w:rsidRPr="00EF4E53">
        <w:rPr>
          <w:rFonts w:eastAsiaTheme="minorEastAsia"/>
        </w:rPr>
        <w:t>For instance</w:t>
      </w:r>
      <w:r w:rsidR="00EF4E53">
        <w:rPr>
          <w:rFonts w:eastAsiaTheme="minorEastAsia"/>
        </w:rPr>
        <w:t>,</w:t>
      </w:r>
      <w:r w:rsidR="00EF4E53" w:rsidRPr="00EF4E53">
        <w:rPr>
          <w:rFonts w:eastAsiaTheme="minorEastAsia"/>
        </w:rPr>
        <w:t xml:space="preserve"> if we have a single quarter lag, the first month of the quarter plus the first month of the previous quarter must add to 1. This implies that the </w:t>
      </w:r>
      <w:r w:rsidR="00084851" w:rsidRPr="00EF4E53">
        <w:rPr>
          <w:rFonts w:eastAsiaTheme="minorEastAsia"/>
        </w:rPr>
        <w:t>sum</w:t>
      </w:r>
      <w:r w:rsidR="00EF4E53" w:rsidRPr="00EF4E53">
        <w:rPr>
          <w:rFonts w:eastAsiaTheme="minorEastAsia"/>
        </w:rPr>
        <w:t xml:space="preserve"> of values in</w:t>
      </w:r>
      <w:r w:rsidR="00EF4E5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j</m:t>
            </m:r>
          </m:sub>
        </m:sSub>
      </m:oMath>
      <w:r w:rsidR="00EF4E53">
        <w:rPr>
          <w:rFonts w:eastAsiaTheme="minorEastAsia"/>
        </w:rPr>
        <w:t xml:space="preserve"> is 3 for quarterly data and 1 for monthly data</w:t>
      </w:r>
      <w:r w:rsidR="00EF4E53">
        <w:rPr>
          <w:rStyle w:val="FootnoteReference"/>
          <w:rFonts w:eastAsiaTheme="minorEastAsia"/>
        </w:rPr>
        <w:footnoteReference w:id="9"/>
      </w:r>
      <w:r w:rsidR="00EF4E53">
        <w:rPr>
          <w:rFonts w:eastAsiaTheme="minorEastAsia"/>
        </w:rPr>
        <w:t xml:space="preserve">. </w:t>
      </w:r>
    </w:p>
    <w:p w14:paraId="3C05BB48" w14:textId="77777777" w:rsidR="005A3D55" w:rsidRDefault="005A3D55" w:rsidP="00AA5300">
      <w:pPr>
        <w:jc w:val="both"/>
        <w:rPr>
          <w:rFonts w:eastAsiaTheme="minorEastAsia"/>
        </w:rPr>
      </w:pPr>
    </w:p>
    <w:p w14:paraId="14D6D953" w14:textId="5714FE51" w:rsidR="00084851" w:rsidRDefault="00084851" w:rsidP="00084851">
      <w:pPr>
        <w:jc w:val="both"/>
        <w:rPr>
          <w:rFonts w:eastAsiaTheme="minorEastAsia"/>
        </w:rPr>
      </w:pPr>
      <w:r>
        <w:rPr>
          <w:rFonts w:eastAsiaTheme="minorEastAsia"/>
        </w:rPr>
        <w:t>In particular,</w:t>
      </w:r>
    </w:p>
    <w:p w14:paraId="20A9166E" w14:textId="77777777" w:rsidR="00084851" w:rsidRDefault="00084851" w:rsidP="00084851">
      <w:pPr>
        <w:jc w:val="both"/>
        <w:rPr>
          <w:rFonts w:eastAsiaTheme="minorEastAsia"/>
        </w:rPr>
      </w:pPr>
    </w:p>
    <w:p w14:paraId="7F3CC0FF" w14:textId="77777777" w:rsidR="00084851" w:rsidRDefault="00000000" w:rsidP="0008485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e>
                      </m:d>
                    </m:sub>
                  </m:sSub>
                </m:e>
              </m:d>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m:t>
              </m:r>
            </m:sub>
            <m:sup>
              <m:r>
                <w:rPr>
                  <w:rFonts w:ascii="Cambria Math" w:eastAsiaTheme="minorEastAsia" w:hAnsi="Cambria Math"/>
                </w:rPr>
                <m:t>y</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e>
                      </m:d>
                    </m:sub>
                  </m:sSub>
                </m:e>
              </m:d>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t+1</m:t>
                  </m:r>
                </m:e>
              </m:d>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s</m:t>
                  </m:r>
                </m:e>
              </m:d>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e>
              </m:d>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m:t>
              </m:r>
            </m:sub>
            <m:sup>
              <m:r>
                <w:rPr>
                  <w:rFonts w:ascii="Cambria Math" w:eastAsiaTheme="minorEastAsia" w:hAnsi="Cambria Math"/>
                </w:rPr>
                <m:t>y</m:t>
              </m:r>
            </m:sup>
          </m:sSubSup>
        </m:oMath>
      </m:oMathPara>
    </w:p>
    <w:p w14:paraId="115C0631" w14:textId="58C4F963" w:rsidR="00084851" w:rsidRPr="00084851" w:rsidRDefault="00084851" w:rsidP="00084851">
      <w:pPr>
        <w:jc w:val="both"/>
        <w:rPr>
          <w:rFonts w:eastAsiaTheme="minorEastAsia"/>
        </w:rPr>
      </w:pPr>
    </w:p>
    <w:p w14:paraId="01FFB88D" w14:textId="77777777" w:rsidR="00084851" w:rsidRPr="00084851" w:rsidRDefault="00084851" w:rsidP="00084851">
      <w:pPr>
        <w:jc w:val="both"/>
        <w:rPr>
          <w:rFonts w:eastAsiaTheme="minorEastAsia"/>
        </w:rPr>
      </w:pPr>
    </w:p>
    <w:p w14:paraId="74EA34B5" w14:textId="01A2A15C" w:rsidR="00A541D2" w:rsidRDefault="005A3D55" w:rsidP="00AA5300">
      <w:pPr>
        <w:jc w:val="both"/>
        <w:rPr>
          <w:rFonts w:eastAsiaTheme="minorEastAsia"/>
        </w:rPr>
      </w:pPr>
      <w:r>
        <w:rPr>
          <w:rFonts w:eastAsiaTheme="minorEastAsia"/>
        </w:rPr>
        <w:t>Also</w:t>
      </w:r>
      <w:r w:rsidR="00F965A7">
        <w:rPr>
          <w:rFonts w:eastAsiaTheme="minorEastAsia"/>
        </w:rPr>
        <w:t>,</w:t>
      </w:r>
      <w:r w:rsidR="00084851">
        <w:rPr>
          <w:rFonts w:eastAsiaTheme="minorEastAsia"/>
        </w:rPr>
        <w:t xml:space="preserve"> the complete posterior distribution of </w:t>
      </w:r>
      <m:oMath>
        <m:r>
          <w:rPr>
            <w:rFonts w:ascii="Cambria Math" w:eastAsiaTheme="minorEastAsia" w:hAnsi="Cambria Math"/>
          </w:rPr>
          <m:t>y</m:t>
        </m:r>
      </m:oMath>
      <w:r w:rsidR="00084851">
        <w:rPr>
          <w:rFonts w:eastAsiaTheme="minorEastAsia"/>
        </w:rPr>
        <w:t xml:space="preserve"> is given by:</w:t>
      </w:r>
    </w:p>
    <w:p w14:paraId="31582954" w14:textId="77777777" w:rsidR="00084851" w:rsidRDefault="00084851" w:rsidP="00AA5300">
      <w:pPr>
        <w:jc w:val="both"/>
        <w:rPr>
          <w:rFonts w:eastAsiaTheme="minorEastAsia"/>
        </w:rPr>
      </w:pPr>
    </w:p>
    <w:p w14:paraId="37A9D6A5" w14:textId="02069547" w:rsidR="00E012A2" w:rsidRDefault="00E012A2" w:rsidP="00AA5300">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y</m:t>
              </m:r>
            </m:e>
            <m:e>
              <m:r>
                <w:rPr>
                  <w:rFonts w:ascii="Cambria Math" w:hAnsi="Cambria Math"/>
                </w:rPr>
                <m:t>rest</m:t>
              </m:r>
            </m:e>
          </m:d>
          <m:r>
            <w:rPr>
              <w:rFonts w:ascii="Cambria Math" w:hAnsi="Cambria Math"/>
            </w:rPr>
            <m:t>∼MN</m:t>
          </m:r>
          <m:d>
            <m:dPr>
              <m:ctrlPr>
                <w:rPr>
                  <w:rFonts w:ascii="Cambria Math" w:hAnsi="Cambria Math"/>
                  <w:i/>
                </w:rPr>
              </m:ctrlPr>
            </m:dPr>
            <m:e>
              <m:r>
                <m:rPr>
                  <m:sty m:val="p"/>
                </m:rPr>
                <w:rPr>
                  <w:rFonts w:ascii="Cambria Math" w:hAnsi="Cambria Math"/>
                </w:rPr>
                <m:t>Φx,</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y</m:t>
                      </m:r>
                    </m:sub>
                  </m:sSub>
                </m:den>
              </m:f>
              <m:r>
                <w:rPr>
                  <w:rFonts w:ascii="Cambria Math" w:hAnsi="Cambria Math"/>
                </w:rPr>
                <m:t>I</m:t>
              </m:r>
            </m:e>
          </m:d>
        </m:oMath>
      </m:oMathPara>
    </w:p>
    <w:p w14:paraId="24D2F140" w14:textId="77777777" w:rsidR="00E012A2" w:rsidRDefault="00E012A2" w:rsidP="00AA5300">
      <w:pPr>
        <w:jc w:val="both"/>
        <w:rPr>
          <w:rFonts w:eastAsiaTheme="minorEastAsia"/>
        </w:rPr>
      </w:pPr>
    </w:p>
    <w:p w14:paraId="505C5DE7" w14:textId="7954AA91" w:rsidR="002874AE" w:rsidRPr="005862A7" w:rsidRDefault="00000000" w:rsidP="005862A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oMath>
      <w:r w:rsidR="00677320" w:rsidRPr="005862A7">
        <w:rPr>
          <w:rFonts w:eastAsiaTheme="minorEastAsia"/>
        </w:rPr>
        <w:t xml:space="preserve"> is a global </w:t>
      </w:r>
      <w:r w:rsidR="00245CA1" w:rsidRPr="005862A7">
        <w:rPr>
          <w:rFonts w:eastAsiaTheme="minorEastAsia"/>
        </w:rPr>
        <w:t xml:space="preserve">precision </w:t>
      </w:r>
      <w:r w:rsidR="00677320" w:rsidRPr="005862A7">
        <w:rPr>
          <w:rFonts w:eastAsiaTheme="minorEastAsia"/>
        </w:rPr>
        <w:t xml:space="preserve">parameter estimated </w:t>
      </w:r>
      <w:r w:rsidR="007B18A5">
        <w:rPr>
          <w:rFonts w:eastAsiaTheme="minorEastAsia"/>
        </w:rPr>
        <w:t xml:space="preserve">for independent measurement </w:t>
      </w:r>
      <w:r w:rsidR="00084851">
        <w:rPr>
          <w:rFonts w:eastAsiaTheme="minorEastAsia"/>
        </w:rPr>
        <w:t xml:space="preserve">variance. The precision parameter has </w:t>
      </w:r>
      <w:r w:rsidR="002874AE" w:rsidRPr="005862A7">
        <w:rPr>
          <w:rFonts w:eastAsiaTheme="minorEastAsia"/>
        </w:rPr>
        <w:t xml:space="preserve">a Gamma-distributed prior: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e>
        </m:d>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ζ</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0</m:t>
                    </m:r>
                  </m:sub>
                </m:sSub>
              </m:sub>
            </m:sSub>
          </m:e>
        </m:d>
      </m:oMath>
      <w:r w:rsidR="002874AE" w:rsidRPr="005862A7">
        <w:rPr>
          <w:rFonts w:eastAsiaTheme="minorEastAsia"/>
        </w:rPr>
        <w:t xml:space="preserve"> with </w:t>
      </w:r>
      <w:r w:rsidR="0083076D">
        <w:rPr>
          <w:rFonts w:eastAsiaTheme="minorEastAsia"/>
        </w:rPr>
        <w:t xml:space="preserve">given </w:t>
      </w:r>
      <w:r w:rsidR="005862A7" w:rsidRPr="005862A7">
        <w:rPr>
          <w:rFonts w:eastAsiaTheme="minorEastAsia"/>
        </w:rPr>
        <w:t xml:space="preserve">shape </w:t>
      </w:r>
      <w:r w:rsidR="0083076D">
        <w:rPr>
          <w:rFonts w:eastAsiaTheme="minorEastAsia"/>
        </w:rPr>
        <w:t>hyper</w:t>
      </w:r>
      <w:r w:rsidR="005862A7" w:rsidRPr="005862A7">
        <w:rPr>
          <w:rFonts w:eastAsiaTheme="minorEastAsia"/>
        </w:rPr>
        <w:t xml:space="preserve">parameter, </w:t>
      </w:r>
      <m:oMath>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ub>
        </m:sSub>
      </m:oMath>
      <w:r w:rsidR="005862A7" w:rsidRPr="005862A7">
        <w:rPr>
          <w:rFonts w:eastAsiaTheme="minorEastAsia"/>
        </w:rPr>
        <w:t xml:space="preserve">, and </w:t>
      </w:r>
      <w:r w:rsidR="0083076D">
        <w:rPr>
          <w:rFonts w:eastAsiaTheme="minorEastAsia"/>
        </w:rPr>
        <w:t xml:space="preserve">given </w:t>
      </w:r>
      <w:r w:rsidR="005862A7" w:rsidRPr="005862A7">
        <w:rPr>
          <w:rFonts w:eastAsiaTheme="minorEastAsia"/>
        </w:rPr>
        <w:t xml:space="preserve">inverse scale </w:t>
      </w:r>
      <w:r w:rsidR="0083076D">
        <w:rPr>
          <w:rFonts w:eastAsiaTheme="minorEastAsia"/>
        </w:rPr>
        <w:t>hyper</w:t>
      </w:r>
      <w:r w:rsidR="005862A7" w:rsidRPr="005862A7">
        <w:rPr>
          <w:rFonts w:eastAsiaTheme="minorEastAsia"/>
        </w:rPr>
        <w:t xml:space="preserve">parameter, </w:t>
      </w:r>
      <m:oMath>
        <m:sSub>
          <m:sSubPr>
            <m:ctrlPr>
              <w:rPr>
                <w:rFonts w:ascii="Cambria Math" w:eastAsiaTheme="minorEastAsia" w:hAnsi="Cambria Math"/>
                <w:i/>
              </w:rPr>
            </m:ctrlPr>
          </m:sSubPr>
          <m:e>
            <m:r>
              <w:rPr>
                <w:rFonts w:ascii="Cambria Math" w:eastAsiaTheme="minorEastAsia" w:hAnsi="Cambria Math"/>
              </w:rPr>
              <m:t>ζ</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ub>
        </m:sSub>
      </m:oMath>
      <w:r w:rsidR="005862A7" w:rsidRPr="005862A7">
        <w:rPr>
          <w:rFonts w:eastAsiaTheme="minorEastAsia"/>
        </w:rPr>
        <w:t>.</w:t>
      </w:r>
      <w:r w:rsidR="00124D04">
        <w:rPr>
          <w:rFonts w:eastAsiaTheme="minorEastAsia"/>
        </w:rPr>
        <w:t xml:space="preserve"> </w:t>
      </w:r>
      <m:oMath>
        <m:r>
          <w:rPr>
            <w:rFonts w:ascii="Cambria Math" w:eastAsiaTheme="minorEastAsia" w:hAnsi="Cambria Math"/>
          </w:rPr>
          <m:t>I</m:t>
        </m:r>
      </m:oMath>
      <w:r w:rsidR="00124D04">
        <w:rPr>
          <w:rFonts w:eastAsiaTheme="minorEastAsia"/>
        </w:rPr>
        <w:t xml:space="preserve"> is an identity matrix</w:t>
      </w:r>
      <w:r w:rsidR="00084851">
        <w:rPr>
          <w:rFonts w:eastAsiaTheme="minorEastAsia"/>
        </w:rPr>
        <w:t>.</w:t>
      </w:r>
    </w:p>
    <w:p w14:paraId="4A3D8DE1" w14:textId="77777777" w:rsidR="0024126E" w:rsidRDefault="0024126E" w:rsidP="00661F25">
      <w:pPr>
        <w:jc w:val="both"/>
        <w:rPr>
          <w:rFonts w:eastAsiaTheme="minorEastAsia"/>
        </w:rPr>
      </w:pPr>
    </w:p>
    <w:p w14:paraId="4FC72FCD" w14:textId="144EE1B5" w:rsidR="00BF6272" w:rsidRDefault="00BF6272" w:rsidP="00661F25">
      <w:pPr>
        <w:jc w:val="both"/>
        <w:rPr>
          <w:rFonts w:eastAsiaTheme="minorEastAsia"/>
        </w:rPr>
      </w:pPr>
      <w:r>
        <w:rPr>
          <w:rFonts w:eastAsiaTheme="minorEastAsia"/>
        </w:rPr>
        <w:t xml:space="preserve">The economic </w:t>
      </w:r>
      <w:r w:rsidR="00852D4B">
        <w:rPr>
          <w:rFonts w:eastAsiaTheme="minorEastAsia"/>
        </w:rPr>
        <w:t>assumption behind</w:t>
      </w:r>
      <w:r w:rsidR="00CF5152">
        <w:rPr>
          <w:rFonts w:eastAsiaTheme="minorEastAsia"/>
        </w:rPr>
        <w:t xml:space="preserve"> </w:t>
      </w:r>
      <w:r w:rsidR="00084851">
        <w:rPr>
          <w:rFonts w:eastAsiaTheme="minorEastAsia"/>
        </w:rPr>
        <w:t>the smoothing</w:t>
      </w:r>
      <w:r w:rsidR="00CF5152">
        <w:rPr>
          <w:rFonts w:eastAsiaTheme="minorEastAsia"/>
        </w:rPr>
        <w:t xml:space="preserve"> process </w:t>
      </w:r>
      <w:r w:rsidR="00852D4B">
        <w:rPr>
          <w:rFonts w:eastAsiaTheme="minorEastAsia"/>
        </w:rPr>
        <w:t xml:space="preserve">is </w:t>
      </w:r>
      <w:r>
        <w:rPr>
          <w:rFonts w:eastAsiaTheme="minorEastAsia"/>
        </w:rPr>
        <w:t xml:space="preserve">simple: </w:t>
      </w:r>
      <w:r w:rsidR="000E7E5F">
        <w:rPr>
          <w:rFonts w:eastAsiaTheme="minorEastAsia"/>
        </w:rPr>
        <w:t>that the observed fund returns (</w:t>
      </w:r>
      <m:oMath>
        <m:r>
          <w:rPr>
            <w:rFonts w:ascii="Cambria Math" w:eastAsiaTheme="minorEastAsia" w:hAnsi="Cambria Math"/>
          </w:rPr>
          <m:t>y</m:t>
        </m:r>
      </m:oMath>
      <w:r w:rsidR="000E7E5F">
        <w:rPr>
          <w:rFonts w:eastAsiaTheme="minorEastAsia"/>
        </w:rPr>
        <w:t xml:space="preserve">) is a weighted average of the fund’s economic returns, </w:t>
      </w:r>
      <m:oMath>
        <m:r>
          <w:rPr>
            <w:rFonts w:ascii="Cambria Math" w:eastAsiaTheme="minorEastAsia" w:hAnsi="Cambria Math"/>
          </w:rPr>
          <m:t>x</m:t>
        </m:r>
      </m:oMath>
      <w:r w:rsidR="000E7E5F">
        <w:rPr>
          <w:rFonts w:eastAsiaTheme="minorEastAsia"/>
        </w:rPr>
        <w:t xml:space="preserve">, </w:t>
      </w:r>
      <w:r w:rsidR="00CF5152">
        <w:rPr>
          <w:rFonts w:eastAsiaTheme="minorEastAsia"/>
        </w:rPr>
        <w:t xml:space="preserve">over the most recent </w:t>
      </w:r>
      <w:r w:rsidR="00DB4D6B">
        <w:rPr>
          <w:rFonts w:eastAsiaTheme="minorEastAsia"/>
        </w:rPr>
        <w:t>(</w:t>
      </w:r>
      <m:oMath>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oMath>
      <w:r w:rsidR="00DB4D6B">
        <w:rPr>
          <w:rFonts w:eastAsiaTheme="minorEastAsia"/>
        </w:rPr>
        <w:t xml:space="preserve">) periods, including the current period. </w:t>
      </w:r>
      <w:r w:rsidR="00852D4B">
        <w:rPr>
          <w:rFonts w:eastAsiaTheme="minorEastAsia"/>
        </w:rPr>
        <w:t xml:space="preserve">The econometric implications of this are that </w:t>
      </w:r>
      <w:r w:rsidR="007F1A12">
        <w:rPr>
          <w:rFonts w:eastAsiaTheme="minorEastAsia"/>
        </w:rPr>
        <w:t xml:space="preserve">under the given assumption, the observed fund returns follow a MA process of order </w:t>
      </w:r>
      <m:oMath>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oMath>
      <w:r w:rsidR="00626147">
        <w:rPr>
          <w:rFonts w:eastAsiaTheme="minorEastAsia"/>
        </w:rPr>
        <w:t>.</w:t>
      </w:r>
    </w:p>
    <w:p w14:paraId="2E55942A" w14:textId="77777777" w:rsidR="00E860FC" w:rsidRDefault="00E860FC" w:rsidP="00661F25">
      <w:pPr>
        <w:jc w:val="both"/>
      </w:pPr>
    </w:p>
    <w:p w14:paraId="1EFA9A77" w14:textId="04E39021" w:rsidR="008F28E8" w:rsidRDefault="008F28E8" w:rsidP="00661F25">
      <w:pPr>
        <w:jc w:val="both"/>
      </w:pPr>
      <w:r w:rsidRPr="008F28E8">
        <w:t xml:space="preserve">This restriction is similar to </w:t>
      </w:r>
      <w:proofErr w:type="spellStart"/>
      <w:r w:rsidRPr="008F28E8">
        <w:t>Getmansky</w:t>
      </w:r>
      <w:proofErr w:type="spellEnd"/>
      <w:r w:rsidR="00EF4E53">
        <w:t xml:space="preserve"> et al [</w:t>
      </w:r>
      <w:r w:rsidRPr="008F28E8">
        <w:t>2004</w:t>
      </w:r>
      <w:r w:rsidR="00EF4E53">
        <w:t>]</w:t>
      </w:r>
      <w:r w:rsidRPr="008F28E8">
        <w:t xml:space="preserve"> where the observed return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0</m:t>
            </m:r>
          </m:sup>
        </m:sSubSup>
      </m:oMath>
      <w:r w:rsidRPr="008F28E8">
        <w:t xml:space="preserve">) for some period </w:t>
      </w:r>
      <m:oMath>
        <m:r>
          <w:rPr>
            <w:rFonts w:ascii="Cambria Math" w:hAnsi="Cambria Math"/>
          </w:rPr>
          <m:t>t</m:t>
        </m:r>
      </m:oMath>
      <w:r w:rsidRPr="008F28E8">
        <w:t>, is a weighted average of the “true” returns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C</m:t>
            </m:r>
          </m:sup>
        </m:sSubSup>
      </m:oMath>
      <w:r w:rsidRPr="008F28E8">
        <w:t xml:space="preserve">) over the most recent </w:t>
      </w:r>
      <m:oMath>
        <m:r>
          <w:rPr>
            <w:rFonts w:ascii="Cambria Math" w:hAnsi="Cambria Math"/>
          </w:rPr>
          <m:t>k+1</m:t>
        </m:r>
      </m:oMath>
      <w:r w:rsidRPr="008F28E8">
        <w:t xml:space="preserve"> periods: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sSubSup>
          <m:sSubSupPr>
            <m:ctrlPr>
              <w:rPr>
                <w:rFonts w:ascii="Cambria Math" w:hAnsi="Cambria Math"/>
                <w:i/>
              </w:rPr>
            </m:ctrlPr>
          </m:sSubSupPr>
          <m:e>
            <m:r>
              <w:rPr>
                <w:rFonts w:ascii="Cambria Math" w:hAnsi="Cambria Math"/>
              </w:rPr>
              <m:t>R</m:t>
            </m:r>
          </m:e>
          <m:sub>
            <m:r>
              <w:rPr>
                <w:rFonts w:ascii="Cambria Math" w:hAnsi="Cambria Math"/>
              </w:rPr>
              <m:t>t-k</m:t>
            </m:r>
          </m:sub>
          <m:sup>
            <m:r>
              <w:rPr>
                <w:rFonts w:ascii="Cambria Math" w:hAnsi="Cambria Math"/>
              </w:rPr>
              <m:t>C</m:t>
            </m:r>
          </m:sup>
        </m:sSubSup>
      </m:oMath>
      <w:r w:rsidRPr="008F28E8">
        <w:t xml:space="preserve">, with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r>
          <w:rPr>
            <w:rFonts w:ascii="Cambria Math" w:hAnsi="Cambria Math"/>
          </w:rPr>
          <m:t>=1</m:t>
        </m:r>
      </m:oMath>
      <w:r w:rsidRPr="008F28E8">
        <w:t xml:space="preserve"> to ensure that all information is eventually incorporated into observed returns, and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Pr="008F28E8">
        <w:t xml:space="preserve"> for </w:t>
      </w:r>
      <m:oMath>
        <m:r>
          <w:rPr>
            <w:rFonts w:ascii="Cambria Math" w:hAnsi="Cambria Math"/>
          </w:rPr>
          <m:t>i=1,…,k</m:t>
        </m:r>
      </m:oMath>
      <w:r w:rsidRPr="008F28E8">
        <w:t xml:space="preserve">. In our case the observed </w:t>
      </w:r>
      <w:r w:rsidRPr="008F28E8">
        <w:lastRenderedPageBreak/>
        <w:t xml:space="preserve">returns are the reported returns, </w:t>
      </w:r>
      <m:oMath>
        <m:r>
          <w:rPr>
            <w:rFonts w:ascii="Cambria Math" w:hAnsi="Cambria Math"/>
          </w:rPr>
          <m:t>y</m:t>
        </m:r>
      </m:oMath>
      <w:r w:rsidRPr="008F28E8">
        <w:t xml:space="preserve">, the “true” returns are the latent returns generated using the factors, </w:t>
      </w:r>
      <m:oMath>
        <m:r>
          <w:rPr>
            <w:rFonts w:ascii="Cambria Math" w:hAnsi="Cambria Math"/>
          </w:rPr>
          <m:t>x</m:t>
        </m:r>
      </m:oMath>
      <w:r w:rsidRPr="008F28E8">
        <w:t xml:space="preserve">, and the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8F28E8">
        <w:t xml:space="preserve"> terms (or as we notate them,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Pr="008F28E8">
        <w:t xml:space="preserve"> terms) are generated using a multivariate normal distribution in the hierarchical Bayesian model</w:t>
      </w:r>
      <w:r w:rsidR="0080681B">
        <w:t>, as follows:</w:t>
      </w:r>
    </w:p>
    <w:p w14:paraId="5FBE8F55" w14:textId="77777777" w:rsidR="0080681B" w:rsidRDefault="0080681B" w:rsidP="00661F25">
      <w:pPr>
        <w:jc w:val="both"/>
      </w:pPr>
    </w:p>
    <w:p w14:paraId="590AC56E" w14:textId="77777777" w:rsidR="00306E6E" w:rsidRPr="002A35E7" w:rsidRDefault="00306E6E" w:rsidP="00306E6E">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ϕ</m:t>
              </m:r>
            </m:e>
            <m:e>
              <m:r>
                <w:rPr>
                  <w:rFonts w:ascii="Cambria Math" w:hAnsi="Cambria Math"/>
                </w:rPr>
                <m:t>rest</m:t>
              </m:r>
            </m:e>
          </m:d>
          <m:r>
            <w:rPr>
              <w:rFonts w:ascii="Cambria Math" w:hAnsi="Cambria Math"/>
            </w:rPr>
            <m:t>∼MN</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y</m:t>
                      </m:r>
                    </m:sub>
                  </m:sSub>
                  <m:sSub>
                    <m:sSubPr>
                      <m:ctrlPr>
                        <w:rPr>
                          <w:rFonts w:ascii="Cambria Math" w:hAnsi="Cambria Math"/>
                          <w:i/>
                        </w:rPr>
                      </m:ctrlPr>
                    </m:sSubPr>
                    <m:e>
                      <m:r>
                        <w:rPr>
                          <w:rFonts w:ascii="Cambria Math" w:hAnsi="Cambria Math"/>
                        </w:rPr>
                        <m:t>τ</m:t>
                      </m:r>
                    </m:e>
                    <m:sub>
                      <m:r>
                        <w:rPr>
                          <w:rFonts w:ascii="Cambria Math" w:hAnsi="Cambria Math"/>
                        </w:rPr>
                        <m:t>ϕ</m:t>
                      </m:r>
                    </m:sub>
                  </m:sSub>
                </m:den>
              </m:f>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-1</m:t>
                  </m:r>
                </m:sup>
              </m:sSubSup>
            </m:e>
          </m:d>
        </m:oMath>
      </m:oMathPara>
    </w:p>
    <w:p w14:paraId="4D9B7880" w14:textId="77777777" w:rsidR="0080681B" w:rsidRDefault="0080681B" w:rsidP="00661F25">
      <w:pPr>
        <w:jc w:val="both"/>
      </w:pPr>
    </w:p>
    <w:p w14:paraId="100D3045" w14:textId="72041F5D" w:rsidR="004A1B0A" w:rsidRPr="004A1B0A" w:rsidRDefault="00EC570F" w:rsidP="004A1B0A">
      <w:pPr>
        <w:jc w:val="both"/>
        <w:rPr>
          <w:rFonts w:eastAsiaTheme="minorEastAsia"/>
        </w:rPr>
      </w:pPr>
      <w:r>
        <w:t xml:space="preserve">Here, </w:t>
      </w:r>
      <m:oMath>
        <m:sSub>
          <m:sSubPr>
            <m:ctrlPr>
              <w:rPr>
                <w:rFonts w:ascii="Cambria Math" w:hAnsi="Cambria Math"/>
                <w:i/>
              </w:rPr>
            </m:ctrlPr>
          </m:sSubPr>
          <m:e>
            <m:r>
              <w:rPr>
                <w:rFonts w:ascii="Cambria Math" w:hAnsi="Cambria Math"/>
              </w:rPr>
              <m:t>τ</m:t>
            </m:r>
          </m:e>
          <m:sub>
            <m:r>
              <w:rPr>
                <w:rFonts w:ascii="Cambria Math" w:hAnsi="Cambria Math"/>
              </w:rPr>
              <m:t>y</m:t>
            </m:r>
          </m:sub>
        </m:sSub>
      </m:oMath>
      <w:r w:rsidRPr="004A1B0A">
        <w:rPr>
          <w:rFonts w:eastAsiaTheme="minorEastAsia"/>
        </w:rPr>
        <w:t xml:space="preserve"> is as defined above</w:t>
      </w:r>
      <w:r w:rsidR="004174A5" w:rsidRPr="004A1B0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ϕ</m:t>
            </m:r>
          </m:sub>
        </m:sSub>
      </m:oMath>
      <w:r w:rsidR="004174A5" w:rsidRPr="004A1B0A">
        <w:rPr>
          <w:rFonts w:eastAsiaTheme="minorEastAsia"/>
        </w:rPr>
        <w:t xml:space="preserve"> is </w:t>
      </w:r>
      <w:r w:rsidR="004A1B0A" w:rsidRPr="004A1B0A">
        <w:rPr>
          <w:rFonts w:eastAsiaTheme="minorEastAsia"/>
        </w:rPr>
        <w:t xml:space="preserve">a global precision multiplier parameter, distributed as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ϕ</m:t>
                </m:r>
              </m:sub>
            </m:sSub>
          </m:e>
        </m:d>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ζ</m:t>
                </m:r>
              </m:e>
              <m: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ub>
            </m:sSub>
          </m:e>
        </m:d>
      </m:oMath>
      <w:r w:rsidR="004A1B0A">
        <w:rPr>
          <w:rFonts w:eastAsiaTheme="minorEastAsia"/>
        </w:rPr>
        <w:t xml:space="preserve"> with </w:t>
      </w:r>
      <w:r w:rsidR="00173A04">
        <w:rPr>
          <w:rFonts w:eastAsiaTheme="minorEastAsia"/>
        </w:rPr>
        <w:t xml:space="preserve">given </w:t>
      </w:r>
      <w:r w:rsidR="009E2940">
        <w:rPr>
          <w:rFonts w:eastAsiaTheme="minorEastAsia"/>
        </w:rPr>
        <w:t xml:space="preserve">shape and inverse scale </w:t>
      </w:r>
      <w:r w:rsidR="007F23DD">
        <w:rPr>
          <w:rFonts w:eastAsiaTheme="minorEastAsia"/>
        </w:rPr>
        <w:t>hyperparameters</w:t>
      </w:r>
      <w:r w:rsidR="00173A04">
        <w:rPr>
          <w:rFonts w:eastAsiaTheme="minorEastAsia"/>
        </w:rPr>
        <w:t>;</w:t>
      </w:r>
      <w:r w:rsidR="007F23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007F23DD">
        <w:rPr>
          <w:rFonts w:eastAsiaTheme="minorEastAsia"/>
        </w:rPr>
        <w:t xml:space="preserve"> is a </w:t>
      </w:r>
      <m:oMath>
        <m:r>
          <w:rPr>
            <w:rFonts w:ascii="Cambria Math" w:eastAsiaTheme="minorEastAsia" w:hAnsi="Cambria Math"/>
          </w:rPr>
          <m:t>P×P</m:t>
        </m:r>
      </m:oMath>
      <w:r w:rsidR="009B0DE0">
        <w:rPr>
          <w:rFonts w:eastAsiaTheme="minorEastAsia"/>
        </w:rPr>
        <w:t xml:space="preserve"> matrix consisting of precision hyperparameters for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oMath>
      <w:r w:rsidR="00173A0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oMath>
      <w:r w:rsidR="00173A04">
        <w:rPr>
          <w:rFonts w:eastAsiaTheme="minorEastAsia"/>
        </w:rPr>
        <w:t xml:space="preserve"> is a </w:t>
      </w:r>
      <w:r w:rsidR="006358BC">
        <w:rPr>
          <w:rFonts w:eastAsiaTheme="minorEastAsia"/>
        </w:rPr>
        <w:t>hyperparameter (</w:t>
      </w:r>
      <w:r w:rsidR="00084851">
        <w:rPr>
          <w:rFonts w:eastAsiaTheme="minorEastAsia"/>
        </w:rPr>
        <w:t>i.e., fed into the model</w:t>
      </w:r>
      <w:r w:rsidR="006358BC">
        <w:rPr>
          <w:rFonts w:eastAsiaTheme="minorEastAsia"/>
        </w:rPr>
        <w:t>)</w:t>
      </w:r>
      <w:r w:rsidR="00173A04">
        <w:rPr>
          <w:rFonts w:eastAsiaTheme="minorEastAsia"/>
        </w:rPr>
        <w:t>.</w:t>
      </w:r>
      <w:r w:rsidR="00C51D2F">
        <w:rPr>
          <w:rFonts w:eastAsiaTheme="minorEastAsia"/>
        </w:rPr>
        <w:t xml:space="preserve"> </w:t>
      </w:r>
    </w:p>
    <w:p w14:paraId="7CD95BEF" w14:textId="77777777" w:rsidR="008F28E8" w:rsidRDefault="008F28E8" w:rsidP="00661F25">
      <w:pPr>
        <w:jc w:val="both"/>
      </w:pPr>
    </w:p>
    <w:p w14:paraId="234774A9" w14:textId="7C8EEDCF" w:rsidR="00084851" w:rsidRDefault="00084851" w:rsidP="00E166DD">
      <w:pPr>
        <w:pStyle w:val="Heading2"/>
      </w:pPr>
      <w:r>
        <w:t>A Brief Digression the Choice of Prior Distributions</w:t>
      </w:r>
    </w:p>
    <w:p w14:paraId="2406C9D3" w14:textId="636629B0" w:rsidR="00084851" w:rsidRDefault="00084851" w:rsidP="00084851">
      <w:pPr>
        <w:jc w:val="both"/>
      </w:pPr>
      <w:r w:rsidRPr="00084851">
        <w:t>The influence of well-behaved priors declines as data increases. Priors are, of course, essential in Bayesian analysis. In theory, Bayesian models exhibit a property known as ‘consistency.’ This means that as the sample size grows to infinity, the posterior distribution of the parameter of interest will converge to the “true” parameter value</w:t>
      </w:r>
      <w:r>
        <w:rPr>
          <w:rStyle w:val="FootnoteReference"/>
        </w:rPr>
        <w:footnoteReference w:id="10"/>
      </w:r>
      <w:r w:rsidRPr="00084851">
        <w:t>, assuming the model is correctly specified. In such a scenario, the choice of prior becomes less critical as the sample size increases.</w:t>
      </w:r>
    </w:p>
    <w:p w14:paraId="4F53988A" w14:textId="77777777" w:rsidR="00084851" w:rsidRDefault="00084851" w:rsidP="00084851">
      <w:pPr>
        <w:jc w:val="both"/>
      </w:pPr>
    </w:p>
    <w:p w14:paraId="3276CB90" w14:textId="77777777" w:rsidR="00084851" w:rsidRDefault="00084851" w:rsidP="00084851">
      <w:pPr>
        <w:jc w:val="both"/>
      </w:pPr>
      <w:r>
        <w:t>That said, the use of the gamma distribution with an inverse scale parametrization above is convenient for several reasons:</w:t>
      </w:r>
    </w:p>
    <w:p w14:paraId="126C1F5E" w14:textId="6F6C04A2" w:rsidR="00084851" w:rsidRDefault="00084851" w:rsidP="00084851">
      <w:pPr>
        <w:pStyle w:val="ListParagraph"/>
        <w:numPr>
          <w:ilvl w:val="0"/>
          <w:numId w:val="16"/>
        </w:numPr>
        <w:jc w:val="both"/>
      </w:pPr>
      <w:r>
        <w:t>Conjugacy: conjugate priors are advantageous for computational and analytical simplicity.</w:t>
      </w:r>
    </w:p>
    <w:p w14:paraId="58FC1AA2" w14:textId="1EB1913F" w:rsidR="00084851" w:rsidRDefault="00084851" w:rsidP="00084851">
      <w:pPr>
        <w:pStyle w:val="ListParagraph"/>
        <w:numPr>
          <w:ilvl w:val="0"/>
          <w:numId w:val="16"/>
        </w:numPr>
        <w:jc w:val="both"/>
      </w:pPr>
      <w:r>
        <w:t>Positive Values: the gamma distribution is defined for positive values only.</w:t>
      </w:r>
    </w:p>
    <w:p w14:paraId="5A96AF9D" w14:textId="2D27ACCE" w:rsidR="00084851" w:rsidRDefault="00084851" w:rsidP="00084851">
      <w:pPr>
        <w:pStyle w:val="ListParagraph"/>
        <w:numPr>
          <w:ilvl w:val="0"/>
          <w:numId w:val="16"/>
        </w:numPr>
        <w:jc w:val="both"/>
      </w:pPr>
      <w:r>
        <w:t>Informative and Non-Informative Settings: the gamma distribution encodes both informative and highly diffuse priors. By adjusting its parameters, the priors may include strong prior beliefs or have minimal influence on the posterior, as reflecting the information available outside of the data.</w:t>
      </w:r>
    </w:p>
    <w:p w14:paraId="569278A8" w14:textId="290D2531" w:rsidR="00084851" w:rsidRDefault="00084851" w:rsidP="00084851">
      <w:pPr>
        <w:pStyle w:val="ListParagraph"/>
        <w:numPr>
          <w:ilvl w:val="0"/>
          <w:numId w:val="16"/>
        </w:numPr>
        <w:jc w:val="both"/>
      </w:pPr>
      <w:r>
        <w:t xml:space="preserve">Regularization and Stability: In Bayesian hierarchical models, the use of gamma priors can help in regularizing the estimates, particularly in complex models or in the presence of </w:t>
      </w:r>
      <w:proofErr w:type="spellStart"/>
      <w:r>
        <w:t>lim</w:t>
      </w:r>
      <w:proofErr w:type="spellEnd"/>
      <w:r>
        <w:t xml:space="preserve">- </w:t>
      </w:r>
      <w:proofErr w:type="spellStart"/>
      <w:r>
        <w:t>ited</w:t>
      </w:r>
      <w:proofErr w:type="spellEnd"/>
      <w:r>
        <w:t xml:space="preserve"> data. This can prevent overfitting and improve the model’s stability and predictive performance.</w:t>
      </w:r>
    </w:p>
    <w:p w14:paraId="5693BF29" w14:textId="77777777" w:rsidR="00084851" w:rsidRPr="00084851" w:rsidRDefault="00084851" w:rsidP="00084851"/>
    <w:p w14:paraId="755DEFDF" w14:textId="23342A4C" w:rsidR="00E166DD" w:rsidRDefault="00E166DD" w:rsidP="00084851">
      <w:pPr>
        <w:pStyle w:val="Heading2"/>
      </w:pPr>
      <w:r>
        <w:t xml:space="preserve">Stochastic </w:t>
      </w:r>
      <w:r w:rsidR="00515176">
        <w:t>Search Variable Selection (SSVS)</w:t>
      </w:r>
    </w:p>
    <w:p w14:paraId="33C7A1F5" w14:textId="77777777" w:rsidR="00737675" w:rsidRPr="00737675" w:rsidRDefault="00737675" w:rsidP="00737675"/>
    <w:tbl>
      <w:tblPr>
        <w:tblStyle w:val="TableGrid"/>
        <w:tblW w:w="0" w:type="auto"/>
        <w:tblLook w:val="04A0" w:firstRow="1" w:lastRow="0" w:firstColumn="1" w:lastColumn="0" w:noHBand="0" w:noVBand="1"/>
      </w:tblPr>
      <w:tblGrid>
        <w:gridCol w:w="9350"/>
      </w:tblGrid>
      <w:tr w:rsidR="00DB4324" w14:paraId="045A446A" w14:textId="77777777" w:rsidTr="00DB4324">
        <w:tc>
          <w:tcPr>
            <w:tcW w:w="9350" w:type="dxa"/>
          </w:tcPr>
          <w:p w14:paraId="791060B0" w14:textId="42FC8796" w:rsidR="00DB4324" w:rsidRDefault="00DB4324" w:rsidP="00DB4324">
            <w:pPr>
              <w:jc w:val="center"/>
            </w:pPr>
            <w:r>
              <w:rPr>
                <w:noProof/>
              </w:rPr>
              <w:lastRenderedPageBreak/>
              <w:drawing>
                <wp:inline distT="0" distB="0" distL="0" distR="0" wp14:anchorId="6CEA5729" wp14:editId="3D6BD9B7">
                  <wp:extent cx="5802983" cy="2988908"/>
                  <wp:effectExtent l="0" t="0" r="1270" b="0"/>
                  <wp:docPr id="1377704026" name="Picture 2"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04026" name="Picture 2" descr="A graph of a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3252" cy="2994197"/>
                          </a:xfrm>
                          <a:prstGeom prst="rect">
                            <a:avLst/>
                          </a:prstGeom>
                        </pic:spPr>
                      </pic:pic>
                    </a:graphicData>
                  </a:graphic>
                </wp:inline>
              </w:drawing>
            </w:r>
          </w:p>
        </w:tc>
      </w:tr>
      <w:tr w:rsidR="00DB4324" w14:paraId="7E9510E7" w14:textId="77777777" w:rsidTr="00DB4324">
        <w:tc>
          <w:tcPr>
            <w:tcW w:w="9350" w:type="dxa"/>
          </w:tcPr>
          <w:p w14:paraId="15FF4F62" w14:textId="08B5E853" w:rsidR="00DB4324" w:rsidRPr="00DB4324" w:rsidRDefault="00670982" w:rsidP="00DB4324">
            <w:pPr>
              <w:rPr>
                <w:rFonts w:asciiTheme="majorHAnsi" w:hAnsiTheme="majorHAnsi" w:cstheme="majorHAnsi"/>
                <w:i/>
                <w:iCs/>
              </w:rPr>
            </w:pPr>
            <w:r w:rsidRPr="00670982">
              <w:rPr>
                <w:rFonts w:asciiTheme="majorHAnsi" w:eastAsiaTheme="minorEastAsia" w:hAnsiTheme="majorHAnsi" w:cstheme="majorHAnsi"/>
                <w:i/>
                <w:iCs/>
                <w:color w:val="2F5496" w:themeColor="accent1" w:themeShade="BF"/>
              </w:rPr>
              <w:t xml:space="preserve">Figure </w:t>
            </w:r>
            <w:r>
              <w:rPr>
                <w:rFonts w:asciiTheme="majorHAnsi" w:eastAsiaTheme="minorEastAsia" w:hAnsiTheme="majorHAnsi" w:cstheme="majorHAnsi"/>
                <w:i/>
                <w:iCs/>
                <w:color w:val="2F5496" w:themeColor="accent1" w:themeShade="BF"/>
              </w:rPr>
              <w:t>3</w:t>
            </w:r>
            <w:r w:rsidRPr="00670982">
              <w:rPr>
                <w:rFonts w:asciiTheme="majorHAnsi" w:eastAsiaTheme="minorEastAsia" w:hAnsiTheme="majorHAnsi" w:cstheme="majorHAnsi"/>
                <w:i/>
                <w:iCs/>
                <w:color w:val="2F5496" w:themeColor="accent1" w:themeShade="BF"/>
              </w:rPr>
              <w:t xml:space="preserve">: </w:t>
            </w:r>
            <w:r w:rsidR="00DB4324" w:rsidRPr="00DB4324">
              <w:rPr>
                <w:rFonts w:asciiTheme="majorHAnsi" w:hAnsiTheme="majorHAnsi" w:cstheme="majorHAnsi"/>
                <w:i/>
                <w:iCs/>
                <w:color w:val="2F5496" w:themeColor="accent1" w:themeShade="BF"/>
              </w:rPr>
              <w:t>The probability mass function of a fund’s intercept term (</w:t>
            </w:r>
            <m:oMath>
              <m:sSub>
                <m:sSubPr>
                  <m:ctrlPr>
                    <w:rPr>
                      <w:rFonts w:ascii="Cambria Math" w:hAnsi="Cambria Math" w:cstheme="majorHAnsi"/>
                      <w:i/>
                      <w:iCs/>
                      <w:color w:val="2F5496" w:themeColor="accent1" w:themeShade="BF"/>
                    </w:rPr>
                  </m:ctrlPr>
                </m:sSubPr>
                <m:e>
                  <m:r>
                    <w:rPr>
                      <w:rFonts w:ascii="Cambria Math" w:hAnsi="Cambria Math" w:cstheme="majorHAnsi"/>
                      <w:color w:val="2F5496" w:themeColor="accent1" w:themeShade="BF"/>
                    </w:rPr>
                    <m:t>β</m:t>
                  </m:r>
                </m:e>
                <m:sub>
                  <m:r>
                    <w:rPr>
                      <w:rFonts w:ascii="Cambria Math" w:hAnsi="Cambria Math" w:cstheme="majorHAnsi"/>
                      <w:color w:val="2F5496" w:themeColor="accent1" w:themeShade="BF"/>
                    </w:rPr>
                    <m:t>0</m:t>
                  </m:r>
                </m:sub>
              </m:sSub>
            </m:oMath>
            <w:r w:rsidR="00DB4324" w:rsidRPr="00DB4324">
              <w:rPr>
                <w:rFonts w:asciiTheme="majorHAnsi" w:hAnsiTheme="majorHAnsi" w:cstheme="majorHAnsi"/>
                <w:i/>
                <w:iCs/>
                <w:color w:val="2F5496" w:themeColor="accent1" w:themeShade="BF"/>
              </w:rPr>
              <w:t>) from the SSVS (spike and slab) regression. The spike is apparent due to limited evidence of an intercept. The probability mass is concentrated around zero with a small positive tilt. There is low evidence of an intercept term.</w:t>
            </w:r>
          </w:p>
        </w:tc>
      </w:tr>
    </w:tbl>
    <w:p w14:paraId="7B36EFB2" w14:textId="77777777" w:rsidR="00DB4324" w:rsidRPr="00DB4324" w:rsidRDefault="00DB4324" w:rsidP="00DB4324"/>
    <w:p w14:paraId="6F66F62C" w14:textId="2C70936C" w:rsidR="00D81FEB" w:rsidRDefault="00515176" w:rsidP="00573F14">
      <w:pPr>
        <w:jc w:val="both"/>
        <w:rPr>
          <w:rFonts w:eastAsiaTheme="minorEastAsia"/>
        </w:rPr>
      </w:pPr>
      <w:r>
        <w:t xml:space="preserve">As mentioned above, the </w:t>
      </w:r>
      <w:r w:rsidR="0007203D">
        <w:t xml:space="preserve">regression performed to estimate </w:t>
      </w:r>
      <m:oMath>
        <m:r>
          <w:rPr>
            <w:rFonts w:ascii="Cambria Math" w:hAnsi="Cambria Math"/>
          </w:rPr>
          <m:t>x</m:t>
        </m:r>
      </m:oMath>
      <w:r w:rsidR="0007203D">
        <w:rPr>
          <w:rFonts w:eastAsiaTheme="minorEastAsia"/>
        </w:rPr>
        <w:t xml:space="preserve"> is </w:t>
      </w:r>
      <w:r w:rsidR="00041ABB">
        <w:rPr>
          <w:rFonts w:eastAsiaTheme="minorEastAsia"/>
        </w:rPr>
        <w:t xml:space="preserve">using </w:t>
      </w:r>
      <w:r w:rsidR="00883349">
        <w:rPr>
          <w:rFonts w:eastAsiaTheme="minorEastAsia"/>
        </w:rPr>
        <w:t xml:space="preserve">the SSVS technique which </w:t>
      </w:r>
      <w:r w:rsidR="00C05967">
        <w:rPr>
          <w:rFonts w:eastAsiaTheme="minorEastAsia"/>
        </w:rPr>
        <w:t xml:space="preserve">defines prior regression coefficient variances consistent with inclusion or effective exclusion. </w:t>
      </w:r>
      <w:r w:rsidR="00DB4324" w:rsidRPr="00DB4324">
        <w:rPr>
          <w:rFonts w:eastAsiaTheme="minorEastAsia"/>
        </w:rPr>
        <w:t>In other words, it is a predictor selection technique. Such techniques commonly focus on which predictors to retain, though they also aim for improved predictive performance through developing an encompassing model, or model simplification without adversely affecting predictive accuracy (</w:t>
      </w:r>
      <w:proofErr w:type="spellStart"/>
      <w:r w:rsidR="00DB4324" w:rsidRPr="00DB4324">
        <w:rPr>
          <w:rFonts w:eastAsiaTheme="minorEastAsia"/>
        </w:rPr>
        <w:t>Piironen</w:t>
      </w:r>
      <w:proofErr w:type="spellEnd"/>
      <w:r w:rsidR="00DB4324" w:rsidRPr="00DB4324">
        <w:rPr>
          <w:rFonts w:eastAsiaTheme="minorEastAsia"/>
        </w:rPr>
        <w:t xml:space="preserve"> and </w:t>
      </w:r>
      <w:proofErr w:type="spellStart"/>
      <w:r w:rsidR="00DB4324" w:rsidRPr="00DB4324">
        <w:rPr>
          <w:rFonts w:eastAsiaTheme="minorEastAsia"/>
        </w:rPr>
        <w:t>Vehtari</w:t>
      </w:r>
      <w:proofErr w:type="spellEnd"/>
      <w:r w:rsidR="00DB4324" w:rsidRPr="00DB4324">
        <w:rPr>
          <w:rFonts w:eastAsiaTheme="minorEastAsia"/>
        </w:rPr>
        <w:t xml:space="preserve"> [2017]). Formal model choice is simplified for normal linear regression, as marginal likelihoods may be obtained analytically, but for many predictors, comparison of the many possible models becomes infeasible.</w:t>
      </w:r>
    </w:p>
    <w:p w14:paraId="5DD5D104" w14:textId="77777777" w:rsidR="00D81FEB" w:rsidRDefault="00D81FEB" w:rsidP="00515176">
      <w:pPr>
        <w:rPr>
          <w:rFonts w:eastAsiaTheme="minorEastAsia"/>
        </w:rPr>
      </w:pPr>
    </w:p>
    <w:p w14:paraId="773D80B5" w14:textId="58778B68" w:rsidR="0080517E" w:rsidRDefault="00DB4324" w:rsidP="00573F14">
      <w:pPr>
        <w:jc w:val="both"/>
        <w:rPr>
          <w:rFonts w:eastAsiaTheme="minorEastAsia"/>
        </w:rPr>
      </w:pPr>
      <w:r w:rsidRPr="00DB4324">
        <w:rPr>
          <w:rFonts w:eastAsiaTheme="minorEastAsia"/>
        </w:rPr>
        <w:t xml:space="preserve">An imperfect analogy is stepwise regression using AIC or BIC as a selection criterion. However, when the number of regressors is large, testing of each model may be computationally prohibitive. A common workaround is a heuristic method to restrict attention to a potential subset of regressors, i.e., include or exclude variables, based 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DB4324">
        <w:rPr>
          <w:rFonts w:eastAsiaTheme="minorEastAsia"/>
        </w:rPr>
        <w:t xml:space="preserve"> considerations (say).</w:t>
      </w:r>
    </w:p>
    <w:p w14:paraId="0734C44C" w14:textId="77777777" w:rsidR="00DB4324" w:rsidRDefault="00DB4324" w:rsidP="00573F14">
      <w:pPr>
        <w:jc w:val="both"/>
      </w:pPr>
    </w:p>
    <w:p w14:paraId="02A7599F" w14:textId="1D948617" w:rsidR="00DB4324" w:rsidRDefault="00DB4324" w:rsidP="00573F14">
      <w:pPr>
        <w:jc w:val="both"/>
      </w:pPr>
      <w:r w:rsidRPr="00DB4324">
        <w:t xml:space="preserve">SSVS uses a Bayesian approach with a normal mixture model for regression analysis. In this method, selector variables are employed to pinpoint which subsets of predictors are worth </w:t>
      </w:r>
      <w:proofErr w:type="spellStart"/>
      <w:r w:rsidRPr="00DB4324">
        <w:t>consid</w:t>
      </w:r>
      <w:proofErr w:type="spellEnd"/>
      <w:r w:rsidRPr="00DB4324">
        <w:t xml:space="preserve">- </w:t>
      </w:r>
      <w:proofErr w:type="spellStart"/>
      <w:r w:rsidRPr="00DB4324">
        <w:t>ering</w:t>
      </w:r>
      <w:proofErr w:type="spellEnd"/>
      <w:r w:rsidRPr="00DB4324">
        <w:t>. It works by identifying those predictors that have a higher chance of being relevant, based on their posterior probability. Gibbs sampling</w:t>
      </w:r>
      <w:r>
        <w:rPr>
          <w:rStyle w:val="FootnoteReference"/>
        </w:rPr>
        <w:footnoteReference w:id="11"/>
      </w:r>
      <w:r w:rsidRPr="00DB4324">
        <w:t xml:space="preserve"> is standard when estimating these models. </w:t>
      </w:r>
      <w:r w:rsidRPr="00DB4324">
        <w:lastRenderedPageBreak/>
        <w:t>The</w:t>
      </w:r>
      <w:r>
        <w:t xml:space="preserve"> </w:t>
      </w:r>
      <w:r w:rsidRPr="00DB4324">
        <w:t>MCMC approach samples from the distribution of all possible subsets of predictors. The subsets that show up more often in these samples are considered promising because they have a higher probability of being relevant.</w:t>
      </w:r>
    </w:p>
    <w:p w14:paraId="329A26F4" w14:textId="77777777" w:rsidR="00DB4324" w:rsidRDefault="00DB4324" w:rsidP="00573F14">
      <w:pPr>
        <w:jc w:val="both"/>
      </w:pPr>
    </w:p>
    <w:p w14:paraId="631F4B25" w14:textId="3E0DC931" w:rsidR="00DB4324" w:rsidRDefault="00DB4324" w:rsidP="00573F14">
      <w:pPr>
        <w:jc w:val="both"/>
      </w:pPr>
      <w:r w:rsidRPr="00DB4324">
        <w:t>We use the SSVS technique of George and McCulloch [1993], also known as a spike and slab regression. The term was coined by Mitchell and Beauchamp [1988] and referred to the prior for the regression coefficients used in their Bayesian hierarchy. This prior was chosen such that the regression parameters were mutually independent with a two-point mixture distribution made up of a uniform flat distribution (the slab) and a degenerate distribution at zero (the spike).</w:t>
      </w:r>
    </w:p>
    <w:p w14:paraId="33D94462" w14:textId="77777777" w:rsidR="00DB4324" w:rsidRDefault="00DB4324" w:rsidP="00573F14">
      <w:pPr>
        <w:jc w:val="both"/>
      </w:pPr>
    </w:p>
    <w:tbl>
      <w:tblPr>
        <w:tblStyle w:val="TableGrid"/>
        <w:tblW w:w="0" w:type="auto"/>
        <w:tblLook w:val="04A0" w:firstRow="1" w:lastRow="0" w:firstColumn="1" w:lastColumn="0" w:noHBand="0" w:noVBand="1"/>
      </w:tblPr>
      <w:tblGrid>
        <w:gridCol w:w="9350"/>
      </w:tblGrid>
      <w:tr w:rsidR="00DB704B" w14:paraId="3AF559EB" w14:textId="77777777" w:rsidTr="00A558D4">
        <w:tc>
          <w:tcPr>
            <w:tcW w:w="9350" w:type="dxa"/>
          </w:tcPr>
          <w:p w14:paraId="5A66F5ED" w14:textId="77777777" w:rsidR="00DB704B" w:rsidRPr="000971A4" w:rsidRDefault="00DB704B" w:rsidP="00A558D4">
            <w:pPr>
              <w:jc w:val="center"/>
              <w:rPr>
                <w:rFonts w:asciiTheme="majorHAnsi" w:eastAsiaTheme="minorEastAsia" w:hAnsiTheme="majorHAnsi" w:cstheme="majorHAnsi"/>
                <w:i/>
                <w:iCs/>
                <w:color w:val="2F5496" w:themeColor="accent1" w:themeShade="BF"/>
              </w:rPr>
            </w:pPr>
            <w:r w:rsidRPr="000971A4">
              <w:rPr>
                <w:rFonts w:asciiTheme="majorHAnsi" w:eastAsiaTheme="minorEastAsia" w:hAnsiTheme="majorHAnsi" w:cstheme="majorHAnsi"/>
                <w:i/>
                <w:iCs/>
                <w:noProof/>
                <w:color w:val="2F5496" w:themeColor="accent1" w:themeShade="BF"/>
              </w:rPr>
              <w:drawing>
                <wp:inline distT="0" distB="0" distL="0" distR="0" wp14:anchorId="106B9537" wp14:editId="0A48111C">
                  <wp:extent cx="5789225" cy="2981822"/>
                  <wp:effectExtent l="0" t="0" r="2540" b="3175"/>
                  <wp:docPr id="1051304078"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04078" name="Picture 3" descr="A graph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0536" cy="2987648"/>
                          </a:xfrm>
                          <a:prstGeom prst="rect">
                            <a:avLst/>
                          </a:prstGeom>
                        </pic:spPr>
                      </pic:pic>
                    </a:graphicData>
                  </a:graphic>
                </wp:inline>
              </w:drawing>
            </w:r>
          </w:p>
        </w:tc>
      </w:tr>
      <w:tr w:rsidR="00DB704B" w14:paraId="73A808EE" w14:textId="77777777" w:rsidTr="00A558D4">
        <w:tc>
          <w:tcPr>
            <w:tcW w:w="9350" w:type="dxa"/>
          </w:tcPr>
          <w:p w14:paraId="71876E86" w14:textId="77777777" w:rsidR="00DB704B" w:rsidRPr="000971A4" w:rsidRDefault="00DB704B" w:rsidP="00A558D4">
            <w:pPr>
              <w:jc w:val="both"/>
              <w:rPr>
                <w:rFonts w:asciiTheme="majorHAnsi" w:eastAsiaTheme="minorEastAsia" w:hAnsiTheme="majorHAnsi" w:cstheme="majorHAnsi"/>
                <w:i/>
                <w:iCs/>
                <w:color w:val="2F5496" w:themeColor="accent1" w:themeShade="BF"/>
              </w:rPr>
            </w:pPr>
            <w:r w:rsidRPr="00670982">
              <w:rPr>
                <w:rFonts w:asciiTheme="majorHAnsi" w:eastAsiaTheme="minorEastAsia" w:hAnsiTheme="majorHAnsi" w:cstheme="majorHAnsi"/>
                <w:i/>
                <w:iCs/>
                <w:color w:val="2F5496" w:themeColor="accent1" w:themeShade="BF"/>
              </w:rPr>
              <w:t xml:space="preserve">Figure </w:t>
            </w:r>
            <w:r>
              <w:rPr>
                <w:rFonts w:asciiTheme="majorHAnsi" w:eastAsiaTheme="minorEastAsia" w:hAnsiTheme="majorHAnsi" w:cstheme="majorHAnsi"/>
                <w:i/>
                <w:iCs/>
                <w:color w:val="2F5496" w:themeColor="accent1" w:themeShade="BF"/>
              </w:rPr>
              <w:t>4</w:t>
            </w:r>
            <w:r w:rsidRPr="00670982">
              <w:rPr>
                <w:rFonts w:asciiTheme="majorHAnsi" w:eastAsiaTheme="minorEastAsia" w:hAnsiTheme="majorHAnsi" w:cstheme="majorHAnsi"/>
                <w:i/>
                <w:iCs/>
                <w:color w:val="2F5496" w:themeColor="accent1" w:themeShade="BF"/>
              </w:rPr>
              <w:t xml:space="preserve">: </w:t>
            </w:r>
            <w:r w:rsidRPr="000971A4">
              <w:rPr>
                <w:rFonts w:asciiTheme="majorHAnsi" w:eastAsiaTheme="minorEastAsia" w:hAnsiTheme="majorHAnsi" w:cstheme="majorHAnsi"/>
                <w:i/>
                <w:iCs/>
                <w:color w:val="2F5496" w:themeColor="accent1" w:themeShade="BF"/>
              </w:rPr>
              <w:t>The probability mass function of a fund’s intercept term (β0) from the SSVS (spike and slab) regression. Though we see a spike here, the bulk is in the long right tail representing substantial upside and a significantly greater weight of evidence for a positive alpha. This fund has over two years of history.</w:t>
            </w:r>
          </w:p>
        </w:tc>
      </w:tr>
    </w:tbl>
    <w:p w14:paraId="3D824B79" w14:textId="77777777" w:rsidR="00DB704B" w:rsidRDefault="00DB704B" w:rsidP="00573F14">
      <w:pPr>
        <w:jc w:val="both"/>
      </w:pPr>
    </w:p>
    <w:p w14:paraId="5B69E0B1" w14:textId="629FD13C" w:rsidR="00DB4324" w:rsidRDefault="00DB4324" w:rsidP="00573F14">
      <w:pPr>
        <w:jc w:val="both"/>
      </w:pPr>
      <w:proofErr w:type="spellStart"/>
      <w:r w:rsidRPr="00DB4324">
        <w:t>Ishwaran</w:t>
      </w:r>
      <w:proofErr w:type="spellEnd"/>
      <w:r w:rsidRPr="00DB4324">
        <w:t xml:space="preserve"> and Rao [2005] characterize a spike and slab model as being any model with a Bayesian hierarchy specified as follows:</w:t>
      </w:r>
    </w:p>
    <w:p w14:paraId="0E70CDF3" w14:textId="77777777" w:rsidR="00DB4324" w:rsidRDefault="00DB4324" w:rsidP="00573F14">
      <w:pPr>
        <w:jc w:val="both"/>
      </w:pPr>
    </w:p>
    <w:p w14:paraId="0FDCC3D1" w14:textId="55FAE335" w:rsidR="00DB4324" w:rsidRPr="00DB4324" w:rsidRDefault="00DB4324" w:rsidP="00573F14">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y</m:t>
              </m:r>
            </m:e>
            <m:e>
              <m:r>
                <w:rPr>
                  <w:rFonts w:ascii="Cambria Math" w:hAnsi="Cambria Math"/>
                </w:rPr>
                <m:t xml:space="preserve">x,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∼N</m:t>
          </m:r>
          <m:d>
            <m:dPr>
              <m:ctrlPr>
                <w:rPr>
                  <w:rFonts w:ascii="Cambria Math" w:hAnsi="Cambria Math"/>
                  <w:i/>
                </w:rPr>
              </m:ctrlPr>
            </m:dPr>
            <m:e>
              <m:r>
                <w:rPr>
                  <w:rFonts w:ascii="Cambria Math" w:hAnsi="Cambria Math"/>
                </w:rPr>
                <m:t xml:space="preserve">Xβ, </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n</m:t>
                  </m:r>
                </m:sub>
              </m:sSub>
            </m:e>
          </m:d>
        </m:oMath>
      </m:oMathPara>
    </w:p>
    <w:p w14:paraId="06BB113E" w14:textId="2D8D5B42" w:rsidR="00DB4324" w:rsidRPr="00DB4324" w:rsidRDefault="00DB4324" w:rsidP="00573F14">
      <w:pPr>
        <w:jc w:val="both"/>
        <w:rPr>
          <w:rFonts w:eastAsiaTheme="minorEastAsia"/>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β</m:t>
              </m:r>
            </m:e>
            <m:e>
              <m:r>
                <w:rPr>
                  <w:rFonts w:ascii="Cambria Math" w:eastAsiaTheme="minorEastAsia" w:hAnsi="Cambria Math"/>
                </w:rPr>
                <m:t>γ</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r>
                <m:rPr>
                  <m:sty m:val="p"/>
                </m:rPr>
                <w:rPr>
                  <w:rFonts w:ascii="Cambria Math" w:eastAsiaTheme="minorEastAsia" w:hAnsi="Cambria Math"/>
                </w:rPr>
                <m:t>Γ</m:t>
              </m:r>
            </m:e>
          </m:d>
        </m:oMath>
      </m:oMathPara>
    </w:p>
    <w:p w14:paraId="60D5FA44" w14:textId="3628C5FF" w:rsidR="00DB4324" w:rsidRPr="00DB4324" w:rsidRDefault="00DB4324" w:rsidP="00573F14">
      <w:pPr>
        <w:jc w:val="both"/>
        <w:rPr>
          <w:rFonts w:eastAsiaTheme="minorEastAsia"/>
        </w:rPr>
      </w:pPr>
      <m:oMathPara>
        <m:oMath>
          <m: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m:t>
                      </m:r>
                    </m:sub>
                  </m:sSub>
                </m:e>
              </m:d>
            </m:e>
            <m:sup>
              <m:r>
                <w:rPr>
                  <w:rFonts w:ascii="Cambria Math" w:eastAsiaTheme="minorEastAsia" w:hAnsi="Cambria Math"/>
                </w:rPr>
                <m:t>T</m:t>
              </m:r>
            </m:sup>
          </m:sSup>
          <m:r>
            <w:rPr>
              <w:rFonts w:ascii="Cambria Math" w:eastAsiaTheme="minorEastAsia" w:hAnsi="Cambria Math"/>
            </w:rPr>
            <m:t>∼π(⋅)</m:t>
          </m:r>
        </m:oMath>
      </m:oMathPara>
    </w:p>
    <w:p w14:paraId="13167F61" w14:textId="3DAF2031" w:rsidR="00DB4324" w:rsidRPr="00DB4324" w:rsidRDefault="00DB4324" w:rsidP="00573F14">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r>
            <w:rPr>
              <w:rFonts w:ascii="Cambria Math" w:eastAsiaTheme="minorEastAsia" w:hAnsi="Cambria Math"/>
            </w:rPr>
            <m:t>∼μ(⋅)</m:t>
          </m:r>
        </m:oMath>
      </m:oMathPara>
    </w:p>
    <w:p w14:paraId="4FF5CC5C" w14:textId="77777777" w:rsidR="00DB4324" w:rsidRDefault="00DB4324" w:rsidP="00573F14">
      <w:pPr>
        <w:jc w:val="both"/>
      </w:pPr>
    </w:p>
    <w:p w14:paraId="377B4FA3" w14:textId="6F502C46" w:rsidR="00DB4324" w:rsidRDefault="00DB4324" w:rsidP="00573F14">
      <w:pPr>
        <w:jc w:val="both"/>
        <w:rPr>
          <w:rFonts w:eastAsiaTheme="minorEastAsia"/>
        </w:rPr>
      </w:pPr>
      <w:r>
        <w:t xml:space="preserve">Here, </w:t>
      </w:r>
      <m:oMath>
        <m:r>
          <w:rPr>
            <w:rFonts w:ascii="Cambria Math" w:hAnsi="Cambria Math"/>
          </w:rPr>
          <m:t>β=</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e>
            </m:d>
          </m:e>
          <m:sup>
            <m:r>
              <w:rPr>
                <w:rFonts w:ascii="Cambria Math" w:hAnsi="Cambria Math"/>
              </w:rPr>
              <m:t>T</m:t>
            </m:r>
          </m:sup>
        </m:sSup>
      </m:oMath>
      <w:r>
        <w:rPr>
          <w:rFonts w:eastAsiaTheme="minorEastAsia"/>
        </w:rPr>
        <w:t xml:space="preserve"> is the regression vector, and </w:t>
      </w:r>
      <m:oMath>
        <m:r>
          <m:rPr>
            <m:sty m:val="p"/>
          </m:rPr>
          <w:rPr>
            <w:rFonts w:ascii="Cambria Math" w:eastAsiaTheme="minorEastAsia" w:hAnsi="Cambria Math"/>
          </w:rPr>
          <m:t>Γ</m:t>
        </m:r>
        <m:r>
          <w:rPr>
            <w:rFonts w:ascii="Cambria Math" w:eastAsiaTheme="minorEastAsia" w:hAnsi="Cambria Math"/>
          </w:rPr>
          <m:t>=diag</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e>
            </m:d>
            <m:ctrlPr>
              <w:rPr>
                <w:rFonts w:ascii="Cambria Math" w:hAnsi="Cambria Math"/>
                <w:i/>
              </w:rPr>
            </m:ctrlPr>
          </m:e>
          <m:sub>
            <m:r>
              <w:rPr>
                <w:rFonts w:ascii="Cambria Math" w:hAnsi="Cambria Math"/>
              </w:rPr>
              <m:t>1≤k≤p</m:t>
            </m:r>
          </m:sub>
        </m:sSub>
      </m:oMath>
      <w:r>
        <w:rPr>
          <w:rFonts w:eastAsiaTheme="minorEastAsia"/>
        </w:rPr>
        <w:t xml:space="preserve"> is its </w:t>
      </w:r>
      <m:oMath>
        <m:r>
          <w:rPr>
            <w:rFonts w:ascii="Cambria Math" w:eastAsiaTheme="minorEastAsia" w:hAnsi="Cambria Math"/>
          </w:rPr>
          <m:t>p×p</m:t>
        </m:r>
      </m:oMath>
      <w:r>
        <w:rPr>
          <w:rFonts w:eastAsiaTheme="minorEastAsia"/>
        </w:rPr>
        <w:t xml:space="preserve"> hypervariance matrix. The prior </w:t>
      </w:r>
      <m:oMath>
        <m:r>
          <w:rPr>
            <w:rFonts w:ascii="Cambria Math" w:eastAsiaTheme="minorEastAsia" w:hAnsi="Cambria Math"/>
          </w:rPr>
          <m:t>π</m:t>
        </m:r>
      </m:oMath>
      <w:r>
        <w:rPr>
          <w:rFonts w:eastAsiaTheme="minorEastAsia"/>
        </w:rPr>
        <w:t xml:space="preserve"> for the hypervariance </w:t>
      </w:r>
      <m:oMath>
        <m:r>
          <w:rPr>
            <w:rFonts w:ascii="Cambria Math" w:eastAsiaTheme="minorEastAsia" w:hAnsi="Cambria Math"/>
          </w:rPr>
          <m:t>γ</m:t>
        </m:r>
      </m:oMath>
      <w:r>
        <w:rPr>
          <w:rFonts w:eastAsiaTheme="minorEastAsia"/>
        </w:rPr>
        <w:t xml:space="preserve"> plays a critical role in how effective the technique is for variable selection. A successful and populat choice of </w:t>
      </w:r>
      <m:oMath>
        <m:r>
          <w:rPr>
            <w:rFonts w:ascii="Cambria Math" w:eastAsiaTheme="minorEastAsia" w:hAnsi="Cambria Math"/>
          </w:rPr>
          <m:t>π</m:t>
        </m:r>
      </m:oMath>
      <w:r>
        <w:rPr>
          <w:rFonts w:eastAsiaTheme="minorEastAsia"/>
        </w:rPr>
        <w:t xml:space="preserve"> are priors that make use </w:t>
      </w:r>
      <w:r>
        <w:rPr>
          <w:rFonts w:eastAsiaTheme="minorEastAsia"/>
        </w:rPr>
        <w:lastRenderedPageBreak/>
        <w:t xml:space="preserve">of the mixture distributions involving a spike near zero. In </w:t>
      </w:r>
      <w:r w:rsidRPr="00DB4324">
        <w:rPr>
          <w:rFonts w:eastAsiaTheme="minorEastAsia"/>
        </w:rPr>
        <w:t xml:space="preserve">George and McCulloch [1993], the prior for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oMath>
      <w:r w:rsidRPr="00DB4324">
        <w:rPr>
          <w:rFonts w:eastAsiaTheme="minorEastAsia"/>
        </w:rPr>
        <w:t xml:space="preserve"> was assumed to have a two-component distribution of the form:</w:t>
      </w:r>
    </w:p>
    <w:p w14:paraId="56007388" w14:textId="77777777" w:rsidR="00DB4324" w:rsidRDefault="00DB4324" w:rsidP="00573F14">
      <w:pPr>
        <w:jc w:val="both"/>
      </w:pPr>
    </w:p>
    <w:p w14:paraId="565BE5BE" w14:textId="2368180A" w:rsidR="00DB4324" w:rsidRDefault="00DB4324" w:rsidP="00573F14">
      <w:pPr>
        <w:jc w:val="both"/>
      </w:pPr>
      <m:oMathPara>
        <m:oMath>
          <m:r>
            <w:rPr>
              <w:rFonts w:ascii="Cambria Math" w:hAnsi="Cambria Math"/>
            </w:rPr>
            <m:t>p</m:t>
          </m:r>
          <m:d>
            <m:dPr>
              <m:sep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k</m:t>
                  </m:r>
                </m:sub>
              </m:sSub>
            </m:e>
            <m:e>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ctrlPr>
                <w:rPr>
                  <w:rFonts w:ascii="Cambria Math" w:eastAsiaTheme="minorEastAsia" w:hAnsi="Cambria Math"/>
                  <w:i/>
                </w:rPr>
              </m:ctrlP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e>
          </m:d>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τ</m:t>
                  </m:r>
                </m:e>
                <m:sub>
                  <m:r>
                    <w:rPr>
                      <w:rFonts w:ascii="Cambria Math" w:hAnsi="Cambria Math"/>
                    </w:rPr>
                    <m:t>k</m:t>
                  </m:r>
                </m:sub>
              </m:sSub>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sub>
          </m:sSub>
          <m:d>
            <m:dPr>
              <m:ctrlPr>
                <w:rPr>
                  <w:rFonts w:ascii="Cambria Math" w:hAnsi="Cambria Math"/>
                  <w:i/>
                </w:rPr>
              </m:ctrlPr>
            </m:dPr>
            <m:e>
              <m:r>
                <w:rPr>
                  <w:rFonts w:ascii="Cambria Math" w:hAnsi="Cambria Math"/>
                </w:rPr>
                <m:t>⋅</m:t>
              </m:r>
            </m:e>
          </m:d>
          <m:r>
            <w:rPr>
              <w:rFonts w:ascii="Cambria Math" w:eastAsiaTheme="minorEastAsia" w:hAnsi="Cambria Math"/>
            </w:rPr>
            <m:t>, k=1, …, p.</m:t>
          </m:r>
        </m:oMath>
      </m:oMathPara>
    </w:p>
    <w:p w14:paraId="72324743" w14:textId="77777777" w:rsidR="00951CF4" w:rsidRDefault="00951CF4" w:rsidP="00573F14">
      <w:pPr>
        <w:jc w:val="both"/>
      </w:pPr>
    </w:p>
    <w:p w14:paraId="454FCF9A" w14:textId="6F608453" w:rsidR="00737675" w:rsidRDefault="00737675" w:rsidP="00573F14">
      <w:pPr>
        <w:jc w:val="both"/>
      </w:pPr>
      <w:r>
        <w:t xml:space="preserve">The value for </w:t>
      </w:r>
      <m:oMath>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&gt;0</m:t>
        </m:r>
      </m:oMath>
      <w:r>
        <w:rPr>
          <w:rFonts w:eastAsiaTheme="minorEastAsia"/>
        </w:rPr>
        <w:t xml:space="preserve"> </w:t>
      </w:r>
      <w:r w:rsidRPr="00737675">
        <w:t>(the spike) is chosen as some small value, where “small” is typically based on the data at hand, while</w:t>
      </w:r>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&gt;0</m:t>
        </m:r>
      </m:oMath>
      <w:r w:rsidRPr="00737675">
        <w:t xml:space="preserve">, also data-specific, is chosen so that </w:t>
      </w:r>
      <m:oMath>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oMath>
      <w:r w:rsidRPr="00737675">
        <w:t xml:space="preserve"> (the slab) is sufficiently large. Selecting the two hyperparameters in this way allows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Pr="00737675">
        <w:t xml:space="preserve"> to be small or large, and this in turn enables the posterior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737675">
        <w:t xml:space="preserve"> to shrink towards zero or be some nonzero value. The values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e>
            </m:d>
          </m:e>
          <m:sub>
            <m:r>
              <w:rPr>
                <w:rFonts w:ascii="Cambria Math" w:hAnsi="Cambria Math"/>
              </w:rPr>
              <m:t>k=1</m:t>
            </m:r>
          </m:sub>
          <m:sup>
            <m:r>
              <w:rPr>
                <w:rFonts w:ascii="Cambria Math" w:hAnsi="Cambria Math"/>
              </w:rPr>
              <m:t>p</m:t>
            </m:r>
          </m:sup>
        </m:sSubSup>
      </m:oMath>
      <w:r w:rsidRPr="00737675">
        <w:t xml:space="preserve"> are complexity parameters that influence the likelihood of a coefficient being shrunk towards zero. In principle, each variable can have a unique complexity value, but a common practice is to set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 xml:space="preserve">=1/2, </m:t>
        </m:r>
        <m:r>
          <w:rPr>
            <w:rFonts w:ascii="Cambria Math" w:hAnsi="Cambria Math" w:cs="Cambria Math"/>
          </w:rPr>
          <m:t>∀</m:t>
        </m:r>
        <m:r>
          <w:rPr>
            <w:rFonts w:ascii="Cambria Math" w:hAnsi="Cambria Math"/>
          </w:rPr>
          <m:t>k,</m:t>
        </m:r>
      </m:oMath>
      <w:r w:rsidRPr="00737675">
        <w:t xml:space="preserve"> in which case the prior is referred to as an indifference prior.</w:t>
      </w:r>
    </w:p>
    <w:p w14:paraId="3C68B4BD" w14:textId="77777777" w:rsidR="00737675" w:rsidRDefault="00737675" w:rsidP="00573F14">
      <w:pPr>
        <w:jc w:val="both"/>
      </w:pPr>
    </w:p>
    <w:p w14:paraId="22B8AA4A" w14:textId="072A2DB6" w:rsidR="00A63ADE" w:rsidRDefault="00737675" w:rsidP="00573F14">
      <w:pPr>
        <w:jc w:val="both"/>
        <w:rPr>
          <w:rFonts w:eastAsiaTheme="minorEastAsia"/>
        </w:rPr>
      </w:pPr>
      <w:r>
        <w:t>GMAM 3 uses</w:t>
      </w:r>
      <w:r w:rsidR="002429DA">
        <w:t xml:space="preserve"> a Bernoulli prior on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002429DA">
        <w:rPr>
          <w:rFonts w:eastAsiaTheme="minorEastAsia"/>
        </w:rPr>
        <w:t>, the selector variable:</w:t>
      </w:r>
    </w:p>
    <w:p w14:paraId="7A7B1CE2" w14:textId="77777777" w:rsidR="002429DA" w:rsidRDefault="002429DA" w:rsidP="00573F14">
      <w:pPr>
        <w:jc w:val="both"/>
        <w:rPr>
          <w:rFonts w:eastAsiaTheme="minorEastAsia"/>
        </w:rPr>
      </w:pPr>
    </w:p>
    <w:p w14:paraId="09101BDF" w14:textId="77777777" w:rsidR="002429DA" w:rsidRPr="002429DA" w:rsidRDefault="002429DA" w:rsidP="002429DA">
      <w:pPr>
        <w:ind w:left="360"/>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e>
          </m:d>
          <m:r>
            <w:rPr>
              <w:rFonts w:ascii="Cambria Math" w:eastAsiaTheme="minorEastAsia" w:hAnsi="Cambria Math"/>
            </w:rPr>
            <m:t>∼Bern(ω)</m:t>
          </m:r>
        </m:oMath>
      </m:oMathPara>
    </w:p>
    <w:p w14:paraId="7875D6C3" w14:textId="77777777" w:rsidR="002429DA" w:rsidRDefault="002429DA" w:rsidP="002429DA">
      <w:pPr>
        <w:ind w:left="360"/>
        <w:jc w:val="both"/>
        <w:rPr>
          <w:rFonts w:eastAsiaTheme="minorEastAsia"/>
          <w:iCs/>
        </w:rPr>
      </w:pPr>
    </w:p>
    <w:p w14:paraId="6DF8C5F3" w14:textId="471FA7F5" w:rsidR="00F01146" w:rsidRDefault="002429DA" w:rsidP="00F01146">
      <w:pPr>
        <w:jc w:val="both"/>
        <w:rPr>
          <w:rFonts w:eastAsiaTheme="minorEastAsia"/>
        </w:rPr>
      </w:pPr>
      <w:r>
        <w:rPr>
          <w:rFonts w:eastAsiaTheme="minorEastAsia"/>
          <w:iCs/>
        </w:rPr>
        <w:t xml:space="preserve">Here, </w:t>
      </w:r>
      <w:r w:rsidR="00737675">
        <w:rPr>
          <w:rFonts w:eastAsiaTheme="minorEastAsia"/>
          <w:iCs/>
        </w:rPr>
        <w:t xml:space="preserve">the probability of factor selection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∼Beta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e>
        </m:d>
      </m:oMath>
      <w:r w:rsidR="000049C1">
        <w:rPr>
          <w:rFonts w:eastAsiaTheme="minorEastAsia"/>
        </w:rPr>
        <w:t xml:space="preserve">, </w:t>
      </w:r>
      <w:r w:rsidR="00737675">
        <w:rPr>
          <w:rFonts w:eastAsiaTheme="minorEastAsia"/>
        </w:rPr>
        <w:t>depends on hyper</w:t>
      </w:r>
      <w:r w:rsidR="000049C1">
        <w:rPr>
          <w:rFonts w:eastAsiaTheme="minorEastAsia"/>
        </w:rPr>
        <w:t>parameters</w:t>
      </w:r>
      <w:r w:rsidR="000468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0</m:t>
            </m:r>
          </m:sub>
        </m:sSub>
      </m:oMath>
      <w:r w:rsidR="0004682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oMath>
      <w:r w:rsidR="004D1F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oMath>
      <w:r w:rsidR="009E7B78">
        <w:rPr>
          <w:rFonts w:eastAsiaTheme="minorEastAsia"/>
        </w:rPr>
        <w:t xml:space="preserve">, </w:t>
      </w:r>
      <m:oMath>
        <m:r>
          <w:rPr>
            <w:rFonts w:ascii="Cambria Math" w:eastAsiaTheme="minorEastAsia" w:hAnsi="Cambria Math"/>
          </w:rPr>
          <m:t>k∈1:K</m:t>
        </m:r>
      </m:oMath>
      <w:r w:rsidR="009E7B78">
        <w:rPr>
          <w:rFonts w:eastAsiaTheme="minorEastAsia"/>
        </w:rPr>
        <w:t>,</w:t>
      </w:r>
      <w:r w:rsidR="004D1F8D">
        <w:rPr>
          <w:rFonts w:eastAsiaTheme="minorEastAsia"/>
        </w:rPr>
        <w:t xml:space="preserve"> is a </w:t>
      </w:r>
      <m:oMath>
        <m:r>
          <w:rPr>
            <w:rFonts w:ascii="Cambria Math" w:eastAsiaTheme="minorEastAsia" w:hAnsi="Cambria Math"/>
          </w:rPr>
          <m:t>K×1</m:t>
        </m:r>
      </m:oMath>
      <w:r w:rsidR="00046823">
        <w:rPr>
          <w:rFonts w:eastAsiaTheme="minorEastAsia"/>
        </w:rPr>
        <w:t xml:space="preserve"> vector and </w:t>
      </w:r>
      <w:r w:rsidR="004D1F8D">
        <w:rPr>
          <w:rFonts w:eastAsiaTheme="minorEastAsia"/>
        </w:rPr>
        <w:t>selector variable</w:t>
      </w:r>
      <w:r w:rsidR="008A3039">
        <w:rPr>
          <w:rFonts w:eastAsiaTheme="minorEastAsia"/>
        </w:rPr>
        <w:t xml:space="preserve"> used to determine which of the thirteen factors are economically significant in a probabilistic sense.</w:t>
      </w:r>
      <w:r w:rsidR="003059FC">
        <w:rPr>
          <w:rFonts w:eastAsiaTheme="minorEastAsia"/>
        </w:rPr>
        <w:t xml:space="preserve"> Initially, each of the factors have an equally likely chance of being included</w:t>
      </w:r>
      <w:r w:rsidR="00737675">
        <w:rPr>
          <w:rStyle w:val="FootnoteReference"/>
          <w:rFonts w:eastAsiaTheme="minorEastAsia"/>
        </w:rPr>
        <w:footnoteReference w:id="12"/>
      </w:r>
      <w:r w:rsidR="003059FC">
        <w:rPr>
          <w:rFonts w:eastAsiaTheme="minorEastAsia"/>
        </w:rPr>
        <w:t xml:space="preserve">. </w:t>
      </w:r>
      <w:r w:rsidR="00874F99">
        <w:rPr>
          <w:rFonts w:eastAsiaTheme="minorEastAsia"/>
        </w:rPr>
        <w:t xml:space="preserve">Conditional on </w:t>
      </w:r>
      <w:r w:rsidR="00737675">
        <w:rPr>
          <w:rFonts w:eastAsiaTheme="minorEastAsia"/>
        </w:rPr>
        <w:t>the</w:t>
      </w:r>
      <w:r w:rsidR="00874F99">
        <w:rPr>
          <w:rFonts w:eastAsiaTheme="minorEastAsia"/>
        </w:rPr>
        <w:t xml:space="preserve"> factor being in the regression, specify a prior </w:t>
      </w:r>
      <w:r w:rsidR="00F01146">
        <w:rPr>
          <w:rFonts w:eastAsiaTheme="minorEastAsia"/>
        </w:rPr>
        <w:t>d</w:t>
      </w:r>
      <w:r w:rsidR="00F01146" w:rsidRPr="00F01146">
        <w:rPr>
          <w:rFonts w:eastAsiaTheme="minorEastAsia"/>
        </w:rPr>
        <w:t xml:space="preserve">istribution for the regression coefficient associated with that variable. </w:t>
      </w:r>
      <w:r w:rsidR="00737675">
        <w:rPr>
          <w:rFonts w:eastAsiaTheme="minorEastAsia"/>
        </w:rPr>
        <w:t>GMAM 3 uses a</w:t>
      </w:r>
      <w:r w:rsidR="00F01146" w:rsidRPr="00F01146">
        <w:rPr>
          <w:rFonts w:eastAsiaTheme="minorEastAsia"/>
        </w:rPr>
        <w:t xml:space="preserve"> multivariate normal</w:t>
      </w:r>
      <w:r w:rsidR="00F01146">
        <w:rPr>
          <w:rFonts w:eastAsiaTheme="minorEastAsia"/>
        </w:rPr>
        <w:t>:</w:t>
      </w:r>
    </w:p>
    <w:p w14:paraId="1A05CDFF" w14:textId="77777777" w:rsidR="00F01146" w:rsidRDefault="00F01146" w:rsidP="00F01146">
      <w:pPr>
        <w:jc w:val="both"/>
        <w:rPr>
          <w:rFonts w:eastAsiaTheme="minorEastAsia"/>
        </w:rPr>
      </w:pPr>
    </w:p>
    <w:p w14:paraId="7A1FFBD8" w14:textId="77777777" w:rsidR="00A147E6" w:rsidRPr="00CB6447" w:rsidRDefault="00A147E6" w:rsidP="00A147E6">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β</m:t>
              </m:r>
            </m:e>
            <m:e>
              <m:r>
                <w:rPr>
                  <w:rFonts w:ascii="Cambria Math" w:hAnsi="Cambria Math"/>
                </w:rPr>
                <m:t>rest</m:t>
              </m:r>
            </m:e>
          </m:d>
          <m:r>
            <w:rPr>
              <w:rFonts w:ascii="Cambria Math" w:hAnsi="Cambria Math"/>
            </w:rPr>
            <m:t>∼MN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sSubSup>
                <m:sSubSupPr>
                  <m:ctrlPr>
                    <w:rPr>
                      <w:rFonts w:ascii="Cambria Math" w:hAnsi="Cambria Math"/>
                      <w:i/>
                    </w:rPr>
                  </m:ctrlPr>
                </m:sSubSupPr>
                <m:e>
                  <m:r>
                    <w:rPr>
                      <w:rFonts w:ascii="Cambria Math" w:hAnsi="Cambria Math"/>
                    </w:rPr>
                    <m:t>β</m:t>
                  </m:r>
                </m:e>
                <m:sub>
                  <m:r>
                    <w:rPr>
                      <w:rFonts w:ascii="Cambria Math" w:hAnsi="Cambria Math"/>
                    </w:rPr>
                    <m:t>0</m:t>
                  </m:r>
                </m:sub>
                <m:sup>
                  <m:r>
                    <m:rPr>
                      <m:sty m:val="p"/>
                    </m:rPr>
                    <w:rPr>
                      <w:rFonts w:ascii="Cambria Math" w:hAnsi="Cambria Math"/>
                    </w:rPr>
                    <m:t>Δ</m:t>
                  </m:r>
                </m:sup>
              </m:sSub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sSub>
                    <m:sSubPr>
                      <m:ctrlPr>
                        <w:rPr>
                          <w:rFonts w:ascii="Cambria Math" w:hAnsi="Cambria Math"/>
                          <w:i/>
                        </w:rPr>
                      </m:ctrlPr>
                    </m:sSubPr>
                    <m:e>
                      <m:r>
                        <w:rPr>
                          <w:rFonts w:ascii="Cambria Math" w:hAnsi="Cambria Math"/>
                        </w:rPr>
                        <m:t>τ</m:t>
                      </m:r>
                    </m:e>
                    <m:sub>
                      <m:r>
                        <w:rPr>
                          <w:rFonts w:ascii="Cambria Math" w:hAnsi="Cambria Math"/>
                        </w:rPr>
                        <m:t>y</m:t>
                      </m:r>
                    </m:sub>
                  </m:sSub>
                  <m:sSub>
                    <m:sSubPr>
                      <m:ctrlPr>
                        <w:rPr>
                          <w:rFonts w:ascii="Cambria Math" w:hAnsi="Cambria Math"/>
                          <w:i/>
                        </w:rPr>
                      </m:ctrlPr>
                    </m:sSubPr>
                    <m:e>
                      <m:r>
                        <w:rPr>
                          <w:rFonts w:ascii="Cambria Math" w:hAnsi="Cambria Math"/>
                        </w:rPr>
                        <m:t>τ</m:t>
                      </m:r>
                    </m:e>
                    <m:sub>
                      <m:r>
                        <w:rPr>
                          <w:rFonts w:ascii="Cambria Math" w:hAnsi="Cambria Math"/>
                        </w:rPr>
                        <m:t>β</m:t>
                      </m:r>
                    </m:sub>
                  </m:sSub>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D</m:t>
                      </m:r>
                    </m:e>
                  </m:d>
                </m:e>
                <m:sup>
                  <m:r>
                    <w:rPr>
                      <w:rFonts w:ascii="Cambria Math" w:hAnsi="Cambria Math"/>
                    </w:rPr>
                    <m:t>-1</m:t>
                  </m:r>
                </m:sup>
              </m:sSup>
            </m:e>
          </m:d>
        </m:oMath>
      </m:oMathPara>
    </w:p>
    <w:p w14:paraId="34BD96D6" w14:textId="77777777" w:rsidR="00CB6447" w:rsidRPr="00C6713F" w:rsidRDefault="00000000" w:rsidP="00CB644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e>
          </m:rad>
        </m:oMath>
      </m:oMathPara>
    </w:p>
    <w:p w14:paraId="374F88E5" w14:textId="77777777" w:rsidR="00F01146" w:rsidRPr="00F01146" w:rsidRDefault="00F01146" w:rsidP="00F01146">
      <w:pPr>
        <w:jc w:val="both"/>
        <w:rPr>
          <w:rFonts w:eastAsiaTheme="minorEastAsia"/>
        </w:rPr>
      </w:pPr>
    </w:p>
    <w:p w14:paraId="33F6FBC2" w14:textId="3308E894" w:rsidR="000B09BE" w:rsidRDefault="000B09BE" w:rsidP="002429DA">
      <w:pPr>
        <w:jc w:val="both"/>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the prior mean of </w:t>
      </w:r>
      <m:oMath>
        <m:r>
          <w:rPr>
            <w:rFonts w:ascii="Cambria Math" w:eastAsiaTheme="minorEastAsia" w:hAnsi="Cambria Math"/>
          </w:rPr>
          <m:t>β</m:t>
        </m:r>
      </m:oMath>
      <w:r w:rsidR="001B13CD">
        <w:rPr>
          <w:rFonts w:eastAsiaTheme="minorEastAsia"/>
        </w:rPr>
        <w:t xml:space="preserve"> conditional on exclusion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=0</m:t>
        </m:r>
      </m:oMath>
      <w:r w:rsidR="001B13CD">
        <w:rPr>
          <w:rFonts w:eastAsiaTheme="minorEastAsia"/>
        </w:rPr>
        <w:t>)</w:t>
      </w:r>
      <w:r w:rsidR="00C26366">
        <w:rPr>
          <w:rFonts w:eastAsiaTheme="minorEastAsia"/>
        </w:rPr>
        <w:t>;</w:t>
      </w:r>
      <w:r w:rsidR="00135B3B">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0</m:t>
            </m:r>
          </m:sub>
          <m:sup>
            <m:r>
              <m:rPr>
                <m:sty m:val="p"/>
              </m:rPr>
              <w:rPr>
                <w:rFonts w:ascii="Cambria Math" w:eastAsiaTheme="minorEastAsia" w:hAnsi="Cambria Math"/>
              </w:rPr>
              <m:t>Δ</m:t>
            </m:r>
          </m:sup>
        </m:sSubSup>
      </m:oMath>
      <w:r w:rsidR="00467806">
        <w:rPr>
          <w:rFonts w:eastAsiaTheme="minorEastAsia"/>
        </w:rPr>
        <w:t xml:space="preserve"> is the shift in the prior mean of </w:t>
      </w:r>
      <m:oMath>
        <m:r>
          <w:rPr>
            <w:rFonts w:ascii="Cambria Math" w:eastAsiaTheme="minorEastAsia" w:hAnsi="Cambria Math"/>
          </w:rPr>
          <m:t>β</m:t>
        </m:r>
      </m:oMath>
      <w:r w:rsidR="00467806">
        <w:rPr>
          <w:rFonts w:eastAsiaTheme="minorEastAsia"/>
        </w:rPr>
        <w:t xml:space="preserve"> conditional on </w:t>
      </w:r>
      <w:r w:rsidR="002414A9">
        <w:rPr>
          <w:rFonts w:eastAsiaTheme="minorEastAsia"/>
        </w:rPr>
        <w:t>inclusion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=1</m:t>
        </m:r>
      </m:oMath>
      <w:r w:rsidR="002414A9">
        <w:rPr>
          <w:rFonts w:eastAsiaTheme="minorEastAsia"/>
        </w:rPr>
        <w:t>)</w:t>
      </w:r>
      <w:r w:rsidR="00C26366">
        <w:rPr>
          <w:rFonts w:eastAsiaTheme="minorEastAsia"/>
        </w:rPr>
        <w:t>;</w:t>
      </w:r>
      <w:r w:rsidR="005957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 k∈1:K,</m:t>
        </m:r>
      </m:oMath>
      <w:r w:rsidR="0059578D">
        <w:rPr>
          <w:rFonts w:eastAsiaTheme="minorEastAsia"/>
        </w:rPr>
        <w:t xml:space="preserve"> is a </w:t>
      </w:r>
      <m:oMath>
        <m:r>
          <w:rPr>
            <w:rFonts w:ascii="Cambria Math" w:eastAsiaTheme="minorEastAsia" w:hAnsi="Cambria Math"/>
          </w:rPr>
          <m:t xml:space="preserve">K×1 </m:t>
        </m:r>
      </m:oMath>
      <w:r w:rsidR="0035598F">
        <w:rPr>
          <w:rFonts w:eastAsiaTheme="minorEastAsia"/>
        </w:rPr>
        <w:t>vector</w:t>
      </w:r>
      <w:r w:rsidR="00C26366">
        <w:rPr>
          <w:rFonts w:eastAsiaTheme="minorEastAsia"/>
        </w:rPr>
        <w:t xml:space="preserve"> –</w:t>
      </w:r>
      <w:r w:rsidR="0035598F">
        <w:rPr>
          <w:rFonts w:eastAsiaTheme="minorEastAsia"/>
        </w:rPr>
        <w:t xml:space="preserve"> a </w:t>
      </w:r>
      <w:r w:rsidR="0059578D">
        <w:rPr>
          <w:rFonts w:eastAsiaTheme="minorEastAsia"/>
        </w:rPr>
        <w:t xml:space="preserve">function of </w:t>
      </w:r>
      <m:oMath>
        <m:r>
          <w:rPr>
            <w:rFonts w:ascii="Cambria Math" w:eastAsiaTheme="minorEastAsia" w:hAnsi="Cambria Math"/>
          </w:rPr>
          <m:t>γ</m:t>
        </m:r>
      </m:oMath>
      <w:r w:rsidR="0059578D">
        <w:rPr>
          <w:rFonts w:eastAsiaTheme="minorEastAsia"/>
        </w:rPr>
        <w:t xml:space="preserve"> </w:t>
      </w:r>
      <w:r w:rsidR="0035598F">
        <w:rPr>
          <w:rFonts w:eastAsiaTheme="minorEastAsia"/>
        </w:rPr>
        <w:t xml:space="preserve">which </w:t>
      </w:r>
      <w:r w:rsidR="0059578D">
        <w:rPr>
          <w:rFonts w:eastAsiaTheme="minorEastAsia"/>
        </w:rPr>
        <w:t xml:space="preserve">adjusts </w:t>
      </w:r>
      <m:oMath>
        <m:r>
          <w:rPr>
            <w:rFonts w:ascii="Cambria Math" w:eastAsiaTheme="minorEastAsia" w:hAnsi="Cambria Math"/>
          </w:rPr>
          <m:t>β</m:t>
        </m:r>
      </m:oMath>
      <w:r w:rsidR="0059578D">
        <w:rPr>
          <w:rFonts w:eastAsiaTheme="minorEastAsia"/>
        </w:rPr>
        <w:t xml:space="preserve"> for sparsity</w:t>
      </w:r>
      <w:r w:rsidR="00C26366">
        <w:rPr>
          <w:rFonts w:eastAsiaTheme="minorEastAsia"/>
        </w:rPr>
        <w:t>;</w:t>
      </w:r>
      <w:r w:rsidR="0035598F">
        <w:rPr>
          <w:rFonts w:eastAsiaTheme="minorEastAsia"/>
        </w:rPr>
        <w:t xml:space="preserve"> </w:t>
      </w:r>
      <m:oMath>
        <m:r>
          <w:rPr>
            <w:rFonts w:ascii="Cambria Math" w:eastAsiaTheme="minorEastAsia" w:hAnsi="Cambria Math"/>
          </w:rPr>
          <m:t>D</m:t>
        </m:r>
      </m:oMath>
      <w:r w:rsidR="007B078A">
        <w:rPr>
          <w:rFonts w:eastAsiaTheme="minorEastAsia"/>
        </w:rPr>
        <w:t xml:space="preserve"> is a </w:t>
      </w:r>
      <m:oMath>
        <m:r>
          <w:rPr>
            <w:rFonts w:ascii="Cambria Math" w:eastAsiaTheme="minorEastAsia" w:hAnsi="Cambria Math"/>
          </w:rPr>
          <m:t>K×K</m:t>
        </m:r>
      </m:oMath>
      <w:r w:rsidR="007B078A">
        <w:rPr>
          <w:rFonts w:eastAsiaTheme="minorEastAsia"/>
        </w:rPr>
        <w:t xml:space="preserve"> matrix, with </w:t>
      </w:r>
      <m:oMath>
        <m:r>
          <w:rPr>
            <w:rFonts w:ascii="Cambria Math" w:eastAsiaTheme="minorEastAsia" w:hAnsi="Cambria Math"/>
          </w:rPr>
          <m:t>D=Diag(</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oMath>
      <w:r w:rsidR="00C26366">
        <w:rPr>
          <w:rFonts w:eastAsiaTheme="minorEastAsia"/>
        </w:rPr>
        <w:t xml:space="preserve">; and </w:t>
      </w:r>
      <m:oMath>
        <m:r>
          <w:rPr>
            <w:rFonts w:ascii="Cambria Math" w:eastAsiaTheme="minorEastAsia" w:hAnsi="Cambria Math"/>
          </w:rPr>
          <m:t>v</m:t>
        </m:r>
      </m:oMath>
      <w:r w:rsidR="00C26366">
        <w:rPr>
          <w:rFonts w:eastAsiaTheme="minorEastAsia"/>
        </w:rPr>
        <w:t xml:space="preserve"> </w:t>
      </w:r>
      <w:r w:rsidR="00943744">
        <w:rPr>
          <w:rFonts w:eastAsiaTheme="minorEastAsia"/>
        </w:rPr>
        <w:t xml:space="preserve">is the variance of the spike distribution as a fraction of the slab variance. </w:t>
      </w:r>
      <w:r w:rsidR="009B1E4B">
        <w:rPr>
          <w:rFonts w:eastAsiaTheme="minorEastAsia"/>
        </w:rPr>
        <w:t xml:space="preserve">And finally,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x</m:t>
            </m:r>
          </m:sub>
        </m:sSub>
      </m:oMath>
      <w:r w:rsidR="009B1E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oMath>
      <w:r w:rsidR="009B1E4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β</m:t>
            </m:r>
          </m:sub>
        </m:sSub>
      </m:oMath>
      <w:r w:rsidR="003F262A">
        <w:rPr>
          <w:rFonts w:eastAsiaTheme="minorEastAsia"/>
        </w:rPr>
        <w:t xml:space="preserve"> are all gamma-distributed with shape and inverse-scale </w:t>
      </w:r>
      <w:r w:rsidR="00191A24">
        <w:rPr>
          <w:rFonts w:eastAsiaTheme="minorEastAsia"/>
        </w:rPr>
        <w:t>hyper</w:t>
      </w:r>
      <w:r w:rsidR="003F262A">
        <w:rPr>
          <w:rFonts w:eastAsiaTheme="minorEastAsia"/>
        </w:rPr>
        <w:t xml:space="preserve">parameters as </w:t>
      </w:r>
      <w:r w:rsidR="00737675">
        <w:rPr>
          <w:rFonts w:eastAsiaTheme="minorEastAsia"/>
        </w:rPr>
        <w:t>shown earlier</w:t>
      </w:r>
      <w:r w:rsidR="003F262A">
        <w:rPr>
          <w:rFonts w:eastAsiaTheme="minorEastAsia"/>
        </w:rPr>
        <w:t>.</w:t>
      </w:r>
    </w:p>
    <w:p w14:paraId="6FF356AB" w14:textId="77777777" w:rsidR="00DB704B" w:rsidRDefault="00DB704B" w:rsidP="00DB704B">
      <w:pPr>
        <w:jc w:val="both"/>
        <w:rPr>
          <w:rFonts w:eastAsiaTheme="minorEastAsia"/>
        </w:rPr>
      </w:pPr>
    </w:p>
    <w:tbl>
      <w:tblPr>
        <w:tblStyle w:val="TableGrid"/>
        <w:tblW w:w="0" w:type="auto"/>
        <w:tblLook w:val="04A0" w:firstRow="1" w:lastRow="0" w:firstColumn="1" w:lastColumn="0" w:noHBand="0" w:noVBand="1"/>
      </w:tblPr>
      <w:tblGrid>
        <w:gridCol w:w="9350"/>
      </w:tblGrid>
      <w:tr w:rsidR="00DB704B" w14:paraId="6ADB22FC" w14:textId="77777777" w:rsidTr="00A558D4">
        <w:tc>
          <w:tcPr>
            <w:tcW w:w="9350" w:type="dxa"/>
            <w:vAlign w:val="center"/>
          </w:tcPr>
          <w:p w14:paraId="6550E12B" w14:textId="77777777" w:rsidR="00DB704B" w:rsidRDefault="00DB704B" w:rsidP="00A558D4">
            <w:pPr>
              <w:jc w:val="center"/>
              <w:rPr>
                <w:rFonts w:eastAsiaTheme="minorEastAsia"/>
              </w:rPr>
            </w:pPr>
            <w:r>
              <w:rPr>
                <w:rFonts w:eastAsiaTheme="minorEastAsia"/>
                <w:noProof/>
              </w:rPr>
              <w:lastRenderedPageBreak/>
              <w:drawing>
                <wp:inline distT="0" distB="0" distL="0" distR="0" wp14:anchorId="1BD97DC3" wp14:editId="00018806">
                  <wp:extent cx="5789225" cy="2981822"/>
                  <wp:effectExtent l="0" t="0" r="2540" b="3175"/>
                  <wp:docPr id="771142429" name="Picture 4"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42429" name="Picture 4" descr="A graph of a normal distribu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6550" cy="2990745"/>
                          </a:xfrm>
                          <a:prstGeom prst="rect">
                            <a:avLst/>
                          </a:prstGeom>
                        </pic:spPr>
                      </pic:pic>
                    </a:graphicData>
                  </a:graphic>
                </wp:inline>
              </w:drawing>
            </w:r>
          </w:p>
        </w:tc>
      </w:tr>
      <w:tr w:rsidR="00DB704B" w14:paraId="0C75BCD2" w14:textId="77777777" w:rsidTr="00A558D4">
        <w:tc>
          <w:tcPr>
            <w:tcW w:w="9350" w:type="dxa"/>
          </w:tcPr>
          <w:p w14:paraId="73D9FAC1" w14:textId="77777777" w:rsidR="00DB704B" w:rsidRPr="00670982" w:rsidRDefault="00DB704B" w:rsidP="00A558D4">
            <w:pPr>
              <w:jc w:val="both"/>
              <w:rPr>
                <w:rFonts w:asciiTheme="majorHAnsi" w:eastAsiaTheme="minorEastAsia" w:hAnsiTheme="majorHAnsi" w:cstheme="majorHAnsi"/>
                <w:i/>
                <w:iCs/>
              </w:rPr>
            </w:pPr>
            <w:r w:rsidRPr="00670982">
              <w:rPr>
                <w:rFonts w:asciiTheme="majorHAnsi" w:eastAsiaTheme="minorEastAsia" w:hAnsiTheme="majorHAnsi" w:cstheme="majorHAnsi"/>
                <w:i/>
                <w:iCs/>
                <w:color w:val="2F5496" w:themeColor="accent1" w:themeShade="BF"/>
              </w:rPr>
              <w:t>Figure 5: The probability mass function of a fund index intercept term (β0) from the SSVS (spike and slab) regression. This index has almost twenty years of history and clearly shows positive alpha, though its magnitude is still uncertain.</w:t>
            </w:r>
          </w:p>
        </w:tc>
      </w:tr>
    </w:tbl>
    <w:p w14:paraId="23A6FEC7" w14:textId="77777777" w:rsidR="00F62EE0" w:rsidRDefault="00F62EE0" w:rsidP="002429DA">
      <w:pPr>
        <w:jc w:val="both"/>
        <w:rPr>
          <w:rFonts w:eastAsiaTheme="minorEastAsia"/>
        </w:rPr>
      </w:pPr>
    </w:p>
    <w:p w14:paraId="0EC0BE9D" w14:textId="3E6F3151" w:rsidR="000971A4" w:rsidRPr="00551EDE" w:rsidRDefault="000971A4" w:rsidP="000971A4">
      <w:pPr>
        <w:pStyle w:val="Heading1"/>
        <w:jc w:val="both"/>
      </w:pPr>
      <w:r>
        <w:t>Conclusion</w:t>
      </w:r>
    </w:p>
    <w:p w14:paraId="1AFEC835" w14:textId="77777777" w:rsidR="00670982" w:rsidRPr="00670982" w:rsidRDefault="00670982" w:rsidP="00670982">
      <w:pPr>
        <w:jc w:val="both"/>
        <w:rPr>
          <w:rFonts w:eastAsiaTheme="minorEastAsia"/>
        </w:rPr>
      </w:pPr>
    </w:p>
    <w:p w14:paraId="4C645B12" w14:textId="7AE0789F" w:rsidR="000B09BE" w:rsidRDefault="00670982" w:rsidP="00670982">
      <w:pPr>
        <w:jc w:val="both"/>
        <w:rPr>
          <w:rFonts w:eastAsiaTheme="minorEastAsia"/>
        </w:rPr>
      </w:pPr>
      <w:r w:rsidRPr="00670982">
        <w:rPr>
          <w:rFonts w:eastAsiaTheme="minorEastAsia"/>
        </w:rPr>
        <w:t>We use a hierarchical Bayesian model to generate fund returns when data is sparse and noisy. The data generation process includes de-smoothed returns, generated using a spike and slab regression,</w:t>
      </w:r>
      <w:r>
        <w:rPr>
          <w:rFonts w:eastAsiaTheme="minorEastAsia"/>
        </w:rPr>
        <w:t xml:space="preserve"> </w:t>
      </w:r>
      <w:r w:rsidRPr="00670982">
        <w:rPr>
          <w:rFonts w:eastAsiaTheme="minorEastAsia"/>
        </w:rPr>
        <w:t>and re-smoothed returns used to mimic reported returns. Our technique provides a systematic and rigorous way by which fund performance can be quantified.</w:t>
      </w:r>
    </w:p>
    <w:p w14:paraId="27C96AC7" w14:textId="77777777" w:rsidR="00670982" w:rsidRPr="00737675" w:rsidRDefault="00670982" w:rsidP="00670982">
      <w:pPr>
        <w:jc w:val="both"/>
        <w:rPr>
          <w:rFonts w:eastAsiaTheme="minorEastAsia"/>
        </w:rPr>
      </w:pPr>
    </w:p>
    <w:p w14:paraId="0E73F76D" w14:textId="77777777" w:rsidR="002429DA" w:rsidRDefault="002429DA" w:rsidP="00573F14">
      <w:pPr>
        <w:jc w:val="both"/>
      </w:pPr>
    </w:p>
    <w:p w14:paraId="1A747A33" w14:textId="0A2DFB71" w:rsidR="00670982" w:rsidRDefault="00670982">
      <w:r>
        <w:br w:type="page"/>
      </w:r>
    </w:p>
    <w:p w14:paraId="0F0C88B8" w14:textId="70B974E7" w:rsidR="00670982" w:rsidRDefault="00670982" w:rsidP="00670982">
      <w:pPr>
        <w:pStyle w:val="Heading1"/>
        <w:numPr>
          <w:ilvl w:val="0"/>
          <w:numId w:val="0"/>
        </w:numPr>
        <w:ind w:left="432" w:hanging="432"/>
        <w:rPr>
          <w:rFonts w:eastAsiaTheme="minorEastAsia"/>
        </w:rPr>
      </w:pPr>
      <w:r>
        <w:rPr>
          <w:rFonts w:eastAsiaTheme="minorEastAsia"/>
        </w:rPr>
        <w:lastRenderedPageBreak/>
        <w:t>References</w:t>
      </w:r>
    </w:p>
    <w:p w14:paraId="7BF7E519" w14:textId="7050A304" w:rsidR="00670982" w:rsidRDefault="00670982" w:rsidP="00670982">
      <w:pPr>
        <w:pStyle w:val="ListParagraph"/>
        <w:numPr>
          <w:ilvl w:val="0"/>
          <w:numId w:val="19"/>
        </w:numPr>
      </w:pPr>
      <w:r>
        <w:t xml:space="preserve">David </w:t>
      </w:r>
      <w:proofErr w:type="spellStart"/>
      <w:r>
        <w:t>Geltner</w:t>
      </w:r>
      <w:proofErr w:type="spellEnd"/>
      <w:r>
        <w:t>. Estimating market values from appraised values without assuming an efficient market. The Journal of Real Estate Research, 8(3):324–345, 1993.</w:t>
      </w:r>
    </w:p>
    <w:p w14:paraId="701CEE7C" w14:textId="4176D6AC" w:rsidR="00670982" w:rsidRDefault="00670982" w:rsidP="00670982">
      <w:pPr>
        <w:pStyle w:val="ListParagraph"/>
        <w:numPr>
          <w:ilvl w:val="0"/>
          <w:numId w:val="19"/>
        </w:numPr>
      </w:pPr>
      <w:r>
        <w:t xml:space="preserve">Edward I. George and Robert E. McCulloch. Variable selection via </w:t>
      </w:r>
      <w:proofErr w:type="spellStart"/>
      <w:r>
        <w:t>gibbs</w:t>
      </w:r>
      <w:proofErr w:type="spellEnd"/>
      <w:r>
        <w:t xml:space="preserve"> sampling. Journal of the American Statistical Association, 88(423):881–889, 1993.</w:t>
      </w:r>
    </w:p>
    <w:p w14:paraId="20F5F55F" w14:textId="3CD5AE69" w:rsidR="00670982" w:rsidRDefault="00670982" w:rsidP="00670982">
      <w:pPr>
        <w:pStyle w:val="ListParagraph"/>
        <w:numPr>
          <w:ilvl w:val="0"/>
          <w:numId w:val="19"/>
        </w:numPr>
      </w:pPr>
      <w:r>
        <w:t xml:space="preserve">Mila </w:t>
      </w:r>
      <w:proofErr w:type="spellStart"/>
      <w:r>
        <w:t>Getmansky</w:t>
      </w:r>
      <w:proofErr w:type="spellEnd"/>
      <w:r>
        <w:t>, Andrew W. Lo, and Igor Makarov. An econometric model of serial correlation and illiquidity in hedge fund returns. Journal of Financial Economics, 74(3):529–609, 2004.</w:t>
      </w:r>
    </w:p>
    <w:p w14:paraId="16D30DC3" w14:textId="7DDC1F13" w:rsidR="00670982" w:rsidRDefault="00670982" w:rsidP="00670982">
      <w:pPr>
        <w:pStyle w:val="ListParagraph"/>
        <w:numPr>
          <w:ilvl w:val="0"/>
          <w:numId w:val="19"/>
        </w:numPr>
      </w:pPr>
      <w:r>
        <w:t xml:space="preserve">Hemant </w:t>
      </w:r>
      <w:proofErr w:type="spellStart"/>
      <w:r>
        <w:t>Ishwaran</w:t>
      </w:r>
      <w:proofErr w:type="spellEnd"/>
      <w:r>
        <w:t xml:space="preserve"> and J. Sunil Rao. Spike and slab variable selection: frequentist and </w:t>
      </w:r>
      <w:proofErr w:type="spellStart"/>
      <w:r>
        <w:t>bayesian</w:t>
      </w:r>
      <w:proofErr w:type="spellEnd"/>
      <w:r>
        <w:t xml:space="preserve"> strategies. The Annals of Statistics, 33(2):730–733, 2005.</w:t>
      </w:r>
    </w:p>
    <w:p w14:paraId="39C3B9EC" w14:textId="7BEDB37D" w:rsidR="00670982" w:rsidRDefault="00670982" w:rsidP="00670982">
      <w:pPr>
        <w:pStyle w:val="ListParagraph"/>
        <w:numPr>
          <w:ilvl w:val="0"/>
          <w:numId w:val="19"/>
        </w:numPr>
      </w:pPr>
      <w:r>
        <w:t xml:space="preserve">Steven N Kaplan and Antoinette </w:t>
      </w:r>
      <w:proofErr w:type="spellStart"/>
      <w:r>
        <w:t>Schoar</w:t>
      </w:r>
      <w:proofErr w:type="spellEnd"/>
      <w:r>
        <w:t>. Private equity performance: Returns, persistence, and capital flows. The Journal of Finance, 60(4):1791–1823, 2005.</w:t>
      </w:r>
    </w:p>
    <w:p w14:paraId="24C06289" w14:textId="43DFAABE" w:rsidR="00670982" w:rsidRDefault="00670982" w:rsidP="00670982">
      <w:pPr>
        <w:pStyle w:val="ListParagraph"/>
        <w:numPr>
          <w:ilvl w:val="0"/>
          <w:numId w:val="19"/>
        </w:numPr>
      </w:pPr>
      <w:r>
        <w:t>Harry M. Markowitz. Portfolio selection. Journal of Finance, 7(1):77–91, 1952.</w:t>
      </w:r>
    </w:p>
    <w:p w14:paraId="68E3E5F1" w14:textId="7324DACA" w:rsidR="00670982" w:rsidRDefault="00670982" w:rsidP="00670982">
      <w:pPr>
        <w:pStyle w:val="ListParagraph"/>
        <w:numPr>
          <w:ilvl w:val="0"/>
          <w:numId w:val="19"/>
        </w:numPr>
      </w:pPr>
      <w:r>
        <w:t>T.J. Mitchell and J.J. Beauchamp. Bayesian variable selection in linear regression. Journal of the American Statistical Association, 83:1023–1036, 1988.</w:t>
      </w:r>
    </w:p>
    <w:p w14:paraId="09F9374E" w14:textId="3B169655" w:rsidR="00670982" w:rsidRDefault="00670982" w:rsidP="00670982">
      <w:pPr>
        <w:pStyle w:val="ListParagraph"/>
        <w:numPr>
          <w:ilvl w:val="0"/>
          <w:numId w:val="19"/>
        </w:numPr>
      </w:pPr>
      <w:proofErr w:type="spellStart"/>
      <w:r>
        <w:t>Ludovic</w:t>
      </w:r>
      <w:proofErr w:type="spellEnd"/>
      <w:r>
        <w:t xml:space="preserve"> </w:t>
      </w:r>
      <w:proofErr w:type="spellStart"/>
      <w:r>
        <w:t>Phalippou</w:t>
      </w:r>
      <w:proofErr w:type="spellEnd"/>
      <w:r>
        <w:t xml:space="preserve">. The hazards of using </w:t>
      </w:r>
      <w:proofErr w:type="spellStart"/>
      <w:r>
        <w:t>irr</w:t>
      </w:r>
      <w:proofErr w:type="spellEnd"/>
      <w:r>
        <w:t xml:space="preserve"> to measure performance: The case of </w:t>
      </w:r>
      <w:proofErr w:type="gramStart"/>
      <w:r>
        <w:t>private</w:t>
      </w:r>
      <w:proofErr w:type="gramEnd"/>
    </w:p>
    <w:p w14:paraId="38CB5C44" w14:textId="222CE15A" w:rsidR="00670982" w:rsidRDefault="00670982" w:rsidP="00670982">
      <w:pPr>
        <w:pStyle w:val="ListParagraph"/>
      </w:pPr>
      <w:r>
        <w:t>equity. 2008. https://papers.ssrn.com/sol3/papers.cfm?abstract_id=1111796.</w:t>
      </w:r>
    </w:p>
    <w:p w14:paraId="3A577DE8" w14:textId="7FD37340" w:rsidR="00670982" w:rsidRDefault="00670982" w:rsidP="00670982">
      <w:pPr>
        <w:pStyle w:val="ListParagraph"/>
        <w:numPr>
          <w:ilvl w:val="0"/>
          <w:numId w:val="19"/>
        </w:numPr>
      </w:pPr>
      <w:r>
        <w:t xml:space="preserve">Juho </w:t>
      </w:r>
      <w:proofErr w:type="spellStart"/>
      <w:r>
        <w:t>Piironen</w:t>
      </w:r>
      <w:proofErr w:type="spellEnd"/>
      <w:r>
        <w:t xml:space="preserve"> and Aki </w:t>
      </w:r>
      <w:proofErr w:type="spellStart"/>
      <w:r>
        <w:t>Vehtari</w:t>
      </w:r>
      <w:proofErr w:type="spellEnd"/>
      <w:r>
        <w:t xml:space="preserve">. Comparison of </w:t>
      </w:r>
      <w:proofErr w:type="spellStart"/>
      <w:r>
        <w:t>bayesian</w:t>
      </w:r>
      <w:proofErr w:type="spellEnd"/>
      <w:r>
        <w:t xml:space="preserve"> predictive methods for model selection. Statistics and Computing, 27:711–735, 2017.</w:t>
      </w:r>
    </w:p>
    <w:p w14:paraId="01DEB5CC" w14:textId="2ECDFA96" w:rsidR="00670982" w:rsidRPr="00670982" w:rsidRDefault="00670982" w:rsidP="00670982">
      <w:pPr>
        <w:pStyle w:val="ListParagraph"/>
        <w:numPr>
          <w:ilvl w:val="0"/>
          <w:numId w:val="19"/>
        </w:numPr>
      </w:pPr>
      <w:r>
        <w:t>Morten Sorensen and Ravi Jagannathan. The public market equivalent and private equity performance, 2013. https://papers.ssrn.com/sol3/papers.cfm?abstract_id=2347972.</w:t>
      </w:r>
    </w:p>
    <w:p w14:paraId="2113C8D6" w14:textId="77777777" w:rsidR="00951CF4" w:rsidRPr="00515176" w:rsidRDefault="00951CF4" w:rsidP="00573F14">
      <w:pPr>
        <w:jc w:val="both"/>
      </w:pPr>
    </w:p>
    <w:p w14:paraId="5EE8CC1E" w14:textId="216F2C58" w:rsidR="0001284F" w:rsidRDefault="0001284F">
      <w:r>
        <w:br w:type="page"/>
      </w:r>
    </w:p>
    <w:p w14:paraId="1DD60E68" w14:textId="496AFEE4" w:rsidR="001E584A" w:rsidRDefault="001E584A" w:rsidP="001E584A">
      <w:pPr>
        <w:pStyle w:val="Heading1"/>
        <w:numPr>
          <w:ilvl w:val="0"/>
          <w:numId w:val="0"/>
        </w:numPr>
        <w:ind w:left="432" w:hanging="432"/>
        <w:rPr>
          <w:rFonts w:eastAsiaTheme="minorEastAsia"/>
        </w:rPr>
      </w:pPr>
      <w:r>
        <w:rPr>
          <w:rFonts w:eastAsiaTheme="minorEastAsia"/>
        </w:rPr>
        <w:lastRenderedPageBreak/>
        <w:t>Factor Definitions</w:t>
      </w:r>
    </w:p>
    <w:p w14:paraId="3D2974B7" w14:textId="77777777" w:rsidR="001E584A" w:rsidRDefault="001E584A"/>
    <w:tbl>
      <w:tblPr>
        <w:tblStyle w:val="TableGrid"/>
        <w:tblW w:w="0" w:type="auto"/>
        <w:tblLayout w:type="fixed"/>
        <w:tblLook w:val="06A0" w:firstRow="1" w:lastRow="0" w:firstColumn="1" w:lastColumn="0" w:noHBand="1" w:noVBand="1"/>
      </w:tblPr>
      <w:tblGrid>
        <w:gridCol w:w="4680"/>
        <w:gridCol w:w="4680"/>
      </w:tblGrid>
      <w:tr w:rsidR="001E584A" w:rsidRPr="001E584A" w14:paraId="000CA939" w14:textId="77777777" w:rsidTr="00A558D4">
        <w:trPr>
          <w:trHeight w:val="300"/>
        </w:trPr>
        <w:tc>
          <w:tcPr>
            <w:tcW w:w="4680" w:type="dxa"/>
          </w:tcPr>
          <w:p w14:paraId="17DCF570" w14:textId="77777777" w:rsidR="001E584A" w:rsidRPr="001E584A" w:rsidRDefault="001E584A" w:rsidP="00A558D4">
            <w:pPr>
              <w:pStyle w:val="paragraph"/>
              <w:jc w:val="center"/>
              <w:rPr>
                <w:rStyle w:val="normaltextrun"/>
                <w:rFonts w:asciiTheme="minorHAnsi" w:eastAsiaTheme="majorEastAsia" w:hAnsiTheme="minorHAnsi" w:cstheme="minorHAnsi"/>
                <w:color w:val="000000" w:themeColor="text1"/>
                <w:sz w:val="22"/>
                <w:szCs w:val="22"/>
              </w:rPr>
            </w:pPr>
            <w:r w:rsidRPr="001E584A">
              <w:rPr>
                <w:rStyle w:val="normaltextrun"/>
                <w:rFonts w:asciiTheme="minorHAnsi" w:hAnsiTheme="minorHAnsi" w:cstheme="minorHAnsi"/>
                <w:color w:val="000000" w:themeColor="text1"/>
                <w:sz w:val="22"/>
                <w:szCs w:val="22"/>
              </w:rPr>
              <w:t>Factor Name</w:t>
            </w:r>
          </w:p>
        </w:tc>
        <w:tc>
          <w:tcPr>
            <w:tcW w:w="4680" w:type="dxa"/>
          </w:tcPr>
          <w:p w14:paraId="12C08DCD" w14:textId="77777777" w:rsidR="001E584A" w:rsidRPr="001E584A" w:rsidRDefault="001E584A" w:rsidP="00A558D4">
            <w:pPr>
              <w:pStyle w:val="paragraph"/>
              <w:jc w:val="center"/>
              <w:rPr>
                <w:rStyle w:val="normaltextrun"/>
                <w:rFonts w:asciiTheme="minorHAnsi" w:eastAsiaTheme="majorEastAsia" w:hAnsiTheme="minorHAnsi" w:cstheme="minorHAnsi"/>
                <w:color w:val="000000" w:themeColor="text1"/>
                <w:sz w:val="22"/>
                <w:szCs w:val="22"/>
              </w:rPr>
            </w:pPr>
            <w:r w:rsidRPr="001E584A">
              <w:rPr>
                <w:rStyle w:val="normaltextrun"/>
                <w:rFonts w:asciiTheme="minorHAnsi" w:hAnsiTheme="minorHAnsi" w:cstheme="minorHAnsi"/>
                <w:color w:val="000000" w:themeColor="text1"/>
                <w:sz w:val="22"/>
                <w:szCs w:val="22"/>
              </w:rPr>
              <w:t>Index</w:t>
            </w:r>
          </w:p>
        </w:tc>
      </w:tr>
      <w:tr w:rsidR="001E584A" w:rsidRPr="001E584A" w14:paraId="4B91358F" w14:textId="77777777" w:rsidTr="00A558D4">
        <w:trPr>
          <w:trHeight w:val="300"/>
        </w:trPr>
        <w:tc>
          <w:tcPr>
            <w:tcW w:w="4680" w:type="dxa"/>
          </w:tcPr>
          <w:p w14:paraId="00C4A895"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Alt Commodities</w:t>
            </w:r>
          </w:p>
        </w:tc>
        <w:tc>
          <w:tcPr>
            <w:tcW w:w="4680" w:type="dxa"/>
          </w:tcPr>
          <w:p w14:paraId="13840A70"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Bloomberg Commodity Index</w:t>
            </w:r>
          </w:p>
        </w:tc>
      </w:tr>
      <w:tr w:rsidR="001E584A" w:rsidRPr="001E584A" w14:paraId="23106BF5" w14:textId="77777777" w:rsidTr="00A558D4">
        <w:trPr>
          <w:trHeight w:val="300"/>
        </w:trPr>
        <w:tc>
          <w:tcPr>
            <w:tcW w:w="4680" w:type="dxa"/>
          </w:tcPr>
          <w:p w14:paraId="1CC08CCD"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Alt HF Crowding</w:t>
            </w:r>
          </w:p>
        </w:tc>
        <w:tc>
          <w:tcPr>
            <w:tcW w:w="4680" w:type="dxa"/>
          </w:tcPr>
          <w:p w14:paraId="21E6482D" w14:textId="77777777" w:rsidR="001E584A" w:rsidRPr="001E584A" w:rsidRDefault="001E584A" w:rsidP="00A558D4">
            <w:pPr>
              <w:rPr>
                <w:rFonts w:eastAsia="Times New Roman" w:cstheme="minorHAnsi"/>
                <w:i/>
                <w:iCs/>
                <w:color w:val="000000" w:themeColor="text1"/>
                <w:sz w:val="22"/>
                <w:szCs w:val="22"/>
                <w:u w:val="single"/>
              </w:rPr>
            </w:pPr>
            <w:r w:rsidRPr="001E584A">
              <w:rPr>
                <w:rFonts w:eastAsia="Times New Roman" w:cstheme="minorHAnsi"/>
                <w:i/>
                <w:iCs/>
                <w:color w:val="000000" w:themeColor="text1"/>
                <w:sz w:val="22"/>
                <w:szCs w:val="22"/>
                <w:u w:val="single"/>
              </w:rPr>
              <w:t>Difference Between:</w:t>
            </w:r>
          </w:p>
          <w:p w14:paraId="1A6BA690"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 xml:space="preserve">Barclays Form 13 </w:t>
            </w:r>
            <w:proofErr w:type="gramStart"/>
            <w:r w:rsidRPr="001E584A">
              <w:rPr>
                <w:rFonts w:eastAsia="Times New Roman" w:cstheme="minorHAnsi"/>
                <w:color w:val="000000" w:themeColor="text1"/>
                <w:sz w:val="22"/>
                <w:szCs w:val="22"/>
              </w:rPr>
              <w:t>Filing;</w:t>
            </w:r>
            <w:proofErr w:type="gramEnd"/>
          </w:p>
          <w:p w14:paraId="2EE1AF57"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Russell 3000 Total Return Index</w:t>
            </w:r>
          </w:p>
        </w:tc>
      </w:tr>
      <w:tr w:rsidR="001E584A" w:rsidRPr="001E584A" w14:paraId="0A8C23C2" w14:textId="77777777" w:rsidTr="00A558D4">
        <w:trPr>
          <w:trHeight w:val="300"/>
        </w:trPr>
        <w:tc>
          <w:tcPr>
            <w:tcW w:w="4680" w:type="dxa"/>
          </w:tcPr>
          <w:p w14:paraId="480A5731"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Alt Oil</w:t>
            </w:r>
          </w:p>
        </w:tc>
        <w:tc>
          <w:tcPr>
            <w:tcW w:w="4680" w:type="dxa"/>
          </w:tcPr>
          <w:p w14:paraId="4FBFCDB0" w14:textId="77777777" w:rsidR="001E584A" w:rsidRPr="001E584A" w:rsidRDefault="001E584A" w:rsidP="00A558D4">
            <w:pPr>
              <w:rPr>
                <w:rFonts w:eastAsia="Times New Roman" w:cstheme="minorHAnsi"/>
                <w:i/>
                <w:iCs/>
                <w:color w:val="000000" w:themeColor="text1"/>
                <w:sz w:val="22"/>
                <w:szCs w:val="22"/>
                <w:u w:val="single"/>
              </w:rPr>
            </w:pPr>
            <w:r w:rsidRPr="001E584A">
              <w:rPr>
                <w:rFonts w:eastAsia="Times New Roman" w:cstheme="minorHAnsi"/>
                <w:i/>
                <w:iCs/>
                <w:color w:val="000000" w:themeColor="text1"/>
                <w:sz w:val="22"/>
                <w:szCs w:val="22"/>
                <w:u w:val="single"/>
              </w:rPr>
              <w:t>Average of:</w:t>
            </w:r>
          </w:p>
          <w:p w14:paraId="0C42BF71"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 xml:space="preserve">Middle East Crude </w:t>
            </w:r>
            <w:proofErr w:type="gramStart"/>
            <w:r w:rsidRPr="001E584A">
              <w:rPr>
                <w:rFonts w:eastAsia="Times New Roman" w:cstheme="minorHAnsi"/>
                <w:color w:val="000000" w:themeColor="text1"/>
                <w:sz w:val="22"/>
                <w:szCs w:val="22"/>
              </w:rPr>
              <w:t>Oil;</w:t>
            </w:r>
            <w:proofErr w:type="gramEnd"/>
          </w:p>
          <w:p w14:paraId="77B7181B"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 xml:space="preserve">WTI Crude </w:t>
            </w:r>
            <w:proofErr w:type="gramStart"/>
            <w:r w:rsidRPr="001E584A">
              <w:rPr>
                <w:rFonts w:eastAsia="Times New Roman" w:cstheme="minorHAnsi"/>
                <w:color w:val="000000" w:themeColor="text1"/>
                <w:sz w:val="22"/>
                <w:szCs w:val="22"/>
              </w:rPr>
              <w:t>Oil;</w:t>
            </w:r>
            <w:proofErr w:type="gramEnd"/>
          </w:p>
          <w:p w14:paraId="4624BDA4"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Brent Crude Oil</w:t>
            </w:r>
          </w:p>
        </w:tc>
      </w:tr>
      <w:tr w:rsidR="001E584A" w:rsidRPr="001E584A" w14:paraId="45AE07C8" w14:textId="77777777" w:rsidTr="00A558D4">
        <w:trPr>
          <w:trHeight w:val="300"/>
        </w:trPr>
        <w:tc>
          <w:tcPr>
            <w:tcW w:w="4680" w:type="dxa"/>
          </w:tcPr>
          <w:p w14:paraId="3D448186"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Alt Trend</w:t>
            </w:r>
          </w:p>
        </w:tc>
        <w:tc>
          <w:tcPr>
            <w:tcW w:w="4680" w:type="dxa"/>
          </w:tcPr>
          <w:p w14:paraId="0829C66D"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Credit Suisse Managed Futures Index</w:t>
            </w:r>
          </w:p>
        </w:tc>
      </w:tr>
      <w:tr w:rsidR="001E584A" w:rsidRPr="001E584A" w14:paraId="73D9EDBA" w14:textId="77777777" w:rsidTr="00A558D4">
        <w:trPr>
          <w:trHeight w:val="300"/>
        </w:trPr>
        <w:tc>
          <w:tcPr>
            <w:tcW w:w="4680" w:type="dxa"/>
          </w:tcPr>
          <w:p w14:paraId="406D68BC"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Emerging Markets</w:t>
            </w:r>
          </w:p>
        </w:tc>
        <w:tc>
          <w:tcPr>
            <w:tcW w:w="4680" w:type="dxa"/>
          </w:tcPr>
          <w:p w14:paraId="4057CF69" w14:textId="77777777" w:rsidR="001E584A" w:rsidRPr="001E584A" w:rsidRDefault="001E584A" w:rsidP="00A558D4">
            <w:pPr>
              <w:rPr>
                <w:rFonts w:eastAsia="Times New Roman" w:cstheme="minorHAnsi"/>
                <w:i/>
                <w:iCs/>
                <w:color w:val="000000" w:themeColor="text1"/>
                <w:sz w:val="22"/>
                <w:szCs w:val="22"/>
                <w:u w:val="single"/>
              </w:rPr>
            </w:pPr>
            <w:r w:rsidRPr="001E584A">
              <w:rPr>
                <w:rFonts w:eastAsia="Times New Roman" w:cstheme="minorHAnsi"/>
                <w:i/>
                <w:iCs/>
                <w:color w:val="000000" w:themeColor="text1"/>
                <w:sz w:val="22"/>
                <w:szCs w:val="22"/>
                <w:u w:val="single"/>
              </w:rPr>
              <w:t>Difference Between:</w:t>
            </w:r>
          </w:p>
          <w:p w14:paraId="03BCC431"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MSCI Emerging Markets Index (PR</w:t>
            </w:r>
            <w:proofErr w:type="gramStart"/>
            <w:r w:rsidRPr="001E584A">
              <w:rPr>
                <w:rFonts w:eastAsia="Times New Roman" w:cstheme="minorHAnsi"/>
                <w:color w:val="000000" w:themeColor="text1"/>
                <w:sz w:val="22"/>
                <w:szCs w:val="22"/>
              </w:rPr>
              <w:t>);</w:t>
            </w:r>
            <w:proofErr w:type="gramEnd"/>
          </w:p>
          <w:p w14:paraId="7BBF457E"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MSCI ACWI (PR)</w:t>
            </w:r>
          </w:p>
        </w:tc>
      </w:tr>
      <w:tr w:rsidR="001E584A" w:rsidRPr="001E584A" w14:paraId="62BBA60D" w14:textId="77777777" w:rsidTr="00A558D4">
        <w:trPr>
          <w:trHeight w:val="300"/>
        </w:trPr>
        <w:tc>
          <w:tcPr>
            <w:tcW w:w="4680" w:type="dxa"/>
          </w:tcPr>
          <w:p w14:paraId="0A81FBA0"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Equity Market</w:t>
            </w:r>
          </w:p>
        </w:tc>
        <w:tc>
          <w:tcPr>
            <w:tcW w:w="4680" w:type="dxa"/>
          </w:tcPr>
          <w:p w14:paraId="379ED0C3"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MSCI ACWI (TR)</w:t>
            </w:r>
          </w:p>
        </w:tc>
      </w:tr>
      <w:tr w:rsidR="001E584A" w:rsidRPr="001E584A" w14:paraId="0AC71AE2" w14:textId="77777777" w:rsidTr="00A558D4">
        <w:trPr>
          <w:trHeight w:val="300"/>
        </w:trPr>
        <w:tc>
          <w:tcPr>
            <w:tcW w:w="4680" w:type="dxa"/>
          </w:tcPr>
          <w:p w14:paraId="53DE1910"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Equity Momentum</w:t>
            </w:r>
          </w:p>
        </w:tc>
        <w:tc>
          <w:tcPr>
            <w:tcW w:w="4680" w:type="dxa"/>
          </w:tcPr>
          <w:p w14:paraId="0A745A93" w14:textId="77777777" w:rsidR="001E584A" w:rsidRPr="001E584A" w:rsidRDefault="001E584A" w:rsidP="00A558D4">
            <w:pPr>
              <w:rPr>
                <w:rFonts w:eastAsia="Times New Roman" w:cstheme="minorHAnsi"/>
                <w:i/>
                <w:iCs/>
                <w:color w:val="000000" w:themeColor="text1"/>
                <w:sz w:val="22"/>
                <w:szCs w:val="22"/>
                <w:u w:val="single"/>
              </w:rPr>
            </w:pPr>
            <w:r w:rsidRPr="001E584A">
              <w:rPr>
                <w:rFonts w:eastAsia="Times New Roman" w:cstheme="minorHAnsi"/>
                <w:i/>
                <w:iCs/>
                <w:color w:val="000000" w:themeColor="text1"/>
                <w:sz w:val="22"/>
                <w:szCs w:val="22"/>
                <w:u w:val="single"/>
              </w:rPr>
              <w:t>Difference Between:</w:t>
            </w:r>
          </w:p>
          <w:p w14:paraId="2CC37220"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 xml:space="preserve">MSCI ACWI Momentum NR </w:t>
            </w:r>
            <w:proofErr w:type="gramStart"/>
            <w:r w:rsidRPr="001E584A">
              <w:rPr>
                <w:rFonts w:eastAsia="Times New Roman" w:cstheme="minorHAnsi"/>
                <w:color w:val="000000" w:themeColor="text1"/>
                <w:sz w:val="22"/>
                <w:szCs w:val="22"/>
              </w:rPr>
              <w:t>USD;</w:t>
            </w:r>
            <w:proofErr w:type="gramEnd"/>
          </w:p>
          <w:p w14:paraId="60FDFC5B"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MSCI ACWI IMI</w:t>
            </w:r>
          </w:p>
        </w:tc>
      </w:tr>
      <w:tr w:rsidR="001E584A" w:rsidRPr="001E584A" w14:paraId="545AD37B" w14:textId="77777777" w:rsidTr="00A558D4">
        <w:trPr>
          <w:trHeight w:val="300"/>
        </w:trPr>
        <w:tc>
          <w:tcPr>
            <w:tcW w:w="4680" w:type="dxa"/>
          </w:tcPr>
          <w:p w14:paraId="135F1231"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Equity Quality</w:t>
            </w:r>
          </w:p>
        </w:tc>
        <w:tc>
          <w:tcPr>
            <w:tcW w:w="4680" w:type="dxa"/>
          </w:tcPr>
          <w:p w14:paraId="41499D38" w14:textId="77777777" w:rsidR="001E584A" w:rsidRPr="001E584A" w:rsidRDefault="001E584A" w:rsidP="00A558D4">
            <w:pPr>
              <w:rPr>
                <w:rFonts w:eastAsia="Times New Roman" w:cstheme="minorHAnsi"/>
                <w:i/>
                <w:iCs/>
                <w:color w:val="000000" w:themeColor="text1"/>
                <w:sz w:val="22"/>
                <w:szCs w:val="22"/>
                <w:u w:val="single"/>
              </w:rPr>
            </w:pPr>
            <w:r w:rsidRPr="001E584A">
              <w:rPr>
                <w:rFonts w:eastAsia="Times New Roman" w:cstheme="minorHAnsi"/>
                <w:i/>
                <w:iCs/>
                <w:color w:val="000000" w:themeColor="text1"/>
                <w:sz w:val="22"/>
                <w:szCs w:val="22"/>
                <w:u w:val="single"/>
              </w:rPr>
              <w:t>Difference Between:</w:t>
            </w:r>
          </w:p>
          <w:p w14:paraId="402148C2"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 xml:space="preserve">MSCI ACWI Quality NR </w:t>
            </w:r>
            <w:proofErr w:type="gramStart"/>
            <w:r w:rsidRPr="001E584A">
              <w:rPr>
                <w:rFonts w:eastAsia="Times New Roman" w:cstheme="minorHAnsi"/>
                <w:color w:val="000000" w:themeColor="text1"/>
                <w:sz w:val="22"/>
                <w:szCs w:val="22"/>
              </w:rPr>
              <w:t>USD;</w:t>
            </w:r>
            <w:proofErr w:type="gramEnd"/>
          </w:p>
          <w:p w14:paraId="57F10507"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MSCI ACWI IMI</w:t>
            </w:r>
          </w:p>
        </w:tc>
      </w:tr>
      <w:tr w:rsidR="001E584A" w:rsidRPr="001E584A" w14:paraId="286BB4A6" w14:textId="77777777" w:rsidTr="00A558D4">
        <w:trPr>
          <w:trHeight w:val="300"/>
        </w:trPr>
        <w:tc>
          <w:tcPr>
            <w:tcW w:w="4680" w:type="dxa"/>
          </w:tcPr>
          <w:p w14:paraId="3B6FEBC7"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Equity SmallCap</w:t>
            </w:r>
          </w:p>
        </w:tc>
        <w:tc>
          <w:tcPr>
            <w:tcW w:w="4680" w:type="dxa"/>
          </w:tcPr>
          <w:p w14:paraId="4FB4FFD1" w14:textId="77777777" w:rsidR="001E584A" w:rsidRPr="001E584A" w:rsidRDefault="001E584A" w:rsidP="00A558D4">
            <w:pPr>
              <w:rPr>
                <w:rFonts w:eastAsia="Times New Roman" w:cstheme="minorHAnsi"/>
                <w:i/>
                <w:iCs/>
                <w:color w:val="000000" w:themeColor="text1"/>
                <w:sz w:val="22"/>
                <w:szCs w:val="22"/>
                <w:u w:val="single"/>
              </w:rPr>
            </w:pPr>
            <w:r w:rsidRPr="001E584A">
              <w:rPr>
                <w:rFonts w:eastAsia="Times New Roman" w:cstheme="minorHAnsi"/>
                <w:i/>
                <w:iCs/>
                <w:color w:val="000000" w:themeColor="text1"/>
                <w:sz w:val="22"/>
                <w:szCs w:val="22"/>
                <w:u w:val="single"/>
              </w:rPr>
              <w:t>Difference Between:</w:t>
            </w:r>
          </w:p>
          <w:p w14:paraId="6DC6DC8D"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 xml:space="preserve">S&amp;P BMI Global </w:t>
            </w:r>
            <w:proofErr w:type="gramStart"/>
            <w:r w:rsidRPr="001E584A">
              <w:rPr>
                <w:rFonts w:eastAsia="Times New Roman" w:cstheme="minorHAnsi"/>
                <w:color w:val="000000" w:themeColor="text1"/>
                <w:sz w:val="22"/>
                <w:szCs w:val="22"/>
              </w:rPr>
              <w:t>Small-cap</w:t>
            </w:r>
            <w:proofErr w:type="gramEnd"/>
            <w:r w:rsidRPr="001E584A">
              <w:rPr>
                <w:rFonts w:eastAsia="Times New Roman" w:cstheme="minorHAnsi"/>
                <w:color w:val="000000" w:themeColor="text1"/>
                <w:sz w:val="22"/>
                <w:szCs w:val="22"/>
              </w:rPr>
              <w:t xml:space="preserve"> PR;</w:t>
            </w:r>
          </w:p>
          <w:p w14:paraId="0107EF15"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S&amp;P Global Broad Market PR</w:t>
            </w:r>
          </w:p>
        </w:tc>
      </w:tr>
      <w:tr w:rsidR="001E584A" w:rsidRPr="001E584A" w14:paraId="5FB73567" w14:textId="77777777" w:rsidTr="00A558D4">
        <w:trPr>
          <w:trHeight w:val="300"/>
        </w:trPr>
        <w:tc>
          <w:tcPr>
            <w:tcW w:w="4680" w:type="dxa"/>
          </w:tcPr>
          <w:p w14:paraId="46FE0ABD"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Equity Value</w:t>
            </w:r>
          </w:p>
        </w:tc>
        <w:tc>
          <w:tcPr>
            <w:tcW w:w="4680" w:type="dxa"/>
          </w:tcPr>
          <w:p w14:paraId="1AEED01D" w14:textId="77777777" w:rsidR="001E584A" w:rsidRPr="001E584A" w:rsidRDefault="001E584A" w:rsidP="00A558D4">
            <w:pPr>
              <w:rPr>
                <w:rFonts w:eastAsia="Times New Roman" w:cstheme="minorHAnsi"/>
                <w:i/>
                <w:iCs/>
                <w:color w:val="000000" w:themeColor="text1"/>
                <w:sz w:val="22"/>
                <w:szCs w:val="22"/>
                <w:u w:val="single"/>
              </w:rPr>
            </w:pPr>
            <w:r w:rsidRPr="001E584A">
              <w:rPr>
                <w:rFonts w:eastAsia="Times New Roman" w:cstheme="minorHAnsi"/>
                <w:i/>
                <w:iCs/>
                <w:color w:val="000000" w:themeColor="text1"/>
                <w:sz w:val="22"/>
                <w:szCs w:val="22"/>
                <w:u w:val="single"/>
              </w:rPr>
              <w:t>Difference Between:</w:t>
            </w:r>
          </w:p>
          <w:p w14:paraId="56B2A36E"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 xml:space="preserve">S&amp;P BMI Global Value </w:t>
            </w:r>
            <w:proofErr w:type="gramStart"/>
            <w:r w:rsidRPr="001E584A">
              <w:rPr>
                <w:rFonts w:eastAsia="Times New Roman" w:cstheme="minorHAnsi"/>
                <w:color w:val="000000" w:themeColor="text1"/>
                <w:sz w:val="22"/>
                <w:szCs w:val="22"/>
              </w:rPr>
              <w:t>PR;</w:t>
            </w:r>
            <w:proofErr w:type="gramEnd"/>
          </w:p>
          <w:p w14:paraId="1E3483F6"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S&amp;P Global Broad Market PR</w:t>
            </w:r>
          </w:p>
        </w:tc>
      </w:tr>
      <w:tr w:rsidR="001E584A" w:rsidRPr="001E584A" w14:paraId="184BC60B" w14:textId="77777777" w:rsidTr="00A558D4">
        <w:trPr>
          <w:trHeight w:val="300"/>
        </w:trPr>
        <w:tc>
          <w:tcPr>
            <w:tcW w:w="4680" w:type="dxa"/>
          </w:tcPr>
          <w:p w14:paraId="1288A3BC"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Fixed Credit</w:t>
            </w:r>
          </w:p>
        </w:tc>
        <w:tc>
          <w:tcPr>
            <w:tcW w:w="4680" w:type="dxa"/>
          </w:tcPr>
          <w:p w14:paraId="1EFE2BAE" w14:textId="77777777" w:rsidR="001E584A" w:rsidRPr="001E584A" w:rsidRDefault="001E584A" w:rsidP="00A558D4">
            <w:pPr>
              <w:rPr>
                <w:rFonts w:eastAsia="Times New Roman" w:cstheme="minorHAnsi"/>
                <w:i/>
                <w:iCs/>
                <w:color w:val="000000" w:themeColor="text1"/>
                <w:sz w:val="22"/>
                <w:szCs w:val="22"/>
                <w:u w:val="single"/>
              </w:rPr>
            </w:pPr>
            <w:r w:rsidRPr="001E584A">
              <w:rPr>
                <w:rFonts w:eastAsia="Times New Roman" w:cstheme="minorHAnsi"/>
                <w:i/>
                <w:iCs/>
                <w:color w:val="000000" w:themeColor="text1"/>
                <w:sz w:val="22"/>
                <w:szCs w:val="22"/>
                <w:u w:val="single"/>
              </w:rPr>
              <w:t>Difference Between:</w:t>
            </w:r>
          </w:p>
          <w:p w14:paraId="17DE7786" w14:textId="77777777" w:rsidR="001E584A" w:rsidRPr="001E584A" w:rsidRDefault="001E584A" w:rsidP="00A558D4">
            <w:pPr>
              <w:rPr>
                <w:rFonts w:eastAsia="Times New Roman" w:cstheme="minorHAnsi"/>
                <w:sz w:val="22"/>
                <w:szCs w:val="22"/>
              </w:rPr>
            </w:pPr>
            <w:r w:rsidRPr="001E584A">
              <w:rPr>
                <w:rFonts w:eastAsia="Times New Roman" w:cstheme="minorHAnsi"/>
                <w:sz w:val="22"/>
                <w:szCs w:val="22"/>
              </w:rPr>
              <w:t xml:space="preserve">Bloomberg US Corporate High Yield </w:t>
            </w:r>
            <w:proofErr w:type="gramStart"/>
            <w:r w:rsidRPr="001E584A">
              <w:rPr>
                <w:rFonts w:eastAsia="Times New Roman" w:cstheme="minorHAnsi"/>
                <w:sz w:val="22"/>
                <w:szCs w:val="22"/>
              </w:rPr>
              <w:t>Index;</w:t>
            </w:r>
            <w:proofErr w:type="gramEnd"/>
          </w:p>
          <w:p w14:paraId="4C9C03D4" w14:textId="77777777" w:rsidR="001E584A" w:rsidRPr="001E584A" w:rsidRDefault="001E584A" w:rsidP="00A558D4">
            <w:pPr>
              <w:rPr>
                <w:rFonts w:eastAsia="Times New Roman" w:cstheme="minorHAnsi"/>
                <w:sz w:val="22"/>
                <w:szCs w:val="22"/>
              </w:rPr>
            </w:pPr>
            <w:r w:rsidRPr="001E584A">
              <w:rPr>
                <w:rFonts w:eastAsia="Times New Roman" w:cstheme="minorHAnsi"/>
                <w:color w:val="008080"/>
                <w:sz w:val="22"/>
                <w:szCs w:val="22"/>
                <w:u w:val="single"/>
              </w:rPr>
              <w:t>Bloomberg Barclays US Aggregate Bond Index</w:t>
            </w:r>
          </w:p>
        </w:tc>
      </w:tr>
      <w:tr w:rsidR="001E584A" w:rsidRPr="001E584A" w14:paraId="659F8CAC" w14:textId="77777777" w:rsidTr="00A558D4">
        <w:trPr>
          <w:trHeight w:val="300"/>
        </w:trPr>
        <w:tc>
          <w:tcPr>
            <w:tcW w:w="4680" w:type="dxa"/>
          </w:tcPr>
          <w:p w14:paraId="2DF9484C"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Fixed Duration</w:t>
            </w:r>
          </w:p>
        </w:tc>
        <w:tc>
          <w:tcPr>
            <w:tcW w:w="4680" w:type="dxa"/>
          </w:tcPr>
          <w:p w14:paraId="4F575D35" w14:textId="77777777" w:rsidR="001E584A" w:rsidRPr="001E584A" w:rsidRDefault="001E584A" w:rsidP="00A558D4">
            <w:pPr>
              <w:rPr>
                <w:rFonts w:cstheme="minorHAnsi"/>
                <w:sz w:val="22"/>
                <w:szCs w:val="22"/>
              </w:rPr>
            </w:pPr>
            <w:r w:rsidRPr="001E584A">
              <w:rPr>
                <w:rFonts w:eastAsia="Times New Roman" w:cstheme="minorHAnsi"/>
                <w:sz w:val="22"/>
                <w:szCs w:val="22"/>
              </w:rPr>
              <w:t>Bloomberg U.S. Treasury: 7-10 Year Total Return Index Value Unhedged</w:t>
            </w:r>
          </w:p>
        </w:tc>
      </w:tr>
      <w:tr w:rsidR="001E584A" w:rsidRPr="001E584A" w14:paraId="6742DBFE" w14:textId="77777777" w:rsidTr="00A558D4">
        <w:trPr>
          <w:trHeight w:val="300"/>
        </w:trPr>
        <w:tc>
          <w:tcPr>
            <w:tcW w:w="4680" w:type="dxa"/>
          </w:tcPr>
          <w:p w14:paraId="34E49B32"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US Dollar</w:t>
            </w:r>
          </w:p>
        </w:tc>
        <w:tc>
          <w:tcPr>
            <w:tcW w:w="4680" w:type="dxa"/>
          </w:tcPr>
          <w:p w14:paraId="4122988B" w14:textId="77777777" w:rsidR="001E584A" w:rsidRPr="001E584A" w:rsidRDefault="001E584A" w:rsidP="00A558D4">
            <w:pPr>
              <w:rPr>
                <w:rFonts w:eastAsia="Times New Roman" w:cstheme="minorHAnsi"/>
                <w:color w:val="000000" w:themeColor="text1"/>
                <w:sz w:val="22"/>
                <w:szCs w:val="22"/>
              </w:rPr>
            </w:pPr>
            <w:r w:rsidRPr="001E584A">
              <w:rPr>
                <w:rFonts w:eastAsia="Times New Roman" w:cstheme="minorHAnsi"/>
                <w:color w:val="000000" w:themeColor="text1"/>
                <w:sz w:val="22"/>
                <w:szCs w:val="22"/>
              </w:rPr>
              <w:t>US Dollar Index</w:t>
            </w:r>
          </w:p>
        </w:tc>
      </w:tr>
    </w:tbl>
    <w:p w14:paraId="4104ED75" w14:textId="77777777" w:rsidR="00437758" w:rsidRDefault="00437758" w:rsidP="00437758">
      <w:pPr>
        <w:jc w:val="both"/>
        <w:rPr>
          <w:rFonts w:eastAsiaTheme="minorEastAsia"/>
        </w:rPr>
      </w:pPr>
    </w:p>
    <w:p w14:paraId="6537D644" w14:textId="0E7A2C48" w:rsidR="001E584A" w:rsidRPr="00437758" w:rsidRDefault="001E584A" w:rsidP="00AD457A">
      <w:pPr>
        <w:rPr>
          <w:rFonts w:eastAsiaTheme="minorEastAsia"/>
        </w:rPr>
      </w:pPr>
    </w:p>
    <w:sectPr w:rsidR="001E584A" w:rsidRPr="0043775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0B0CD" w14:textId="77777777" w:rsidR="003C60ED" w:rsidRDefault="003C60ED" w:rsidP="00445E14">
      <w:r>
        <w:separator/>
      </w:r>
    </w:p>
  </w:endnote>
  <w:endnote w:type="continuationSeparator" w:id="0">
    <w:p w14:paraId="143CF763" w14:textId="77777777" w:rsidR="003C60ED" w:rsidRDefault="003C60ED" w:rsidP="00445E14">
      <w:r>
        <w:continuationSeparator/>
      </w:r>
    </w:p>
  </w:endnote>
  <w:endnote w:type="continuationNotice" w:id="1">
    <w:p w14:paraId="3AE106E3" w14:textId="77777777" w:rsidR="003C60ED" w:rsidRDefault="003C60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959997"/>
      <w:docPartObj>
        <w:docPartGallery w:val="Page Numbers (Bottom of Page)"/>
        <w:docPartUnique/>
      </w:docPartObj>
    </w:sdtPr>
    <w:sdtContent>
      <w:p w14:paraId="0B4A2F96" w14:textId="6060155F"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5345925"/>
      <w:docPartObj>
        <w:docPartGallery w:val="Page Numbers (Bottom of Page)"/>
        <w:docPartUnique/>
      </w:docPartObj>
    </w:sdtPr>
    <w:sdtContent>
      <w:p w14:paraId="090FCF74" w14:textId="26A064BF" w:rsidR="00445E14" w:rsidRDefault="00445E14" w:rsidP="0038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527EF" w14:textId="77777777" w:rsidR="00445E14" w:rsidRDefault="00445E14" w:rsidP="00445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655397"/>
      <w:docPartObj>
        <w:docPartGallery w:val="Page Numbers (Bottom of Page)"/>
        <w:docPartUnique/>
      </w:docPartObj>
    </w:sdtPr>
    <w:sdtContent>
      <w:p w14:paraId="2A568E1B" w14:textId="52828157"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1861E2" w14:textId="77777777" w:rsidR="00445E14" w:rsidRDefault="00445E14" w:rsidP="00445E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4ACA" w14:textId="77777777" w:rsidR="003C60ED" w:rsidRDefault="003C60ED" w:rsidP="00445E14">
      <w:r>
        <w:separator/>
      </w:r>
    </w:p>
  </w:footnote>
  <w:footnote w:type="continuationSeparator" w:id="0">
    <w:p w14:paraId="5D770708" w14:textId="77777777" w:rsidR="003C60ED" w:rsidRDefault="003C60ED" w:rsidP="00445E14">
      <w:r>
        <w:continuationSeparator/>
      </w:r>
    </w:p>
  </w:footnote>
  <w:footnote w:type="continuationNotice" w:id="1">
    <w:p w14:paraId="00243224" w14:textId="77777777" w:rsidR="003C60ED" w:rsidRDefault="003C60ED"/>
  </w:footnote>
  <w:footnote w:id="2">
    <w:p w14:paraId="19BC2BF7" w14:textId="77777777" w:rsidR="00041E26" w:rsidRDefault="00041E26" w:rsidP="00041E26">
      <w:pPr>
        <w:pStyle w:val="FootnoteText"/>
      </w:pPr>
      <w:r>
        <w:rPr>
          <w:rStyle w:val="FootnoteReference"/>
        </w:rPr>
        <w:footnoteRef/>
      </w:r>
      <w:r>
        <w:t xml:space="preserve"> </w:t>
      </w:r>
      <w:r w:rsidRPr="00080123">
        <w:t>Source:</w:t>
      </w:r>
      <w:r>
        <w:t xml:space="preserve"> </w:t>
      </w:r>
      <w:r w:rsidRPr="00080123">
        <w:t>https://www.bain.com/insights/topics/global-private-equity-report/</w:t>
      </w:r>
    </w:p>
  </w:footnote>
  <w:footnote w:id="3">
    <w:p w14:paraId="289C7A56" w14:textId="77777777" w:rsidR="00041E26" w:rsidRDefault="00041E26" w:rsidP="00041E26">
      <w:pPr>
        <w:pStyle w:val="FootnoteText"/>
      </w:pPr>
      <w:r>
        <w:rPr>
          <w:rStyle w:val="FootnoteReference"/>
        </w:rPr>
        <w:footnoteRef/>
      </w:r>
      <w:r>
        <w:t xml:space="preserve"> </w:t>
      </w:r>
      <w:r w:rsidRPr="00080123">
        <w:t>Source:</w:t>
      </w:r>
      <w:r>
        <w:t xml:space="preserve"> </w:t>
      </w:r>
      <w:r w:rsidRPr="00080123">
        <w:t>https://www.mckinsey.com/industries/private-equity-and-principal-investors/our-insights/mckinseys-private-markets-annual-review/</w:t>
      </w:r>
    </w:p>
  </w:footnote>
  <w:footnote w:id="4">
    <w:p w14:paraId="5EF34B82" w14:textId="0277F05F" w:rsidR="00A51E60" w:rsidRDefault="00A51E60">
      <w:pPr>
        <w:pStyle w:val="FootnoteText"/>
      </w:pPr>
      <w:r>
        <w:rPr>
          <w:rStyle w:val="FootnoteReference"/>
        </w:rPr>
        <w:footnoteRef/>
      </w:r>
      <w:r>
        <w:t xml:space="preserve"> </w:t>
      </w:r>
      <w:r w:rsidR="00670982">
        <w:t xml:space="preserve">Source: </w:t>
      </w:r>
      <w:r w:rsidRPr="00A51E60">
        <w:t>https://www.bloomberg.com/professional/blog/sure-time-to-grasp-the-potential-of-structured-products/</w:t>
      </w:r>
    </w:p>
  </w:footnote>
  <w:footnote w:id="5">
    <w:p w14:paraId="3C7486AA" w14:textId="5588234C" w:rsidR="008A6C07" w:rsidRDefault="008A6C07">
      <w:pPr>
        <w:pStyle w:val="FootnoteText"/>
      </w:pPr>
      <w:r>
        <w:rPr>
          <w:rStyle w:val="FootnoteReference"/>
        </w:rPr>
        <w:footnoteRef/>
      </w:r>
      <w:r>
        <w:t xml:space="preserve"> </w:t>
      </w:r>
      <w:r w:rsidRPr="00080123">
        <w:t>Source:</w:t>
      </w:r>
      <w:r>
        <w:t xml:space="preserve"> </w:t>
      </w:r>
      <w:r w:rsidRPr="00080123">
        <w:t>https://icapital.com/insights/practice-management/untapped-potential-alternative-investments-and-the-wealth-management-channel/</w:t>
      </w:r>
    </w:p>
  </w:footnote>
  <w:footnote w:id="6">
    <w:p w14:paraId="1CFBD208" w14:textId="38B3B1BB" w:rsidR="00BB5321" w:rsidRDefault="00BB5321">
      <w:pPr>
        <w:pStyle w:val="FootnoteText"/>
      </w:pPr>
      <w:r>
        <w:rPr>
          <w:rStyle w:val="FootnoteReference"/>
        </w:rPr>
        <w:footnoteRef/>
      </w:r>
      <w:r>
        <w:t xml:space="preserve"> See, for example: </w:t>
      </w:r>
      <w:proofErr w:type="gramStart"/>
      <w:r w:rsidRPr="00BB5321">
        <w:t>https://pages.stern.nyu.edu/~adamodar/pdfiles/ovhds/ch5.pdf#page=43</w:t>
      </w:r>
      <w:proofErr w:type="gramEnd"/>
    </w:p>
  </w:footnote>
  <w:footnote w:id="7">
    <w:p w14:paraId="16D30137" w14:textId="77777777" w:rsidR="00DB0AD3" w:rsidRDefault="00DB0AD3" w:rsidP="00DB0AD3">
      <w:pPr>
        <w:pStyle w:val="FootnoteText"/>
      </w:pPr>
      <w:r>
        <w:rPr>
          <w:rStyle w:val="FootnoteReference"/>
        </w:rPr>
        <w:footnoteRef/>
      </w:r>
      <w:r>
        <w:t xml:space="preserve"> They </w:t>
      </w:r>
      <w:r w:rsidRPr="007D2C0F">
        <w:t>may not fully capture the complexities of private equity investments, such as the strategic timing of cash flows and the long-term, illiquid nature of these assets.</w:t>
      </w:r>
    </w:p>
  </w:footnote>
  <w:footnote w:id="8">
    <w:p w14:paraId="7BF007DB" w14:textId="2B9E6DBF" w:rsidR="00EF4E53" w:rsidRDefault="00EF4E53">
      <w:pPr>
        <w:pStyle w:val="FootnoteText"/>
      </w:pPr>
      <w:r>
        <w:rPr>
          <w:rStyle w:val="FootnoteReference"/>
        </w:rPr>
        <w:footnoteRef/>
      </w:r>
      <w:r>
        <w:t xml:space="preserve"> </w:t>
      </w:r>
      <w:r w:rsidRPr="00EF4E53">
        <w:t>Our factor returns are almost always monthly, as are the de-smoothed returns.</w:t>
      </w:r>
    </w:p>
  </w:footnote>
  <w:footnote w:id="9">
    <w:p w14:paraId="399D12FE" w14:textId="207B84AD" w:rsidR="00EF4E53" w:rsidRDefault="00EF4E53">
      <w:pPr>
        <w:pStyle w:val="FootnoteText"/>
      </w:pPr>
      <w:r>
        <w:rPr>
          <w:rStyle w:val="FootnoteReference"/>
        </w:rPr>
        <w:footnoteRef/>
      </w:r>
      <w:r>
        <w:t xml:space="preserve"> Note that the vector </w:t>
      </w:r>
      <m:oMath>
        <m:r>
          <w:rPr>
            <w:rFonts w:ascii="Cambria Math" w:hAnsi="Cambria Math"/>
          </w:rPr>
          <m:t>ϕ∈</m:t>
        </m:r>
        <m:acc>
          <m:accPr>
            <m:chr m:val="̃"/>
            <m:ctrlPr>
              <w:rPr>
                <w:rFonts w:ascii="Cambria Math" w:eastAsiaTheme="minorEastAsia" w:hAnsi="Cambria Math"/>
                <w:i/>
              </w:rPr>
            </m:ctrlPr>
          </m:accPr>
          <m:e>
            <m:r>
              <w:rPr>
                <w:rFonts w:ascii="Cambria Math" w:eastAsiaTheme="minorEastAsia" w:hAnsi="Cambria Math"/>
              </w:rPr>
              <m:t>ϕ</m:t>
            </m:r>
            <m:ctrlPr>
              <w:rPr>
                <w:rFonts w:ascii="Cambria Math" w:hAnsi="Cambria Math"/>
                <w:i/>
              </w:rPr>
            </m:ctrlPr>
          </m:e>
        </m:acc>
      </m:oMath>
      <w:r>
        <w:rPr>
          <w:rFonts w:eastAsiaTheme="minorEastAsia"/>
        </w:rPr>
        <w:t xml:space="preserve">. For quarterly reported data, say </w:t>
      </w:r>
      <m:oMath>
        <m:r>
          <w:rPr>
            <w:rFonts w:ascii="Cambria Math" w:eastAsiaTheme="minorEastAsia" w:hAnsi="Cambria Math"/>
          </w:rPr>
          <m:t>ϕ=</m:t>
        </m:r>
        <m:d>
          <m:dPr>
            <m:begChr m:val="["/>
            <m:endChr m:val="]"/>
            <m:ctrlPr>
              <w:rPr>
                <w:rFonts w:ascii="Cambria Math" w:eastAsiaTheme="minorEastAsia" w:hAnsi="Cambria Math"/>
                <w:i/>
              </w:rPr>
            </m:ctrlPr>
          </m:dPr>
          <m:e>
            <m:r>
              <w:rPr>
                <w:rFonts w:ascii="Cambria Math" w:eastAsiaTheme="minorEastAsia" w:hAnsi="Cambria Math"/>
              </w:rPr>
              <m:t>a, b, c</m:t>
            </m:r>
          </m:e>
        </m:d>
        <m:r>
          <w:rPr>
            <w:rFonts w:ascii="Cambria Math" w:eastAsiaTheme="minorEastAsia" w:hAnsi="Cambria Math"/>
          </w:rPr>
          <m:t>'</m:t>
        </m:r>
      </m:oMath>
      <w:r>
        <w:rPr>
          <w:rFonts w:eastAsiaTheme="minorEastAsia"/>
        </w:rPr>
        <w:t xml:space="preserve"> where </w:t>
      </w:r>
      <m:oMath>
        <m:r>
          <w:rPr>
            <w:rFonts w:ascii="Cambria Math" w:eastAsiaTheme="minorEastAsia" w:hAnsi="Cambria Math"/>
          </w:rPr>
          <m:t>a, b, c</m:t>
        </m:r>
        <m:r>
          <m:rPr>
            <m:scr m:val="double-struck"/>
          </m:rPr>
          <w:rPr>
            <w:rFonts w:ascii="Cambria Math" w:eastAsiaTheme="minorEastAsia" w:hAnsi="Cambria Math"/>
          </w:rPr>
          <m:t>∈ R</m:t>
        </m:r>
      </m:oMath>
      <w:r>
        <w:rPr>
          <w:rFonts w:eastAsiaTheme="minorEastAsia"/>
        </w:rPr>
        <w:t>. Then  </w:t>
      </w:r>
      <m:oMath>
        <m:acc>
          <m:accPr>
            <m:chr m:val="̃"/>
            <m:ctrlPr>
              <w:rPr>
                <w:rFonts w:ascii="Cambria Math" w:eastAsiaTheme="minorEastAsia" w:hAnsi="Cambria Math"/>
                <w:i/>
              </w:rPr>
            </m:ctrlPr>
          </m:accPr>
          <m:e>
            <m:r>
              <w:rPr>
                <w:rFonts w:ascii="Cambria Math" w:eastAsiaTheme="minorEastAsia" w:hAnsi="Cambria Math"/>
              </w:rPr>
              <m:t>ϕ</m:t>
            </m:r>
            <m:ctrlPr>
              <w:rPr>
                <w:rFonts w:ascii="Cambria Math" w:hAnsi="Cambria Math"/>
                <w:i/>
              </w:rPr>
            </m:ctrlPr>
          </m:e>
        </m:acc>
        <m:r>
          <w:rPr>
            <w:rFonts w:ascii="Cambria Math" w:hAnsi="Cambria Math"/>
          </w:rPr>
          <m:t>=[a, b, c, 1-a, 1-b, 1-c]'</m:t>
        </m:r>
      </m:oMath>
      <w:r>
        <w:rPr>
          <w:rFonts w:eastAsiaTheme="minorEastAsia"/>
        </w:rPr>
        <w:t xml:space="preserve"> and the sum of all terms in  </w:t>
      </w:r>
      <m:oMath>
        <m:acc>
          <m:accPr>
            <m:chr m:val="̃"/>
            <m:ctrlPr>
              <w:rPr>
                <w:rFonts w:ascii="Cambria Math" w:eastAsiaTheme="minorEastAsia" w:hAnsi="Cambria Math"/>
                <w:i/>
              </w:rPr>
            </m:ctrlPr>
          </m:accPr>
          <m:e>
            <m:r>
              <w:rPr>
                <w:rFonts w:ascii="Cambria Math" w:eastAsiaTheme="minorEastAsia" w:hAnsi="Cambria Math"/>
              </w:rPr>
              <m:t>ϕ</m:t>
            </m:r>
            <m:ctrlPr>
              <w:rPr>
                <w:rFonts w:ascii="Cambria Math" w:hAnsi="Cambria Math"/>
                <w:i/>
              </w:rPr>
            </m:ctrlPr>
          </m:e>
        </m:acc>
      </m:oMath>
      <w:r>
        <w:rPr>
          <w:rFonts w:eastAsiaTheme="minorEastAsia"/>
        </w:rPr>
        <w:t xml:space="preserve"> is 3. For monthly reported data, say </w:t>
      </w:r>
      <m:oMath>
        <m:r>
          <w:rPr>
            <w:rFonts w:ascii="Cambria Math" w:eastAsiaTheme="minorEastAsia" w:hAnsi="Cambria Math"/>
          </w:rPr>
          <m:t>ϕ=[a, b, c, d, e]'</m:t>
        </m:r>
      </m:oMath>
      <w:r>
        <w:rPr>
          <w:rFonts w:eastAsiaTheme="minorEastAsia"/>
        </w:rPr>
        <w:t xml:space="preserve"> where </w:t>
      </w:r>
      <m:oMath>
        <m:r>
          <w:rPr>
            <w:rFonts w:ascii="Cambria Math" w:eastAsiaTheme="minorEastAsia" w:hAnsi="Cambria Math"/>
          </w:rPr>
          <m:t>a, b, c, d,e</m:t>
        </m:r>
        <m:r>
          <m:rPr>
            <m:scr m:val="double-struck"/>
          </m:rPr>
          <w:rPr>
            <w:rFonts w:ascii="Cambria Math" w:eastAsiaTheme="minorEastAsia" w:hAnsi="Cambria Math"/>
          </w:rPr>
          <m:t>∈ R</m:t>
        </m:r>
      </m:oMath>
      <w:r>
        <w:rPr>
          <w:rFonts w:eastAsiaTheme="minorEastAsia"/>
        </w:rPr>
        <w:t>. Then  </w:t>
      </w:r>
      <m:oMath>
        <m:acc>
          <m:accPr>
            <m:chr m:val="̃"/>
            <m:ctrlPr>
              <w:rPr>
                <w:rFonts w:ascii="Cambria Math" w:eastAsiaTheme="minorEastAsia" w:hAnsi="Cambria Math"/>
                <w:i/>
              </w:rPr>
            </m:ctrlPr>
          </m:accPr>
          <m:e>
            <m:r>
              <w:rPr>
                <w:rFonts w:ascii="Cambria Math" w:eastAsiaTheme="minorEastAsia" w:hAnsi="Cambria Math"/>
              </w:rPr>
              <m:t>ϕ</m:t>
            </m:r>
            <m:ctrlPr>
              <w:rPr>
                <w:rFonts w:ascii="Cambria Math" w:hAnsi="Cambria Math"/>
                <w:i/>
              </w:rPr>
            </m:ctrlPr>
          </m:e>
        </m:acc>
        <m:r>
          <w:rPr>
            <w:rFonts w:ascii="Cambria Math" w:hAnsi="Cambria Math"/>
          </w:rPr>
          <m:t>=</m:t>
        </m:r>
        <m:d>
          <m:dPr>
            <m:begChr m:val="["/>
            <m:endChr m:val="]"/>
            <m:ctrlPr>
              <w:rPr>
                <w:rFonts w:ascii="Cambria Math" w:hAnsi="Cambria Math"/>
                <w:i/>
              </w:rPr>
            </m:ctrlPr>
          </m:dPr>
          <m:e>
            <m:r>
              <w:rPr>
                <w:rFonts w:ascii="Cambria Math" w:hAnsi="Cambria Math"/>
              </w:rPr>
              <m:t>a, b, c, d, e, 1-a-b-c-d-e</m:t>
            </m:r>
          </m:e>
        </m:d>
        <m:r>
          <w:rPr>
            <w:rFonts w:ascii="Cambria Math" w:hAnsi="Cambria Math"/>
          </w:rPr>
          <m:t>'</m:t>
        </m:r>
      </m:oMath>
      <w:r>
        <w:rPr>
          <w:rFonts w:eastAsiaTheme="minorEastAsia"/>
        </w:rPr>
        <w:t xml:space="preserve"> and the sum of all terms in </w:t>
      </w:r>
      <m:oMath>
        <m:acc>
          <m:accPr>
            <m:chr m:val="̃"/>
            <m:ctrlPr>
              <w:rPr>
                <w:rFonts w:ascii="Cambria Math" w:eastAsiaTheme="minorEastAsia" w:hAnsi="Cambria Math"/>
                <w:i/>
              </w:rPr>
            </m:ctrlPr>
          </m:accPr>
          <m:e>
            <m:r>
              <w:rPr>
                <w:rFonts w:ascii="Cambria Math" w:eastAsiaTheme="minorEastAsia" w:hAnsi="Cambria Math"/>
              </w:rPr>
              <m:t>ϕ</m:t>
            </m:r>
            <m:ctrlPr>
              <w:rPr>
                <w:rFonts w:ascii="Cambria Math" w:hAnsi="Cambria Math"/>
                <w:i/>
              </w:rPr>
            </m:ctrlPr>
          </m:e>
        </m:acc>
      </m:oMath>
      <w:r>
        <w:rPr>
          <w:rFonts w:eastAsiaTheme="minorEastAsia"/>
        </w:rPr>
        <w:t xml:space="preserve"> here, is 1.</w:t>
      </w:r>
    </w:p>
  </w:footnote>
  <w:footnote w:id="10">
    <w:p w14:paraId="615A29F0" w14:textId="033CCC69" w:rsidR="00084851" w:rsidRDefault="00084851">
      <w:pPr>
        <w:pStyle w:val="FootnoteText"/>
      </w:pPr>
      <w:r>
        <w:rPr>
          <w:rStyle w:val="FootnoteReference"/>
        </w:rPr>
        <w:footnoteRef/>
      </w:r>
      <w:r>
        <w:t xml:space="preserve"> In the frequentist sense of the word. </w:t>
      </w:r>
    </w:p>
  </w:footnote>
  <w:footnote w:id="11">
    <w:p w14:paraId="70CDB787" w14:textId="77777777" w:rsidR="00DB4324" w:rsidRDefault="00DB4324" w:rsidP="00DB4324">
      <w:pPr>
        <w:pStyle w:val="FootnoteText"/>
      </w:pPr>
      <w:r>
        <w:rPr>
          <w:rStyle w:val="FootnoteReference"/>
        </w:rPr>
        <w:footnoteRef/>
      </w:r>
      <w:r>
        <w:t xml:space="preserve"> </w:t>
      </w:r>
      <w:r w:rsidRPr="009F6DC2">
        <w:t>Gibbs sampling is a statistical technique used for generating sequences of samples from the probability distribution of multiple variables. It's a kind of Markov Chain Monte Carlo (MCMC) method</w:t>
      </w:r>
      <w:r>
        <w:t xml:space="preserve">. It </w:t>
      </w:r>
      <w:r w:rsidRPr="0095678D">
        <w:t>is particularly useful in scenarios where directly sampling from the joint distribution is difficult, but sampling from the conditional distribution of each variable is feasible.</w:t>
      </w:r>
    </w:p>
  </w:footnote>
  <w:footnote w:id="12">
    <w:p w14:paraId="7F5A5F92" w14:textId="1F730B2E" w:rsidR="00737675" w:rsidRDefault="00737675">
      <w:pPr>
        <w:pStyle w:val="FootnoteText"/>
      </w:pPr>
      <w:r>
        <w:rPr>
          <w:rStyle w:val="FootnoteReference"/>
        </w:rPr>
        <w:footnoteRef/>
      </w:r>
      <w:r>
        <w:t xml:space="preserve"> Subject to a </w:t>
      </w:r>
      <w:proofErr w:type="gramStart"/>
      <w:r>
        <w:t>zero exposure</w:t>
      </w:r>
      <w:proofErr w:type="gramEnd"/>
      <w:r>
        <w:t xml:space="preserve"> prior.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12B"/>
    <w:multiLevelType w:val="hybridMultilevel"/>
    <w:tmpl w:val="737A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2896"/>
    <w:multiLevelType w:val="hybridMultilevel"/>
    <w:tmpl w:val="9DB81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776550"/>
    <w:multiLevelType w:val="hybridMultilevel"/>
    <w:tmpl w:val="F19C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E290A"/>
    <w:multiLevelType w:val="hybridMultilevel"/>
    <w:tmpl w:val="607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7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43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D04473"/>
    <w:multiLevelType w:val="multilevel"/>
    <w:tmpl w:val="0F34ADE8"/>
    <w:lvl w:ilvl="0">
      <w:start w:val="1"/>
      <w:numFmt w:val="decimal"/>
      <w:lvlText w:val="%1."/>
      <w:lvlJc w:val="left"/>
      <w:pPr>
        <w:ind w:left="360" w:hanging="360"/>
      </w:pPr>
      <w:rPr>
        <w:rFonts w:asciiTheme="majorHAnsi" w:hAnsiTheme="majorHAnsi" w:cstheme="maj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113712"/>
    <w:multiLevelType w:val="hybridMultilevel"/>
    <w:tmpl w:val="F95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31F2B"/>
    <w:multiLevelType w:val="multilevel"/>
    <w:tmpl w:val="0688EB02"/>
    <w:lvl w:ilvl="0">
      <w:start w:val="1"/>
      <w:numFmt w:val="decimal"/>
      <w:lvlText w:val="%1."/>
      <w:lvlJc w:val="left"/>
      <w:pPr>
        <w:ind w:left="1080" w:hanging="360"/>
      </w:pPr>
    </w:lvl>
    <w:lvl w:ilvl="1">
      <w:start w:val="1"/>
      <w:numFmt w:val="decimal"/>
      <w:lvlText w:val="%1.%2."/>
      <w:lvlJc w:val="left"/>
      <w:pPr>
        <w:ind w:left="1512" w:hanging="432"/>
      </w:pPr>
      <w:rPr>
        <w:rFonts w:asciiTheme="majorHAnsi" w:hAnsiTheme="majorHAnsi" w:cstheme="majorHAnsi" w:hint="default"/>
        <w:sz w:val="28"/>
        <w:szCs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ADC1374"/>
    <w:multiLevelType w:val="hybridMultilevel"/>
    <w:tmpl w:val="E5E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C1FE1"/>
    <w:multiLevelType w:val="hybridMultilevel"/>
    <w:tmpl w:val="4C18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D16FE"/>
    <w:multiLevelType w:val="hybridMultilevel"/>
    <w:tmpl w:val="9E12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25D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51C037E"/>
    <w:multiLevelType w:val="hybridMultilevel"/>
    <w:tmpl w:val="4822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646E8"/>
    <w:multiLevelType w:val="hybridMultilevel"/>
    <w:tmpl w:val="101A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72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5863D2"/>
    <w:multiLevelType w:val="hybridMultilevel"/>
    <w:tmpl w:val="5EEE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3938">
    <w:abstractNumId w:val="12"/>
  </w:num>
  <w:num w:numId="2" w16cid:durableId="1756782704">
    <w:abstractNumId w:val="13"/>
  </w:num>
  <w:num w:numId="3" w16cid:durableId="1370647188">
    <w:abstractNumId w:val="3"/>
  </w:num>
  <w:num w:numId="4" w16cid:durableId="221797831">
    <w:abstractNumId w:val="14"/>
  </w:num>
  <w:num w:numId="5" w16cid:durableId="13600890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2811721">
    <w:abstractNumId w:val="9"/>
  </w:num>
  <w:num w:numId="7" w16cid:durableId="1350256350">
    <w:abstractNumId w:val="0"/>
  </w:num>
  <w:num w:numId="8" w16cid:durableId="1176388193">
    <w:abstractNumId w:val="10"/>
  </w:num>
  <w:num w:numId="9" w16cid:durableId="1588467186">
    <w:abstractNumId w:val="8"/>
  </w:num>
  <w:num w:numId="10" w16cid:durableId="1811513278">
    <w:abstractNumId w:val="11"/>
  </w:num>
  <w:num w:numId="11" w16cid:durableId="1470900690">
    <w:abstractNumId w:val="5"/>
  </w:num>
  <w:num w:numId="12" w16cid:durableId="132647045">
    <w:abstractNumId w:val="16"/>
  </w:num>
  <w:num w:numId="13" w16cid:durableId="1503231818">
    <w:abstractNumId w:val="2"/>
  </w:num>
  <w:num w:numId="14" w16cid:durableId="278536754">
    <w:abstractNumId w:val="4"/>
  </w:num>
  <w:num w:numId="15" w16cid:durableId="1935360501">
    <w:abstractNumId w:val="6"/>
  </w:num>
  <w:num w:numId="16" w16cid:durableId="2042700761">
    <w:abstractNumId w:val="17"/>
  </w:num>
  <w:num w:numId="17" w16cid:durableId="1880510189">
    <w:abstractNumId w:val="7"/>
  </w:num>
  <w:num w:numId="18" w16cid:durableId="1415129256">
    <w:abstractNumId w:val="15"/>
  </w:num>
  <w:num w:numId="19" w16cid:durableId="741679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DE"/>
    <w:rsid w:val="000012F4"/>
    <w:rsid w:val="000049C1"/>
    <w:rsid w:val="0001284F"/>
    <w:rsid w:val="00013E84"/>
    <w:rsid w:val="00014A81"/>
    <w:rsid w:val="0001709C"/>
    <w:rsid w:val="000301D2"/>
    <w:rsid w:val="000318D6"/>
    <w:rsid w:val="000321F3"/>
    <w:rsid w:val="00041ABB"/>
    <w:rsid w:val="00041E26"/>
    <w:rsid w:val="00045891"/>
    <w:rsid w:val="000467EC"/>
    <w:rsid w:val="00046823"/>
    <w:rsid w:val="0005194A"/>
    <w:rsid w:val="00056F1C"/>
    <w:rsid w:val="00063A2F"/>
    <w:rsid w:val="000668C0"/>
    <w:rsid w:val="00066918"/>
    <w:rsid w:val="00071417"/>
    <w:rsid w:val="00071A04"/>
    <w:rsid w:val="0007203D"/>
    <w:rsid w:val="00080123"/>
    <w:rsid w:val="000819A6"/>
    <w:rsid w:val="00084660"/>
    <w:rsid w:val="00084851"/>
    <w:rsid w:val="000951C8"/>
    <w:rsid w:val="000971A4"/>
    <w:rsid w:val="000B09BE"/>
    <w:rsid w:val="000B3B31"/>
    <w:rsid w:val="000C0E69"/>
    <w:rsid w:val="000D1491"/>
    <w:rsid w:val="000D43EE"/>
    <w:rsid w:val="000D4E0D"/>
    <w:rsid w:val="000E3899"/>
    <w:rsid w:val="000E5580"/>
    <w:rsid w:val="000E7E5F"/>
    <w:rsid w:val="00103A34"/>
    <w:rsid w:val="00104B8A"/>
    <w:rsid w:val="00105231"/>
    <w:rsid w:val="00110A6F"/>
    <w:rsid w:val="00115679"/>
    <w:rsid w:val="00124D04"/>
    <w:rsid w:val="00126011"/>
    <w:rsid w:val="0012690C"/>
    <w:rsid w:val="00127D3D"/>
    <w:rsid w:val="00130F19"/>
    <w:rsid w:val="00133C1D"/>
    <w:rsid w:val="00135B3B"/>
    <w:rsid w:val="00142365"/>
    <w:rsid w:val="001436C9"/>
    <w:rsid w:val="001437E7"/>
    <w:rsid w:val="00166293"/>
    <w:rsid w:val="00173A04"/>
    <w:rsid w:val="00175B4D"/>
    <w:rsid w:val="0017626A"/>
    <w:rsid w:val="00191A24"/>
    <w:rsid w:val="001A39E9"/>
    <w:rsid w:val="001A59CE"/>
    <w:rsid w:val="001B13CD"/>
    <w:rsid w:val="001B5915"/>
    <w:rsid w:val="001C1179"/>
    <w:rsid w:val="001C6E21"/>
    <w:rsid w:val="001E15A9"/>
    <w:rsid w:val="001E57E6"/>
    <w:rsid w:val="001E584A"/>
    <w:rsid w:val="001F782B"/>
    <w:rsid w:val="00200BAC"/>
    <w:rsid w:val="00202480"/>
    <w:rsid w:val="002104D1"/>
    <w:rsid w:val="00215B3F"/>
    <w:rsid w:val="00220931"/>
    <w:rsid w:val="00225CDA"/>
    <w:rsid w:val="0024126E"/>
    <w:rsid w:val="002414A9"/>
    <w:rsid w:val="002429DA"/>
    <w:rsid w:val="00245CA1"/>
    <w:rsid w:val="00261275"/>
    <w:rsid w:val="00271918"/>
    <w:rsid w:val="00276823"/>
    <w:rsid w:val="00276D6C"/>
    <w:rsid w:val="00282EF4"/>
    <w:rsid w:val="00284700"/>
    <w:rsid w:val="002874AE"/>
    <w:rsid w:val="002925E4"/>
    <w:rsid w:val="002A297F"/>
    <w:rsid w:val="002A35E7"/>
    <w:rsid w:val="002B0C3E"/>
    <w:rsid w:val="002B4BA6"/>
    <w:rsid w:val="002B4FBE"/>
    <w:rsid w:val="002C4E2E"/>
    <w:rsid w:val="003059FC"/>
    <w:rsid w:val="00306E6E"/>
    <w:rsid w:val="00311B7A"/>
    <w:rsid w:val="00317DD7"/>
    <w:rsid w:val="003243F9"/>
    <w:rsid w:val="00330E3D"/>
    <w:rsid w:val="00342C1D"/>
    <w:rsid w:val="0034664A"/>
    <w:rsid w:val="00350057"/>
    <w:rsid w:val="0035598F"/>
    <w:rsid w:val="003702DD"/>
    <w:rsid w:val="0038248F"/>
    <w:rsid w:val="00386AD3"/>
    <w:rsid w:val="00395B48"/>
    <w:rsid w:val="003A3A33"/>
    <w:rsid w:val="003A76FB"/>
    <w:rsid w:val="003B2F29"/>
    <w:rsid w:val="003B60C9"/>
    <w:rsid w:val="003C60ED"/>
    <w:rsid w:val="003C70B9"/>
    <w:rsid w:val="003F07D2"/>
    <w:rsid w:val="003F262A"/>
    <w:rsid w:val="003F276A"/>
    <w:rsid w:val="004021A8"/>
    <w:rsid w:val="004077C6"/>
    <w:rsid w:val="004139DB"/>
    <w:rsid w:val="004174A5"/>
    <w:rsid w:val="00422883"/>
    <w:rsid w:val="004313D8"/>
    <w:rsid w:val="00433504"/>
    <w:rsid w:val="00437758"/>
    <w:rsid w:val="00444214"/>
    <w:rsid w:val="00445E14"/>
    <w:rsid w:val="00466D25"/>
    <w:rsid w:val="00467806"/>
    <w:rsid w:val="00483690"/>
    <w:rsid w:val="004848F5"/>
    <w:rsid w:val="004902FA"/>
    <w:rsid w:val="004932AD"/>
    <w:rsid w:val="004A0431"/>
    <w:rsid w:val="004A1B0A"/>
    <w:rsid w:val="004A2C3A"/>
    <w:rsid w:val="004B0BF3"/>
    <w:rsid w:val="004B2330"/>
    <w:rsid w:val="004B2BEC"/>
    <w:rsid w:val="004B30B5"/>
    <w:rsid w:val="004B40B3"/>
    <w:rsid w:val="004C1BBB"/>
    <w:rsid w:val="004D1F8D"/>
    <w:rsid w:val="004D3504"/>
    <w:rsid w:val="004D4473"/>
    <w:rsid w:val="004E1A19"/>
    <w:rsid w:val="004E1AB8"/>
    <w:rsid w:val="004E68B4"/>
    <w:rsid w:val="004E7C3B"/>
    <w:rsid w:val="004F0A7A"/>
    <w:rsid w:val="004F12EB"/>
    <w:rsid w:val="004F4307"/>
    <w:rsid w:val="004F5132"/>
    <w:rsid w:val="00513722"/>
    <w:rsid w:val="00514034"/>
    <w:rsid w:val="00515176"/>
    <w:rsid w:val="00515D1A"/>
    <w:rsid w:val="00521A0C"/>
    <w:rsid w:val="00523400"/>
    <w:rsid w:val="005252A6"/>
    <w:rsid w:val="00546EAD"/>
    <w:rsid w:val="00551EDE"/>
    <w:rsid w:val="00552541"/>
    <w:rsid w:val="0055696A"/>
    <w:rsid w:val="0056499F"/>
    <w:rsid w:val="0056685E"/>
    <w:rsid w:val="00573F14"/>
    <w:rsid w:val="005744AC"/>
    <w:rsid w:val="00575773"/>
    <w:rsid w:val="00583DAC"/>
    <w:rsid w:val="00584274"/>
    <w:rsid w:val="005862A7"/>
    <w:rsid w:val="00592923"/>
    <w:rsid w:val="0059578D"/>
    <w:rsid w:val="005A0780"/>
    <w:rsid w:val="005A1AE5"/>
    <w:rsid w:val="005A3D55"/>
    <w:rsid w:val="005C05EE"/>
    <w:rsid w:val="005C0A12"/>
    <w:rsid w:val="005C7614"/>
    <w:rsid w:val="005D20CD"/>
    <w:rsid w:val="005E1E78"/>
    <w:rsid w:val="005E2A6B"/>
    <w:rsid w:val="00601E7D"/>
    <w:rsid w:val="00605825"/>
    <w:rsid w:val="00626147"/>
    <w:rsid w:val="00627403"/>
    <w:rsid w:val="00627FEE"/>
    <w:rsid w:val="00630B3C"/>
    <w:rsid w:val="006358BC"/>
    <w:rsid w:val="00637627"/>
    <w:rsid w:val="00637CDA"/>
    <w:rsid w:val="00637F8E"/>
    <w:rsid w:val="00642A23"/>
    <w:rsid w:val="00643135"/>
    <w:rsid w:val="00647E4C"/>
    <w:rsid w:val="00652461"/>
    <w:rsid w:val="006576A3"/>
    <w:rsid w:val="00661F25"/>
    <w:rsid w:val="0066211E"/>
    <w:rsid w:val="00670982"/>
    <w:rsid w:val="00672BA1"/>
    <w:rsid w:val="0067612A"/>
    <w:rsid w:val="00677320"/>
    <w:rsid w:val="00684284"/>
    <w:rsid w:val="006901EE"/>
    <w:rsid w:val="00690892"/>
    <w:rsid w:val="006A4F01"/>
    <w:rsid w:val="006A6BDB"/>
    <w:rsid w:val="006B207F"/>
    <w:rsid w:val="006B3600"/>
    <w:rsid w:val="006B7708"/>
    <w:rsid w:val="006C342A"/>
    <w:rsid w:val="006C3514"/>
    <w:rsid w:val="006C54A0"/>
    <w:rsid w:val="006D0D67"/>
    <w:rsid w:val="006D1003"/>
    <w:rsid w:val="006D11AF"/>
    <w:rsid w:val="006E4B31"/>
    <w:rsid w:val="006F202F"/>
    <w:rsid w:val="006F497E"/>
    <w:rsid w:val="00702490"/>
    <w:rsid w:val="00704A3E"/>
    <w:rsid w:val="007206EE"/>
    <w:rsid w:val="00730391"/>
    <w:rsid w:val="00737675"/>
    <w:rsid w:val="00743C5D"/>
    <w:rsid w:val="007537CD"/>
    <w:rsid w:val="0075474E"/>
    <w:rsid w:val="007576A3"/>
    <w:rsid w:val="00757B7C"/>
    <w:rsid w:val="00761D86"/>
    <w:rsid w:val="0076483B"/>
    <w:rsid w:val="00784158"/>
    <w:rsid w:val="007860C0"/>
    <w:rsid w:val="00791EF2"/>
    <w:rsid w:val="00792D6F"/>
    <w:rsid w:val="007A2FB0"/>
    <w:rsid w:val="007B078A"/>
    <w:rsid w:val="007B18A5"/>
    <w:rsid w:val="007B70AD"/>
    <w:rsid w:val="007C0425"/>
    <w:rsid w:val="007C50A5"/>
    <w:rsid w:val="007C6D3E"/>
    <w:rsid w:val="007D07A2"/>
    <w:rsid w:val="007D1A8A"/>
    <w:rsid w:val="007D2C0F"/>
    <w:rsid w:val="007D5208"/>
    <w:rsid w:val="007E067B"/>
    <w:rsid w:val="007F0A9E"/>
    <w:rsid w:val="007F1A12"/>
    <w:rsid w:val="007F23DD"/>
    <w:rsid w:val="007F454B"/>
    <w:rsid w:val="00801E79"/>
    <w:rsid w:val="008028E0"/>
    <w:rsid w:val="0080517E"/>
    <w:rsid w:val="0080681B"/>
    <w:rsid w:val="008155A6"/>
    <w:rsid w:val="00815C12"/>
    <w:rsid w:val="0083076D"/>
    <w:rsid w:val="008341A1"/>
    <w:rsid w:val="008349BC"/>
    <w:rsid w:val="00847785"/>
    <w:rsid w:val="00852D4B"/>
    <w:rsid w:val="00863F6F"/>
    <w:rsid w:val="00866DAD"/>
    <w:rsid w:val="008718DC"/>
    <w:rsid w:val="00871D32"/>
    <w:rsid w:val="0087318F"/>
    <w:rsid w:val="00874F99"/>
    <w:rsid w:val="00881A42"/>
    <w:rsid w:val="00883349"/>
    <w:rsid w:val="0088727F"/>
    <w:rsid w:val="008A0F12"/>
    <w:rsid w:val="008A3039"/>
    <w:rsid w:val="008A335A"/>
    <w:rsid w:val="008A4DF0"/>
    <w:rsid w:val="008A6C07"/>
    <w:rsid w:val="008A726B"/>
    <w:rsid w:val="008B080E"/>
    <w:rsid w:val="008B372B"/>
    <w:rsid w:val="008B4DAC"/>
    <w:rsid w:val="008B6E4A"/>
    <w:rsid w:val="008C24FB"/>
    <w:rsid w:val="008D2720"/>
    <w:rsid w:val="008D4B98"/>
    <w:rsid w:val="008D531B"/>
    <w:rsid w:val="008D5E1C"/>
    <w:rsid w:val="008F28E8"/>
    <w:rsid w:val="00900D40"/>
    <w:rsid w:val="00903738"/>
    <w:rsid w:val="00916EF6"/>
    <w:rsid w:val="00921E0C"/>
    <w:rsid w:val="00926A4A"/>
    <w:rsid w:val="0093096E"/>
    <w:rsid w:val="0093152B"/>
    <w:rsid w:val="00931A51"/>
    <w:rsid w:val="00940E75"/>
    <w:rsid w:val="00943744"/>
    <w:rsid w:val="00951CF4"/>
    <w:rsid w:val="00952FD4"/>
    <w:rsid w:val="0095678D"/>
    <w:rsid w:val="00974A7E"/>
    <w:rsid w:val="00991042"/>
    <w:rsid w:val="00991092"/>
    <w:rsid w:val="009A26E4"/>
    <w:rsid w:val="009A2878"/>
    <w:rsid w:val="009B07DC"/>
    <w:rsid w:val="009B0DE0"/>
    <w:rsid w:val="009B1E4B"/>
    <w:rsid w:val="009B2277"/>
    <w:rsid w:val="009C1C89"/>
    <w:rsid w:val="009D0A58"/>
    <w:rsid w:val="009D1D75"/>
    <w:rsid w:val="009E2940"/>
    <w:rsid w:val="009E7B78"/>
    <w:rsid w:val="009F21EB"/>
    <w:rsid w:val="009F4B6E"/>
    <w:rsid w:val="009F6414"/>
    <w:rsid w:val="009F6DC2"/>
    <w:rsid w:val="00A12B8E"/>
    <w:rsid w:val="00A147E6"/>
    <w:rsid w:val="00A2074C"/>
    <w:rsid w:val="00A225FB"/>
    <w:rsid w:val="00A342D8"/>
    <w:rsid w:val="00A362C5"/>
    <w:rsid w:val="00A40D5C"/>
    <w:rsid w:val="00A45FFE"/>
    <w:rsid w:val="00A51E60"/>
    <w:rsid w:val="00A541D2"/>
    <w:rsid w:val="00A63ADE"/>
    <w:rsid w:val="00A64578"/>
    <w:rsid w:val="00A7584B"/>
    <w:rsid w:val="00A862E7"/>
    <w:rsid w:val="00A94242"/>
    <w:rsid w:val="00A97F0C"/>
    <w:rsid w:val="00AA20DC"/>
    <w:rsid w:val="00AA5300"/>
    <w:rsid w:val="00AB5716"/>
    <w:rsid w:val="00AC1882"/>
    <w:rsid w:val="00AD18C0"/>
    <w:rsid w:val="00AD457A"/>
    <w:rsid w:val="00AD65BF"/>
    <w:rsid w:val="00AD65FB"/>
    <w:rsid w:val="00AE205B"/>
    <w:rsid w:val="00AE586F"/>
    <w:rsid w:val="00AE6C99"/>
    <w:rsid w:val="00AF05FB"/>
    <w:rsid w:val="00B018C0"/>
    <w:rsid w:val="00B118C4"/>
    <w:rsid w:val="00B1313C"/>
    <w:rsid w:val="00B215DD"/>
    <w:rsid w:val="00B2330E"/>
    <w:rsid w:val="00B2529F"/>
    <w:rsid w:val="00B264FC"/>
    <w:rsid w:val="00B34F77"/>
    <w:rsid w:val="00B42267"/>
    <w:rsid w:val="00B5034A"/>
    <w:rsid w:val="00B51101"/>
    <w:rsid w:val="00B51F1C"/>
    <w:rsid w:val="00B627EF"/>
    <w:rsid w:val="00B64659"/>
    <w:rsid w:val="00B64E84"/>
    <w:rsid w:val="00B65483"/>
    <w:rsid w:val="00B6694F"/>
    <w:rsid w:val="00B66A7A"/>
    <w:rsid w:val="00B67CA9"/>
    <w:rsid w:val="00B7434E"/>
    <w:rsid w:val="00B759F5"/>
    <w:rsid w:val="00B75AEC"/>
    <w:rsid w:val="00B766AF"/>
    <w:rsid w:val="00B865E7"/>
    <w:rsid w:val="00B9024B"/>
    <w:rsid w:val="00B96075"/>
    <w:rsid w:val="00B979F9"/>
    <w:rsid w:val="00BA5202"/>
    <w:rsid w:val="00BB5321"/>
    <w:rsid w:val="00BB592B"/>
    <w:rsid w:val="00BB7097"/>
    <w:rsid w:val="00BC0C6C"/>
    <w:rsid w:val="00BC3334"/>
    <w:rsid w:val="00BD383A"/>
    <w:rsid w:val="00BE3B5F"/>
    <w:rsid w:val="00BE569A"/>
    <w:rsid w:val="00BF0835"/>
    <w:rsid w:val="00BF1BAA"/>
    <w:rsid w:val="00BF6272"/>
    <w:rsid w:val="00BF73CB"/>
    <w:rsid w:val="00C0147C"/>
    <w:rsid w:val="00C01965"/>
    <w:rsid w:val="00C05967"/>
    <w:rsid w:val="00C10E95"/>
    <w:rsid w:val="00C12997"/>
    <w:rsid w:val="00C1599A"/>
    <w:rsid w:val="00C26366"/>
    <w:rsid w:val="00C308B6"/>
    <w:rsid w:val="00C32B61"/>
    <w:rsid w:val="00C44A8F"/>
    <w:rsid w:val="00C46351"/>
    <w:rsid w:val="00C51D2F"/>
    <w:rsid w:val="00C564D3"/>
    <w:rsid w:val="00C641A6"/>
    <w:rsid w:val="00C64523"/>
    <w:rsid w:val="00C654E6"/>
    <w:rsid w:val="00C6713F"/>
    <w:rsid w:val="00C71160"/>
    <w:rsid w:val="00C73ADF"/>
    <w:rsid w:val="00C84BAA"/>
    <w:rsid w:val="00C90316"/>
    <w:rsid w:val="00CA48E5"/>
    <w:rsid w:val="00CB0CDF"/>
    <w:rsid w:val="00CB1088"/>
    <w:rsid w:val="00CB6447"/>
    <w:rsid w:val="00CB708B"/>
    <w:rsid w:val="00CC4AB7"/>
    <w:rsid w:val="00CD114F"/>
    <w:rsid w:val="00CF3365"/>
    <w:rsid w:val="00CF5152"/>
    <w:rsid w:val="00CF6AA8"/>
    <w:rsid w:val="00D24422"/>
    <w:rsid w:val="00D26092"/>
    <w:rsid w:val="00D504C3"/>
    <w:rsid w:val="00D5440B"/>
    <w:rsid w:val="00D5464A"/>
    <w:rsid w:val="00D81FEB"/>
    <w:rsid w:val="00D863DB"/>
    <w:rsid w:val="00D87F30"/>
    <w:rsid w:val="00D92A8D"/>
    <w:rsid w:val="00D94592"/>
    <w:rsid w:val="00DA15D4"/>
    <w:rsid w:val="00DB0AD3"/>
    <w:rsid w:val="00DB4324"/>
    <w:rsid w:val="00DB4D6B"/>
    <w:rsid w:val="00DB4DA5"/>
    <w:rsid w:val="00DB704B"/>
    <w:rsid w:val="00DC62D5"/>
    <w:rsid w:val="00DC79D8"/>
    <w:rsid w:val="00DD0E9F"/>
    <w:rsid w:val="00DD2152"/>
    <w:rsid w:val="00DE4CFE"/>
    <w:rsid w:val="00DF3D58"/>
    <w:rsid w:val="00DF41FC"/>
    <w:rsid w:val="00DF7B95"/>
    <w:rsid w:val="00E00AF0"/>
    <w:rsid w:val="00E012A2"/>
    <w:rsid w:val="00E0521A"/>
    <w:rsid w:val="00E054A2"/>
    <w:rsid w:val="00E10410"/>
    <w:rsid w:val="00E146F1"/>
    <w:rsid w:val="00E14BA4"/>
    <w:rsid w:val="00E166DD"/>
    <w:rsid w:val="00E322F0"/>
    <w:rsid w:val="00E43FD1"/>
    <w:rsid w:val="00E557FB"/>
    <w:rsid w:val="00E55A36"/>
    <w:rsid w:val="00E624FB"/>
    <w:rsid w:val="00E64998"/>
    <w:rsid w:val="00E757FD"/>
    <w:rsid w:val="00E860FC"/>
    <w:rsid w:val="00E918B0"/>
    <w:rsid w:val="00E97D4B"/>
    <w:rsid w:val="00EA0CCD"/>
    <w:rsid w:val="00EA36DE"/>
    <w:rsid w:val="00EA4493"/>
    <w:rsid w:val="00EA4A95"/>
    <w:rsid w:val="00EB0B06"/>
    <w:rsid w:val="00EB7DD2"/>
    <w:rsid w:val="00EC2F2A"/>
    <w:rsid w:val="00EC570F"/>
    <w:rsid w:val="00EC7E30"/>
    <w:rsid w:val="00ED6048"/>
    <w:rsid w:val="00ED6608"/>
    <w:rsid w:val="00EE0937"/>
    <w:rsid w:val="00EF11EE"/>
    <w:rsid w:val="00EF4E53"/>
    <w:rsid w:val="00F01146"/>
    <w:rsid w:val="00F011BC"/>
    <w:rsid w:val="00F0273C"/>
    <w:rsid w:val="00F03AB1"/>
    <w:rsid w:val="00F10F29"/>
    <w:rsid w:val="00F178EF"/>
    <w:rsid w:val="00F2110B"/>
    <w:rsid w:val="00F23E84"/>
    <w:rsid w:val="00F25BFC"/>
    <w:rsid w:val="00F30A5F"/>
    <w:rsid w:val="00F3262D"/>
    <w:rsid w:val="00F34DE6"/>
    <w:rsid w:val="00F47DD4"/>
    <w:rsid w:val="00F53AA5"/>
    <w:rsid w:val="00F54EEC"/>
    <w:rsid w:val="00F62EE0"/>
    <w:rsid w:val="00F63729"/>
    <w:rsid w:val="00F642CE"/>
    <w:rsid w:val="00F71D5E"/>
    <w:rsid w:val="00F73622"/>
    <w:rsid w:val="00F77E0B"/>
    <w:rsid w:val="00F86330"/>
    <w:rsid w:val="00F904A2"/>
    <w:rsid w:val="00F9586C"/>
    <w:rsid w:val="00F965A7"/>
    <w:rsid w:val="00FA16DC"/>
    <w:rsid w:val="00FA56BA"/>
    <w:rsid w:val="00FA6AAD"/>
    <w:rsid w:val="00FB2CC3"/>
    <w:rsid w:val="00FB3D77"/>
    <w:rsid w:val="00FB4BA7"/>
    <w:rsid w:val="00FB726A"/>
    <w:rsid w:val="00FC4095"/>
    <w:rsid w:val="00FC558A"/>
    <w:rsid w:val="00FC59A5"/>
    <w:rsid w:val="00FD5D09"/>
    <w:rsid w:val="00FE597E"/>
    <w:rsid w:val="00FF2AB2"/>
    <w:rsid w:val="00FF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159F"/>
  <w15:chartTrackingRefBased/>
  <w15:docId w15:val="{2DDDEE4D-7CC1-9F4C-B303-EB6AB58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46"/>
  </w:style>
  <w:style w:type="paragraph" w:styleId="Heading1">
    <w:name w:val="heading 1"/>
    <w:basedOn w:val="Normal"/>
    <w:next w:val="Normal"/>
    <w:link w:val="Heading1Char"/>
    <w:uiPriority w:val="9"/>
    <w:qFormat/>
    <w:rsid w:val="004B40B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0B3"/>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40B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B40B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40B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40B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40B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40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0B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D5E"/>
    <w:pPr>
      <w:ind w:left="720"/>
      <w:contextualSpacing/>
    </w:pPr>
  </w:style>
  <w:style w:type="character" w:customStyle="1" w:styleId="Heading1Char">
    <w:name w:val="Heading 1 Char"/>
    <w:basedOn w:val="DefaultParagraphFont"/>
    <w:link w:val="Heading1"/>
    <w:uiPriority w:val="9"/>
    <w:rsid w:val="004B4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0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40B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B40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40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40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40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40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0B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4B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E14"/>
    <w:rPr>
      <w:rFonts w:ascii="Times New Roman" w:hAnsi="Times New Roman" w:cs="Times New Roman"/>
    </w:rPr>
  </w:style>
  <w:style w:type="paragraph" w:styleId="FootnoteText">
    <w:name w:val="footnote text"/>
    <w:basedOn w:val="Normal"/>
    <w:link w:val="FootnoteTextChar"/>
    <w:uiPriority w:val="99"/>
    <w:semiHidden/>
    <w:unhideWhenUsed/>
    <w:rsid w:val="00445E14"/>
    <w:rPr>
      <w:sz w:val="20"/>
      <w:szCs w:val="20"/>
    </w:rPr>
  </w:style>
  <w:style w:type="character" w:customStyle="1" w:styleId="FootnoteTextChar">
    <w:name w:val="Footnote Text Char"/>
    <w:basedOn w:val="DefaultParagraphFont"/>
    <w:link w:val="FootnoteText"/>
    <w:uiPriority w:val="99"/>
    <w:semiHidden/>
    <w:rsid w:val="00445E14"/>
    <w:rPr>
      <w:sz w:val="20"/>
      <w:szCs w:val="20"/>
    </w:rPr>
  </w:style>
  <w:style w:type="character" w:styleId="FootnoteReference">
    <w:name w:val="footnote reference"/>
    <w:basedOn w:val="DefaultParagraphFont"/>
    <w:uiPriority w:val="99"/>
    <w:semiHidden/>
    <w:unhideWhenUsed/>
    <w:rsid w:val="00445E14"/>
    <w:rPr>
      <w:vertAlign w:val="superscript"/>
    </w:rPr>
  </w:style>
  <w:style w:type="paragraph" w:styleId="Header">
    <w:name w:val="header"/>
    <w:basedOn w:val="Normal"/>
    <w:link w:val="HeaderChar"/>
    <w:uiPriority w:val="99"/>
    <w:unhideWhenUsed/>
    <w:rsid w:val="00445E14"/>
    <w:pPr>
      <w:tabs>
        <w:tab w:val="center" w:pos="4680"/>
        <w:tab w:val="right" w:pos="9360"/>
      </w:tabs>
    </w:pPr>
  </w:style>
  <w:style w:type="character" w:customStyle="1" w:styleId="HeaderChar">
    <w:name w:val="Header Char"/>
    <w:basedOn w:val="DefaultParagraphFont"/>
    <w:link w:val="Header"/>
    <w:uiPriority w:val="99"/>
    <w:rsid w:val="00445E14"/>
  </w:style>
  <w:style w:type="paragraph" w:styleId="Footer">
    <w:name w:val="footer"/>
    <w:basedOn w:val="Normal"/>
    <w:link w:val="FooterChar"/>
    <w:uiPriority w:val="99"/>
    <w:unhideWhenUsed/>
    <w:rsid w:val="00445E14"/>
    <w:pPr>
      <w:tabs>
        <w:tab w:val="center" w:pos="4680"/>
        <w:tab w:val="right" w:pos="9360"/>
      </w:tabs>
    </w:pPr>
  </w:style>
  <w:style w:type="character" w:customStyle="1" w:styleId="FooterChar">
    <w:name w:val="Footer Char"/>
    <w:basedOn w:val="DefaultParagraphFont"/>
    <w:link w:val="Footer"/>
    <w:uiPriority w:val="99"/>
    <w:rsid w:val="00445E14"/>
  </w:style>
  <w:style w:type="character" w:styleId="PageNumber">
    <w:name w:val="page number"/>
    <w:basedOn w:val="DefaultParagraphFont"/>
    <w:uiPriority w:val="99"/>
    <w:semiHidden/>
    <w:unhideWhenUsed/>
    <w:rsid w:val="00445E14"/>
  </w:style>
  <w:style w:type="character" w:styleId="PlaceholderText">
    <w:name w:val="Placeholder Text"/>
    <w:basedOn w:val="DefaultParagraphFont"/>
    <w:uiPriority w:val="99"/>
    <w:semiHidden/>
    <w:rsid w:val="00E55A36"/>
    <w:rPr>
      <w:color w:val="666666"/>
    </w:rPr>
  </w:style>
  <w:style w:type="character" w:styleId="Hyperlink">
    <w:name w:val="Hyperlink"/>
    <w:basedOn w:val="DefaultParagraphFont"/>
    <w:uiPriority w:val="99"/>
    <w:unhideWhenUsed/>
    <w:rsid w:val="007D2C0F"/>
    <w:rPr>
      <w:color w:val="0563C1" w:themeColor="hyperlink"/>
      <w:u w:val="single"/>
    </w:rPr>
  </w:style>
  <w:style w:type="character" w:styleId="UnresolvedMention">
    <w:name w:val="Unresolved Mention"/>
    <w:basedOn w:val="DefaultParagraphFont"/>
    <w:uiPriority w:val="99"/>
    <w:semiHidden/>
    <w:unhideWhenUsed/>
    <w:rsid w:val="007D2C0F"/>
    <w:rPr>
      <w:color w:val="605E5C"/>
      <w:shd w:val="clear" w:color="auto" w:fill="E1DFDD"/>
    </w:rPr>
  </w:style>
  <w:style w:type="paragraph" w:styleId="EndnoteText">
    <w:name w:val="endnote text"/>
    <w:basedOn w:val="Normal"/>
    <w:link w:val="EndnoteTextChar"/>
    <w:uiPriority w:val="99"/>
    <w:semiHidden/>
    <w:unhideWhenUsed/>
    <w:rsid w:val="00342C1D"/>
    <w:rPr>
      <w:sz w:val="20"/>
      <w:szCs w:val="20"/>
    </w:rPr>
  </w:style>
  <w:style w:type="character" w:customStyle="1" w:styleId="EndnoteTextChar">
    <w:name w:val="Endnote Text Char"/>
    <w:basedOn w:val="DefaultParagraphFont"/>
    <w:link w:val="EndnoteText"/>
    <w:uiPriority w:val="99"/>
    <w:semiHidden/>
    <w:rsid w:val="00342C1D"/>
    <w:rPr>
      <w:sz w:val="20"/>
      <w:szCs w:val="20"/>
    </w:rPr>
  </w:style>
  <w:style w:type="character" w:styleId="EndnoteReference">
    <w:name w:val="endnote reference"/>
    <w:basedOn w:val="DefaultParagraphFont"/>
    <w:uiPriority w:val="99"/>
    <w:semiHidden/>
    <w:unhideWhenUsed/>
    <w:rsid w:val="00342C1D"/>
    <w:rPr>
      <w:vertAlign w:val="superscript"/>
    </w:rPr>
  </w:style>
  <w:style w:type="character" w:styleId="FollowedHyperlink">
    <w:name w:val="FollowedHyperlink"/>
    <w:basedOn w:val="DefaultParagraphFont"/>
    <w:uiPriority w:val="99"/>
    <w:semiHidden/>
    <w:unhideWhenUsed/>
    <w:rsid w:val="00BF73CB"/>
    <w:rPr>
      <w:color w:val="954F72" w:themeColor="followedHyperlink"/>
      <w:u w:val="single"/>
    </w:rPr>
  </w:style>
  <w:style w:type="paragraph" w:customStyle="1" w:styleId="paragraph">
    <w:name w:val="paragraph"/>
    <w:basedOn w:val="Normal"/>
    <w:rsid w:val="001E584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E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045">
      <w:bodyDiv w:val="1"/>
      <w:marLeft w:val="0"/>
      <w:marRight w:val="0"/>
      <w:marTop w:val="0"/>
      <w:marBottom w:val="0"/>
      <w:divBdr>
        <w:top w:val="none" w:sz="0" w:space="0" w:color="auto"/>
        <w:left w:val="none" w:sz="0" w:space="0" w:color="auto"/>
        <w:bottom w:val="none" w:sz="0" w:space="0" w:color="auto"/>
        <w:right w:val="none" w:sz="0" w:space="0" w:color="auto"/>
      </w:divBdr>
      <w:divsChild>
        <w:div w:id="565379199">
          <w:marLeft w:val="0"/>
          <w:marRight w:val="0"/>
          <w:marTop w:val="0"/>
          <w:marBottom w:val="0"/>
          <w:divBdr>
            <w:top w:val="none" w:sz="0" w:space="0" w:color="auto"/>
            <w:left w:val="none" w:sz="0" w:space="0" w:color="auto"/>
            <w:bottom w:val="none" w:sz="0" w:space="0" w:color="auto"/>
            <w:right w:val="none" w:sz="0" w:space="0" w:color="auto"/>
          </w:divBdr>
          <w:divsChild>
            <w:div w:id="198779517">
              <w:marLeft w:val="0"/>
              <w:marRight w:val="0"/>
              <w:marTop w:val="0"/>
              <w:marBottom w:val="0"/>
              <w:divBdr>
                <w:top w:val="none" w:sz="0" w:space="0" w:color="auto"/>
                <w:left w:val="none" w:sz="0" w:space="0" w:color="auto"/>
                <w:bottom w:val="none" w:sz="0" w:space="0" w:color="auto"/>
                <w:right w:val="none" w:sz="0" w:space="0" w:color="auto"/>
              </w:divBdr>
              <w:divsChild>
                <w:div w:id="1405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784">
          <w:marLeft w:val="0"/>
          <w:marRight w:val="0"/>
          <w:marTop w:val="0"/>
          <w:marBottom w:val="0"/>
          <w:divBdr>
            <w:top w:val="none" w:sz="0" w:space="0" w:color="auto"/>
            <w:left w:val="none" w:sz="0" w:space="0" w:color="auto"/>
            <w:bottom w:val="none" w:sz="0" w:space="0" w:color="auto"/>
            <w:right w:val="none" w:sz="0" w:space="0" w:color="auto"/>
          </w:divBdr>
          <w:divsChild>
            <w:div w:id="316764216">
              <w:marLeft w:val="0"/>
              <w:marRight w:val="0"/>
              <w:marTop w:val="0"/>
              <w:marBottom w:val="0"/>
              <w:divBdr>
                <w:top w:val="none" w:sz="0" w:space="0" w:color="auto"/>
                <w:left w:val="none" w:sz="0" w:space="0" w:color="auto"/>
                <w:bottom w:val="none" w:sz="0" w:space="0" w:color="auto"/>
                <w:right w:val="none" w:sz="0" w:space="0" w:color="auto"/>
              </w:divBdr>
              <w:divsChild>
                <w:div w:id="3879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6258">
      <w:bodyDiv w:val="1"/>
      <w:marLeft w:val="0"/>
      <w:marRight w:val="0"/>
      <w:marTop w:val="0"/>
      <w:marBottom w:val="0"/>
      <w:divBdr>
        <w:top w:val="none" w:sz="0" w:space="0" w:color="auto"/>
        <w:left w:val="none" w:sz="0" w:space="0" w:color="auto"/>
        <w:bottom w:val="none" w:sz="0" w:space="0" w:color="auto"/>
        <w:right w:val="none" w:sz="0" w:space="0" w:color="auto"/>
      </w:divBdr>
      <w:divsChild>
        <w:div w:id="791166143">
          <w:marLeft w:val="0"/>
          <w:marRight w:val="0"/>
          <w:marTop w:val="0"/>
          <w:marBottom w:val="0"/>
          <w:divBdr>
            <w:top w:val="none" w:sz="0" w:space="0" w:color="auto"/>
            <w:left w:val="none" w:sz="0" w:space="0" w:color="auto"/>
            <w:bottom w:val="none" w:sz="0" w:space="0" w:color="auto"/>
            <w:right w:val="none" w:sz="0" w:space="0" w:color="auto"/>
          </w:divBdr>
          <w:divsChild>
            <w:div w:id="936787276">
              <w:marLeft w:val="0"/>
              <w:marRight w:val="0"/>
              <w:marTop w:val="0"/>
              <w:marBottom w:val="0"/>
              <w:divBdr>
                <w:top w:val="none" w:sz="0" w:space="0" w:color="auto"/>
                <w:left w:val="none" w:sz="0" w:space="0" w:color="auto"/>
                <w:bottom w:val="none" w:sz="0" w:space="0" w:color="auto"/>
                <w:right w:val="none" w:sz="0" w:space="0" w:color="auto"/>
              </w:divBdr>
              <w:divsChild>
                <w:div w:id="5666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7993">
      <w:bodyDiv w:val="1"/>
      <w:marLeft w:val="0"/>
      <w:marRight w:val="0"/>
      <w:marTop w:val="0"/>
      <w:marBottom w:val="0"/>
      <w:divBdr>
        <w:top w:val="none" w:sz="0" w:space="0" w:color="auto"/>
        <w:left w:val="none" w:sz="0" w:space="0" w:color="auto"/>
        <w:bottom w:val="none" w:sz="0" w:space="0" w:color="auto"/>
        <w:right w:val="none" w:sz="0" w:space="0" w:color="auto"/>
      </w:divBdr>
      <w:divsChild>
        <w:div w:id="1716198666">
          <w:marLeft w:val="0"/>
          <w:marRight w:val="0"/>
          <w:marTop w:val="0"/>
          <w:marBottom w:val="0"/>
          <w:divBdr>
            <w:top w:val="none" w:sz="0" w:space="0" w:color="auto"/>
            <w:left w:val="none" w:sz="0" w:space="0" w:color="auto"/>
            <w:bottom w:val="none" w:sz="0" w:space="0" w:color="auto"/>
            <w:right w:val="none" w:sz="0" w:space="0" w:color="auto"/>
          </w:divBdr>
          <w:divsChild>
            <w:div w:id="1281104780">
              <w:marLeft w:val="0"/>
              <w:marRight w:val="0"/>
              <w:marTop w:val="0"/>
              <w:marBottom w:val="0"/>
              <w:divBdr>
                <w:top w:val="none" w:sz="0" w:space="0" w:color="auto"/>
                <w:left w:val="none" w:sz="0" w:space="0" w:color="auto"/>
                <w:bottom w:val="none" w:sz="0" w:space="0" w:color="auto"/>
                <w:right w:val="none" w:sz="0" w:space="0" w:color="auto"/>
              </w:divBdr>
              <w:divsChild>
                <w:div w:id="2082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65575">
      <w:bodyDiv w:val="1"/>
      <w:marLeft w:val="0"/>
      <w:marRight w:val="0"/>
      <w:marTop w:val="0"/>
      <w:marBottom w:val="0"/>
      <w:divBdr>
        <w:top w:val="none" w:sz="0" w:space="0" w:color="auto"/>
        <w:left w:val="none" w:sz="0" w:space="0" w:color="auto"/>
        <w:bottom w:val="none" w:sz="0" w:space="0" w:color="auto"/>
        <w:right w:val="none" w:sz="0" w:space="0" w:color="auto"/>
      </w:divBdr>
      <w:divsChild>
        <w:div w:id="72313143">
          <w:marLeft w:val="0"/>
          <w:marRight w:val="0"/>
          <w:marTop w:val="0"/>
          <w:marBottom w:val="0"/>
          <w:divBdr>
            <w:top w:val="none" w:sz="0" w:space="0" w:color="auto"/>
            <w:left w:val="none" w:sz="0" w:space="0" w:color="auto"/>
            <w:bottom w:val="none" w:sz="0" w:space="0" w:color="auto"/>
            <w:right w:val="none" w:sz="0" w:space="0" w:color="auto"/>
          </w:divBdr>
          <w:divsChild>
            <w:div w:id="234124329">
              <w:marLeft w:val="0"/>
              <w:marRight w:val="0"/>
              <w:marTop w:val="0"/>
              <w:marBottom w:val="0"/>
              <w:divBdr>
                <w:top w:val="none" w:sz="0" w:space="0" w:color="auto"/>
                <w:left w:val="none" w:sz="0" w:space="0" w:color="auto"/>
                <w:bottom w:val="none" w:sz="0" w:space="0" w:color="auto"/>
                <w:right w:val="none" w:sz="0" w:space="0" w:color="auto"/>
              </w:divBdr>
              <w:divsChild>
                <w:div w:id="956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9268">
      <w:bodyDiv w:val="1"/>
      <w:marLeft w:val="0"/>
      <w:marRight w:val="0"/>
      <w:marTop w:val="0"/>
      <w:marBottom w:val="0"/>
      <w:divBdr>
        <w:top w:val="none" w:sz="0" w:space="0" w:color="auto"/>
        <w:left w:val="none" w:sz="0" w:space="0" w:color="auto"/>
        <w:bottom w:val="none" w:sz="0" w:space="0" w:color="auto"/>
        <w:right w:val="none" w:sz="0" w:space="0" w:color="auto"/>
      </w:divBdr>
      <w:divsChild>
        <w:div w:id="153573229">
          <w:marLeft w:val="0"/>
          <w:marRight w:val="0"/>
          <w:marTop w:val="0"/>
          <w:marBottom w:val="0"/>
          <w:divBdr>
            <w:top w:val="none" w:sz="0" w:space="0" w:color="auto"/>
            <w:left w:val="none" w:sz="0" w:space="0" w:color="auto"/>
            <w:bottom w:val="none" w:sz="0" w:space="0" w:color="auto"/>
            <w:right w:val="none" w:sz="0" w:space="0" w:color="auto"/>
          </w:divBdr>
          <w:divsChild>
            <w:div w:id="518810815">
              <w:marLeft w:val="0"/>
              <w:marRight w:val="0"/>
              <w:marTop w:val="0"/>
              <w:marBottom w:val="0"/>
              <w:divBdr>
                <w:top w:val="none" w:sz="0" w:space="0" w:color="auto"/>
                <w:left w:val="none" w:sz="0" w:space="0" w:color="auto"/>
                <w:bottom w:val="none" w:sz="0" w:space="0" w:color="auto"/>
                <w:right w:val="none" w:sz="0" w:space="0" w:color="auto"/>
              </w:divBdr>
              <w:divsChild>
                <w:div w:id="1218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62850">
      <w:bodyDiv w:val="1"/>
      <w:marLeft w:val="0"/>
      <w:marRight w:val="0"/>
      <w:marTop w:val="0"/>
      <w:marBottom w:val="0"/>
      <w:divBdr>
        <w:top w:val="none" w:sz="0" w:space="0" w:color="auto"/>
        <w:left w:val="none" w:sz="0" w:space="0" w:color="auto"/>
        <w:bottom w:val="none" w:sz="0" w:space="0" w:color="auto"/>
        <w:right w:val="none" w:sz="0" w:space="0" w:color="auto"/>
      </w:divBdr>
      <w:divsChild>
        <w:div w:id="1853756979">
          <w:marLeft w:val="0"/>
          <w:marRight w:val="0"/>
          <w:marTop w:val="0"/>
          <w:marBottom w:val="0"/>
          <w:divBdr>
            <w:top w:val="none" w:sz="0" w:space="0" w:color="auto"/>
            <w:left w:val="none" w:sz="0" w:space="0" w:color="auto"/>
            <w:bottom w:val="none" w:sz="0" w:space="0" w:color="auto"/>
            <w:right w:val="none" w:sz="0" w:space="0" w:color="auto"/>
          </w:divBdr>
          <w:divsChild>
            <w:div w:id="1539047530">
              <w:marLeft w:val="0"/>
              <w:marRight w:val="0"/>
              <w:marTop w:val="0"/>
              <w:marBottom w:val="0"/>
              <w:divBdr>
                <w:top w:val="none" w:sz="0" w:space="0" w:color="auto"/>
                <w:left w:val="none" w:sz="0" w:space="0" w:color="auto"/>
                <w:bottom w:val="none" w:sz="0" w:space="0" w:color="auto"/>
                <w:right w:val="none" w:sz="0" w:space="0" w:color="auto"/>
              </w:divBdr>
              <w:divsChild>
                <w:div w:id="20274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67313">
      <w:bodyDiv w:val="1"/>
      <w:marLeft w:val="0"/>
      <w:marRight w:val="0"/>
      <w:marTop w:val="0"/>
      <w:marBottom w:val="0"/>
      <w:divBdr>
        <w:top w:val="none" w:sz="0" w:space="0" w:color="auto"/>
        <w:left w:val="none" w:sz="0" w:space="0" w:color="auto"/>
        <w:bottom w:val="none" w:sz="0" w:space="0" w:color="auto"/>
        <w:right w:val="none" w:sz="0" w:space="0" w:color="auto"/>
      </w:divBdr>
      <w:divsChild>
        <w:div w:id="527983898">
          <w:marLeft w:val="0"/>
          <w:marRight w:val="0"/>
          <w:marTop w:val="0"/>
          <w:marBottom w:val="0"/>
          <w:divBdr>
            <w:top w:val="none" w:sz="0" w:space="0" w:color="auto"/>
            <w:left w:val="none" w:sz="0" w:space="0" w:color="auto"/>
            <w:bottom w:val="none" w:sz="0" w:space="0" w:color="auto"/>
            <w:right w:val="none" w:sz="0" w:space="0" w:color="auto"/>
          </w:divBdr>
          <w:divsChild>
            <w:div w:id="1915817806">
              <w:marLeft w:val="0"/>
              <w:marRight w:val="0"/>
              <w:marTop w:val="0"/>
              <w:marBottom w:val="0"/>
              <w:divBdr>
                <w:top w:val="none" w:sz="0" w:space="0" w:color="auto"/>
                <w:left w:val="none" w:sz="0" w:space="0" w:color="auto"/>
                <w:bottom w:val="none" w:sz="0" w:space="0" w:color="auto"/>
                <w:right w:val="none" w:sz="0" w:space="0" w:color="auto"/>
              </w:divBdr>
              <w:divsChild>
                <w:div w:id="20504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2032">
      <w:bodyDiv w:val="1"/>
      <w:marLeft w:val="0"/>
      <w:marRight w:val="0"/>
      <w:marTop w:val="0"/>
      <w:marBottom w:val="0"/>
      <w:divBdr>
        <w:top w:val="none" w:sz="0" w:space="0" w:color="auto"/>
        <w:left w:val="none" w:sz="0" w:space="0" w:color="auto"/>
        <w:bottom w:val="none" w:sz="0" w:space="0" w:color="auto"/>
        <w:right w:val="none" w:sz="0" w:space="0" w:color="auto"/>
      </w:divBdr>
      <w:divsChild>
        <w:div w:id="1416240708">
          <w:marLeft w:val="0"/>
          <w:marRight w:val="0"/>
          <w:marTop w:val="0"/>
          <w:marBottom w:val="0"/>
          <w:divBdr>
            <w:top w:val="none" w:sz="0" w:space="0" w:color="auto"/>
            <w:left w:val="none" w:sz="0" w:space="0" w:color="auto"/>
            <w:bottom w:val="none" w:sz="0" w:space="0" w:color="auto"/>
            <w:right w:val="none" w:sz="0" w:space="0" w:color="auto"/>
          </w:divBdr>
          <w:divsChild>
            <w:div w:id="181166726">
              <w:marLeft w:val="0"/>
              <w:marRight w:val="0"/>
              <w:marTop w:val="0"/>
              <w:marBottom w:val="0"/>
              <w:divBdr>
                <w:top w:val="none" w:sz="0" w:space="0" w:color="auto"/>
                <w:left w:val="none" w:sz="0" w:space="0" w:color="auto"/>
                <w:bottom w:val="none" w:sz="0" w:space="0" w:color="auto"/>
                <w:right w:val="none" w:sz="0" w:space="0" w:color="auto"/>
              </w:divBdr>
              <w:divsChild>
                <w:div w:id="225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4680">
      <w:bodyDiv w:val="1"/>
      <w:marLeft w:val="0"/>
      <w:marRight w:val="0"/>
      <w:marTop w:val="0"/>
      <w:marBottom w:val="0"/>
      <w:divBdr>
        <w:top w:val="none" w:sz="0" w:space="0" w:color="auto"/>
        <w:left w:val="none" w:sz="0" w:space="0" w:color="auto"/>
        <w:bottom w:val="none" w:sz="0" w:space="0" w:color="auto"/>
        <w:right w:val="none" w:sz="0" w:space="0" w:color="auto"/>
      </w:divBdr>
      <w:divsChild>
        <w:div w:id="1810780361">
          <w:marLeft w:val="0"/>
          <w:marRight w:val="0"/>
          <w:marTop w:val="0"/>
          <w:marBottom w:val="0"/>
          <w:divBdr>
            <w:top w:val="none" w:sz="0" w:space="0" w:color="auto"/>
            <w:left w:val="none" w:sz="0" w:space="0" w:color="auto"/>
            <w:bottom w:val="none" w:sz="0" w:space="0" w:color="auto"/>
            <w:right w:val="none" w:sz="0" w:space="0" w:color="auto"/>
          </w:divBdr>
          <w:divsChild>
            <w:div w:id="82149227">
              <w:marLeft w:val="0"/>
              <w:marRight w:val="0"/>
              <w:marTop w:val="0"/>
              <w:marBottom w:val="0"/>
              <w:divBdr>
                <w:top w:val="none" w:sz="0" w:space="0" w:color="auto"/>
                <w:left w:val="none" w:sz="0" w:space="0" w:color="auto"/>
                <w:bottom w:val="none" w:sz="0" w:space="0" w:color="auto"/>
                <w:right w:val="none" w:sz="0" w:space="0" w:color="auto"/>
              </w:divBdr>
              <w:divsChild>
                <w:div w:id="342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131">
      <w:bodyDiv w:val="1"/>
      <w:marLeft w:val="0"/>
      <w:marRight w:val="0"/>
      <w:marTop w:val="0"/>
      <w:marBottom w:val="0"/>
      <w:divBdr>
        <w:top w:val="none" w:sz="0" w:space="0" w:color="auto"/>
        <w:left w:val="none" w:sz="0" w:space="0" w:color="auto"/>
        <w:bottom w:val="none" w:sz="0" w:space="0" w:color="auto"/>
        <w:right w:val="none" w:sz="0" w:space="0" w:color="auto"/>
      </w:divBdr>
      <w:divsChild>
        <w:div w:id="805392582">
          <w:marLeft w:val="0"/>
          <w:marRight w:val="0"/>
          <w:marTop w:val="0"/>
          <w:marBottom w:val="0"/>
          <w:divBdr>
            <w:top w:val="none" w:sz="0" w:space="0" w:color="auto"/>
            <w:left w:val="none" w:sz="0" w:space="0" w:color="auto"/>
            <w:bottom w:val="none" w:sz="0" w:space="0" w:color="auto"/>
            <w:right w:val="none" w:sz="0" w:space="0" w:color="auto"/>
          </w:divBdr>
          <w:divsChild>
            <w:div w:id="170488471">
              <w:marLeft w:val="0"/>
              <w:marRight w:val="0"/>
              <w:marTop w:val="0"/>
              <w:marBottom w:val="0"/>
              <w:divBdr>
                <w:top w:val="none" w:sz="0" w:space="0" w:color="auto"/>
                <w:left w:val="none" w:sz="0" w:space="0" w:color="auto"/>
                <w:bottom w:val="none" w:sz="0" w:space="0" w:color="auto"/>
                <w:right w:val="none" w:sz="0" w:space="0" w:color="auto"/>
              </w:divBdr>
              <w:divsChild>
                <w:div w:id="1193616797">
                  <w:marLeft w:val="0"/>
                  <w:marRight w:val="0"/>
                  <w:marTop w:val="0"/>
                  <w:marBottom w:val="0"/>
                  <w:divBdr>
                    <w:top w:val="none" w:sz="0" w:space="0" w:color="auto"/>
                    <w:left w:val="none" w:sz="0" w:space="0" w:color="auto"/>
                    <w:bottom w:val="none" w:sz="0" w:space="0" w:color="auto"/>
                    <w:right w:val="none" w:sz="0" w:space="0" w:color="auto"/>
                  </w:divBdr>
                  <w:divsChild>
                    <w:div w:id="7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3682">
      <w:bodyDiv w:val="1"/>
      <w:marLeft w:val="0"/>
      <w:marRight w:val="0"/>
      <w:marTop w:val="0"/>
      <w:marBottom w:val="0"/>
      <w:divBdr>
        <w:top w:val="none" w:sz="0" w:space="0" w:color="auto"/>
        <w:left w:val="none" w:sz="0" w:space="0" w:color="auto"/>
        <w:bottom w:val="none" w:sz="0" w:space="0" w:color="auto"/>
        <w:right w:val="none" w:sz="0" w:space="0" w:color="auto"/>
      </w:divBdr>
    </w:div>
    <w:div w:id="1609896605">
      <w:bodyDiv w:val="1"/>
      <w:marLeft w:val="0"/>
      <w:marRight w:val="0"/>
      <w:marTop w:val="0"/>
      <w:marBottom w:val="0"/>
      <w:divBdr>
        <w:top w:val="none" w:sz="0" w:space="0" w:color="auto"/>
        <w:left w:val="none" w:sz="0" w:space="0" w:color="auto"/>
        <w:bottom w:val="none" w:sz="0" w:space="0" w:color="auto"/>
        <w:right w:val="none" w:sz="0" w:space="0" w:color="auto"/>
      </w:divBdr>
      <w:divsChild>
        <w:div w:id="1413622082">
          <w:marLeft w:val="0"/>
          <w:marRight w:val="0"/>
          <w:marTop w:val="0"/>
          <w:marBottom w:val="0"/>
          <w:divBdr>
            <w:top w:val="none" w:sz="0" w:space="0" w:color="auto"/>
            <w:left w:val="none" w:sz="0" w:space="0" w:color="auto"/>
            <w:bottom w:val="none" w:sz="0" w:space="0" w:color="auto"/>
            <w:right w:val="none" w:sz="0" w:space="0" w:color="auto"/>
          </w:divBdr>
          <w:divsChild>
            <w:div w:id="360471370">
              <w:marLeft w:val="0"/>
              <w:marRight w:val="0"/>
              <w:marTop w:val="0"/>
              <w:marBottom w:val="0"/>
              <w:divBdr>
                <w:top w:val="none" w:sz="0" w:space="0" w:color="auto"/>
                <w:left w:val="none" w:sz="0" w:space="0" w:color="auto"/>
                <w:bottom w:val="none" w:sz="0" w:space="0" w:color="auto"/>
                <w:right w:val="none" w:sz="0" w:space="0" w:color="auto"/>
              </w:divBdr>
              <w:divsChild>
                <w:div w:id="3778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47201">
      <w:bodyDiv w:val="1"/>
      <w:marLeft w:val="0"/>
      <w:marRight w:val="0"/>
      <w:marTop w:val="0"/>
      <w:marBottom w:val="0"/>
      <w:divBdr>
        <w:top w:val="none" w:sz="0" w:space="0" w:color="auto"/>
        <w:left w:val="none" w:sz="0" w:space="0" w:color="auto"/>
        <w:bottom w:val="none" w:sz="0" w:space="0" w:color="auto"/>
        <w:right w:val="none" w:sz="0" w:space="0" w:color="auto"/>
      </w:divBdr>
      <w:divsChild>
        <w:div w:id="1235436048">
          <w:marLeft w:val="0"/>
          <w:marRight w:val="0"/>
          <w:marTop w:val="0"/>
          <w:marBottom w:val="0"/>
          <w:divBdr>
            <w:top w:val="none" w:sz="0" w:space="0" w:color="auto"/>
            <w:left w:val="none" w:sz="0" w:space="0" w:color="auto"/>
            <w:bottom w:val="none" w:sz="0" w:space="0" w:color="auto"/>
            <w:right w:val="none" w:sz="0" w:space="0" w:color="auto"/>
          </w:divBdr>
          <w:divsChild>
            <w:div w:id="419715777">
              <w:marLeft w:val="0"/>
              <w:marRight w:val="0"/>
              <w:marTop w:val="0"/>
              <w:marBottom w:val="0"/>
              <w:divBdr>
                <w:top w:val="none" w:sz="0" w:space="0" w:color="auto"/>
                <w:left w:val="none" w:sz="0" w:space="0" w:color="auto"/>
                <w:bottom w:val="none" w:sz="0" w:space="0" w:color="auto"/>
                <w:right w:val="none" w:sz="0" w:space="0" w:color="auto"/>
              </w:divBdr>
              <w:divsChild>
                <w:div w:id="947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4196">
          <w:marLeft w:val="0"/>
          <w:marRight w:val="0"/>
          <w:marTop w:val="0"/>
          <w:marBottom w:val="0"/>
          <w:divBdr>
            <w:top w:val="none" w:sz="0" w:space="0" w:color="auto"/>
            <w:left w:val="none" w:sz="0" w:space="0" w:color="auto"/>
            <w:bottom w:val="none" w:sz="0" w:space="0" w:color="auto"/>
            <w:right w:val="none" w:sz="0" w:space="0" w:color="auto"/>
          </w:divBdr>
          <w:divsChild>
            <w:div w:id="99843148">
              <w:marLeft w:val="0"/>
              <w:marRight w:val="0"/>
              <w:marTop w:val="0"/>
              <w:marBottom w:val="0"/>
              <w:divBdr>
                <w:top w:val="none" w:sz="0" w:space="0" w:color="auto"/>
                <w:left w:val="none" w:sz="0" w:space="0" w:color="auto"/>
                <w:bottom w:val="none" w:sz="0" w:space="0" w:color="auto"/>
                <w:right w:val="none" w:sz="0" w:space="0" w:color="auto"/>
              </w:divBdr>
              <w:divsChild>
                <w:div w:id="19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5992">
      <w:bodyDiv w:val="1"/>
      <w:marLeft w:val="0"/>
      <w:marRight w:val="0"/>
      <w:marTop w:val="0"/>
      <w:marBottom w:val="0"/>
      <w:divBdr>
        <w:top w:val="none" w:sz="0" w:space="0" w:color="auto"/>
        <w:left w:val="none" w:sz="0" w:space="0" w:color="auto"/>
        <w:bottom w:val="none" w:sz="0" w:space="0" w:color="auto"/>
        <w:right w:val="none" w:sz="0" w:space="0" w:color="auto"/>
      </w:divBdr>
      <w:divsChild>
        <w:div w:id="1293247457">
          <w:marLeft w:val="0"/>
          <w:marRight w:val="0"/>
          <w:marTop w:val="0"/>
          <w:marBottom w:val="0"/>
          <w:divBdr>
            <w:top w:val="none" w:sz="0" w:space="0" w:color="auto"/>
            <w:left w:val="none" w:sz="0" w:space="0" w:color="auto"/>
            <w:bottom w:val="none" w:sz="0" w:space="0" w:color="auto"/>
            <w:right w:val="none" w:sz="0" w:space="0" w:color="auto"/>
          </w:divBdr>
          <w:divsChild>
            <w:div w:id="976183435">
              <w:marLeft w:val="0"/>
              <w:marRight w:val="0"/>
              <w:marTop w:val="0"/>
              <w:marBottom w:val="0"/>
              <w:divBdr>
                <w:top w:val="none" w:sz="0" w:space="0" w:color="auto"/>
                <w:left w:val="none" w:sz="0" w:space="0" w:color="auto"/>
                <w:bottom w:val="none" w:sz="0" w:space="0" w:color="auto"/>
                <w:right w:val="none" w:sz="0" w:space="0" w:color="auto"/>
              </w:divBdr>
              <w:divsChild>
                <w:div w:id="1131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8418">
      <w:bodyDiv w:val="1"/>
      <w:marLeft w:val="0"/>
      <w:marRight w:val="0"/>
      <w:marTop w:val="0"/>
      <w:marBottom w:val="0"/>
      <w:divBdr>
        <w:top w:val="none" w:sz="0" w:space="0" w:color="auto"/>
        <w:left w:val="none" w:sz="0" w:space="0" w:color="auto"/>
        <w:bottom w:val="none" w:sz="0" w:space="0" w:color="auto"/>
        <w:right w:val="none" w:sz="0" w:space="0" w:color="auto"/>
      </w:divBdr>
      <w:divsChild>
        <w:div w:id="468672922">
          <w:marLeft w:val="0"/>
          <w:marRight w:val="0"/>
          <w:marTop w:val="0"/>
          <w:marBottom w:val="0"/>
          <w:divBdr>
            <w:top w:val="none" w:sz="0" w:space="0" w:color="auto"/>
            <w:left w:val="none" w:sz="0" w:space="0" w:color="auto"/>
            <w:bottom w:val="none" w:sz="0" w:space="0" w:color="auto"/>
            <w:right w:val="none" w:sz="0" w:space="0" w:color="auto"/>
          </w:divBdr>
          <w:divsChild>
            <w:div w:id="1837071830">
              <w:marLeft w:val="0"/>
              <w:marRight w:val="0"/>
              <w:marTop w:val="0"/>
              <w:marBottom w:val="0"/>
              <w:divBdr>
                <w:top w:val="none" w:sz="0" w:space="0" w:color="auto"/>
                <w:left w:val="none" w:sz="0" w:space="0" w:color="auto"/>
                <w:bottom w:val="none" w:sz="0" w:space="0" w:color="auto"/>
                <w:right w:val="none" w:sz="0" w:space="0" w:color="auto"/>
              </w:divBdr>
              <w:divsChild>
                <w:div w:id="954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9655">
      <w:bodyDiv w:val="1"/>
      <w:marLeft w:val="0"/>
      <w:marRight w:val="0"/>
      <w:marTop w:val="0"/>
      <w:marBottom w:val="0"/>
      <w:divBdr>
        <w:top w:val="none" w:sz="0" w:space="0" w:color="auto"/>
        <w:left w:val="none" w:sz="0" w:space="0" w:color="auto"/>
        <w:bottom w:val="none" w:sz="0" w:space="0" w:color="auto"/>
        <w:right w:val="none" w:sz="0" w:space="0" w:color="auto"/>
      </w:divBdr>
      <w:divsChild>
        <w:div w:id="1759594804">
          <w:marLeft w:val="0"/>
          <w:marRight w:val="0"/>
          <w:marTop w:val="0"/>
          <w:marBottom w:val="0"/>
          <w:divBdr>
            <w:top w:val="none" w:sz="0" w:space="0" w:color="auto"/>
            <w:left w:val="none" w:sz="0" w:space="0" w:color="auto"/>
            <w:bottom w:val="none" w:sz="0" w:space="0" w:color="auto"/>
            <w:right w:val="none" w:sz="0" w:space="0" w:color="auto"/>
          </w:divBdr>
          <w:divsChild>
            <w:div w:id="1624119767">
              <w:marLeft w:val="0"/>
              <w:marRight w:val="0"/>
              <w:marTop w:val="0"/>
              <w:marBottom w:val="0"/>
              <w:divBdr>
                <w:top w:val="none" w:sz="0" w:space="0" w:color="auto"/>
                <w:left w:val="none" w:sz="0" w:space="0" w:color="auto"/>
                <w:bottom w:val="none" w:sz="0" w:space="0" w:color="auto"/>
                <w:right w:val="none" w:sz="0" w:space="0" w:color="auto"/>
              </w:divBdr>
              <w:divsChild>
                <w:div w:id="8827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1696">
      <w:bodyDiv w:val="1"/>
      <w:marLeft w:val="0"/>
      <w:marRight w:val="0"/>
      <w:marTop w:val="0"/>
      <w:marBottom w:val="0"/>
      <w:divBdr>
        <w:top w:val="none" w:sz="0" w:space="0" w:color="auto"/>
        <w:left w:val="none" w:sz="0" w:space="0" w:color="auto"/>
        <w:bottom w:val="none" w:sz="0" w:space="0" w:color="auto"/>
        <w:right w:val="none" w:sz="0" w:space="0" w:color="auto"/>
      </w:divBdr>
      <w:divsChild>
        <w:div w:id="1527866164">
          <w:marLeft w:val="0"/>
          <w:marRight w:val="0"/>
          <w:marTop w:val="0"/>
          <w:marBottom w:val="0"/>
          <w:divBdr>
            <w:top w:val="none" w:sz="0" w:space="0" w:color="auto"/>
            <w:left w:val="none" w:sz="0" w:space="0" w:color="auto"/>
            <w:bottom w:val="none" w:sz="0" w:space="0" w:color="auto"/>
            <w:right w:val="none" w:sz="0" w:space="0" w:color="auto"/>
          </w:divBdr>
          <w:divsChild>
            <w:div w:id="1696465302">
              <w:marLeft w:val="0"/>
              <w:marRight w:val="0"/>
              <w:marTop w:val="0"/>
              <w:marBottom w:val="0"/>
              <w:divBdr>
                <w:top w:val="none" w:sz="0" w:space="0" w:color="auto"/>
                <w:left w:val="none" w:sz="0" w:space="0" w:color="auto"/>
                <w:bottom w:val="none" w:sz="0" w:space="0" w:color="auto"/>
                <w:right w:val="none" w:sz="0" w:space="0" w:color="auto"/>
              </w:divBdr>
              <w:divsChild>
                <w:div w:id="235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3104">
      <w:bodyDiv w:val="1"/>
      <w:marLeft w:val="0"/>
      <w:marRight w:val="0"/>
      <w:marTop w:val="0"/>
      <w:marBottom w:val="0"/>
      <w:divBdr>
        <w:top w:val="none" w:sz="0" w:space="0" w:color="auto"/>
        <w:left w:val="none" w:sz="0" w:space="0" w:color="auto"/>
        <w:bottom w:val="none" w:sz="0" w:space="0" w:color="auto"/>
        <w:right w:val="none" w:sz="0" w:space="0" w:color="auto"/>
      </w:divBdr>
      <w:divsChild>
        <w:div w:id="128983315">
          <w:marLeft w:val="0"/>
          <w:marRight w:val="0"/>
          <w:marTop w:val="0"/>
          <w:marBottom w:val="0"/>
          <w:divBdr>
            <w:top w:val="none" w:sz="0" w:space="0" w:color="auto"/>
            <w:left w:val="none" w:sz="0" w:space="0" w:color="auto"/>
            <w:bottom w:val="none" w:sz="0" w:space="0" w:color="auto"/>
            <w:right w:val="none" w:sz="0" w:space="0" w:color="auto"/>
          </w:divBdr>
          <w:divsChild>
            <w:div w:id="508954341">
              <w:marLeft w:val="0"/>
              <w:marRight w:val="0"/>
              <w:marTop w:val="0"/>
              <w:marBottom w:val="0"/>
              <w:divBdr>
                <w:top w:val="none" w:sz="0" w:space="0" w:color="auto"/>
                <w:left w:val="none" w:sz="0" w:space="0" w:color="auto"/>
                <w:bottom w:val="none" w:sz="0" w:space="0" w:color="auto"/>
                <w:right w:val="none" w:sz="0" w:space="0" w:color="auto"/>
              </w:divBdr>
              <w:divsChild>
                <w:div w:id="305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8074">
      <w:bodyDiv w:val="1"/>
      <w:marLeft w:val="0"/>
      <w:marRight w:val="0"/>
      <w:marTop w:val="0"/>
      <w:marBottom w:val="0"/>
      <w:divBdr>
        <w:top w:val="none" w:sz="0" w:space="0" w:color="auto"/>
        <w:left w:val="none" w:sz="0" w:space="0" w:color="auto"/>
        <w:bottom w:val="none" w:sz="0" w:space="0" w:color="auto"/>
        <w:right w:val="none" w:sz="0" w:space="0" w:color="auto"/>
      </w:divBdr>
      <w:divsChild>
        <w:div w:id="960378617">
          <w:marLeft w:val="0"/>
          <w:marRight w:val="0"/>
          <w:marTop w:val="0"/>
          <w:marBottom w:val="0"/>
          <w:divBdr>
            <w:top w:val="none" w:sz="0" w:space="0" w:color="auto"/>
            <w:left w:val="none" w:sz="0" w:space="0" w:color="auto"/>
            <w:bottom w:val="none" w:sz="0" w:space="0" w:color="auto"/>
            <w:right w:val="none" w:sz="0" w:space="0" w:color="auto"/>
          </w:divBdr>
          <w:divsChild>
            <w:div w:id="1995378657">
              <w:marLeft w:val="0"/>
              <w:marRight w:val="0"/>
              <w:marTop w:val="0"/>
              <w:marBottom w:val="0"/>
              <w:divBdr>
                <w:top w:val="none" w:sz="0" w:space="0" w:color="auto"/>
                <w:left w:val="none" w:sz="0" w:space="0" w:color="auto"/>
                <w:bottom w:val="none" w:sz="0" w:space="0" w:color="auto"/>
                <w:right w:val="none" w:sz="0" w:space="0" w:color="auto"/>
              </w:divBdr>
              <w:divsChild>
                <w:div w:id="927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2692">
      <w:bodyDiv w:val="1"/>
      <w:marLeft w:val="0"/>
      <w:marRight w:val="0"/>
      <w:marTop w:val="0"/>
      <w:marBottom w:val="0"/>
      <w:divBdr>
        <w:top w:val="none" w:sz="0" w:space="0" w:color="auto"/>
        <w:left w:val="none" w:sz="0" w:space="0" w:color="auto"/>
        <w:bottom w:val="none" w:sz="0" w:space="0" w:color="auto"/>
        <w:right w:val="none" w:sz="0" w:space="0" w:color="auto"/>
      </w:divBdr>
      <w:divsChild>
        <w:div w:id="2024815203">
          <w:marLeft w:val="0"/>
          <w:marRight w:val="0"/>
          <w:marTop w:val="0"/>
          <w:marBottom w:val="0"/>
          <w:divBdr>
            <w:top w:val="none" w:sz="0" w:space="0" w:color="auto"/>
            <w:left w:val="none" w:sz="0" w:space="0" w:color="auto"/>
            <w:bottom w:val="none" w:sz="0" w:space="0" w:color="auto"/>
            <w:right w:val="none" w:sz="0" w:space="0" w:color="auto"/>
          </w:divBdr>
          <w:divsChild>
            <w:div w:id="503671008">
              <w:marLeft w:val="0"/>
              <w:marRight w:val="0"/>
              <w:marTop w:val="0"/>
              <w:marBottom w:val="0"/>
              <w:divBdr>
                <w:top w:val="none" w:sz="0" w:space="0" w:color="auto"/>
                <w:left w:val="none" w:sz="0" w:space="0" w:color="auto"/>
                <w:bottom w:val="none" w:sz="0" w:space="0" w:color="auto"/>
                <w:right w:val="none" w:sz="0" w:space="0" w:color="auto"/>
              </w:divBdr>
              <w:divsChild>
                <w:div w:id="19796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6517">
      <w:bodyDiv w:val="1"/>
      <w:marLeft w:val="0"/>
      <w:marRight w:val="0"/>
      <w:marTop w:val="0"/>
      <w:marBottom w:val="0"/>
      <w:divBdr>
        <w:top w:val="none" w:sz="0" w:space="0" w:color="auto"/>
        <w:left w:val="none" w:sz="0" w:space="0" w:color="auto"/>
        <w:bottom w:val="none" w:sz="0" w:space="0" w:color="auto"/>
        <w:right w:val="none" w:sz="0" w:space="0" w:color="auto"/>
      </w:divBdr>
      <w:divsChild>
        <w:div w:id="1356076797">
          <w:marLeft w:val="0"/>
          <w:marRight w:val="0"/>
          <w:marTop w:val="0"/>
          <w:marBottom w:val="0"/>
          <w:divBdr>
            <w:top w:val="none" w:sz="0" w:space="0" w:color="auto"/>
            <w:left w:val="none" w:sz="0" w:space="0" w:color="auto"/>
            <w:bottom w:val="none" w:sz="0" w:space="0" w:color="auto"/>
            <w:right w:val="none" w:sz="0" w:space="0" w:color="auto"/>
          </w:divBdr>
          <w:divsChild>
            <w:div w:id="2096782838">
              <w:marLeft w:val="0"/>
              <w:marRight w:val="0"/>
              <w:marTop w:val="0"/>
              <w:marBottom w:val="0"/>
              <w:divBdr>
                <w:top w:val="none" w:sz="0" w:space="0" w:color="auto"/>
                <w:left w:val="none" w:sz="0" w:space="0" w:color="auto"/>
                <w:bottom w:val="none" w:sz="0" w:space="0" w:color="auto"/>
                <w:right w:val="none" w:sz="0" w:space="0" w:color="auto"/>
              </w:divBdr>
              <w:divsChild>
                <w:div w:id="2752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4231">
      <w:bodyDiv w:val="1"/>
      <w:marLeft w:val="0"/>
      <w:marRight w:val="0"/>
      <w:marTop w:val="0"/>
      <w:marBottom w:val="0"/>
      <w:divBdr>
        <w:top w:val="none" w:sz="0" w:space="0" w:color="auto"/>
        <w:left w:val="none" w:sz="0" w:space="0" w:color="auto"/>
        <w:bottom w:val="none" w:sz="0" w:space="0" w:color="auto"/>
        <w:right w:val="none" w:sz="0" w:space="0" w:color="auto"/>
      </w:divBdr>
      <w:divsChild>
        <w:div w:id="1792478092">
          <w:marLeft w:val="0"/>
          <w:marRight w:val="0"/>
          <w:marTop w:val="0"/>
          <w:marBottom w:val="0"/>
          <w:divBdr>
            <w:top w:val="none" w:sz="0" w:space="0" w:color="auto"/>
            <w:left w:val="none" w:sz="0" w:space="0" w:color="auto"/>
            <w:bottom w:val="none" w:sz="0" w:space="0" w:color="auto"/>
            <w:right w:val="none" w:sz="0" w:space="0" w:color="auto"/>
          </w:divBdr>
          <w:divsChild>
            <w:div w:id="843395148">
              <w:marLeft w:val="0"/>
              <w:marRight w:val="0"/>
              <w:marTop w:val="0"/>
              <w:marBottom w:val="0"/>
              <w:divBdr>
                <w:top w:val="none" w:sz="0" w:space="0" w:color="auto"/>
                <w:left w:val="none" w:sz="0" w:space="0" w:color="auto"/>
                <w:bottom w:val="none" w:sz="0" w:space="0" w:color="auto"/>
                <w:right w:val="none" w:sz="0" w:space="0" w:color="auto"/>
              </w:divBdr>
              <w:divsChild>
                <w:div w:id="2028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Sheth</dc:creator>
  <cp:keywords/>
  <dc:description/>
  <cp:lastModifiedBy>Arnav Sheth</cp:lastModifiedBy>
  <cp:revision>5</cp:revision>
  <dcterms:created xsi:type="dcterms:W3CDTF">2023-12-16T06:31:00Z</dcterms:created>
  <dcterms:modified xsi:type="dcterms:W3CDTF">2023-12-17T00:23:00Z</dcterms:modified>
</cp:coreProperties>
</file>