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0C" w:rsidRPr="003E78D5" w:rsidRDefault="003D2A0C" w:rsidP="007E0A51">
      <w:pPr>
        <w:spacing w:line="360" w:lineRule="auto"/>
        <w:jc w:val="center"/>
        <w:rPr>
          <w:rFonts w:ascii="Times New Roman" w:hAnsi="Times New Roman" w:cs="Times New Roman"/>
          <w:b/>
          <w:sz w:val="24"/>
          <w:szCs w:val="24"/>
          <w:lang w:val="en-US"/>
        </w:rPr>
      </w:pPr>
    </w:p>
    <w:p w:rsidR="003D2A0C" w:rsidRPr="003E78D5" w:rsidRDefault="003D2A0C" w:rsidP="007E0A51">
      <w:pPr>
        <w:spacing w:line="360" w:lineRule="auto"/>
        <w:jc w:val="center"/>
        <w:rPr>
          <w:rFonts w:ascii="Times New Roman" w:hAnsi="Times New Roman" w:cs="Times New Roman"/>
          <w:b/>
          <w:sz w:val="24"/>
          <w:szCs w:val="24"/>
          <w:lang w:val="en-US"/>
        </w:rPr>
      </w:pPr>
    </w:p>
    <w:p w:rsidR="007E0A51" w:rsidRPr="003E78D5" w:rsidRDefault="006C4BD5" w:rsidP="007E0A51">
      <w:pPr>
        <w:spacing w:line="36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 xml:space="preserve">Internet </w:t>
      </w:r>
      <w:r w:rsidR="007E0A51" w:rsidRPr="003E78D5">
        <w:rPr>
          <w:rFonts w:ascii="Times New Roman" w:hAnsi="Times New Roman" w:cs="Times New Roman"/>
          <w:b/>
          <w:sz w:val="24"/>
          <w:szCs w:val="24"/>
          <w:lang w:val="en-US"/>
        </w:rPr>
        <w:t>A</w:t>
      </w:r>
      <w:r w:rsidRPr="003E78D5">
        <w:rPr>
          <w:rFonts w:ascii="Times New Roman" w:hAnsi="Times New Roman" w:cs="Times New Roman"/>
          <w:b/>
          <w:sz w:val="24"/>
          <w:szCs w:val="24"/>
          <w:lang w:val="en-US"/>
        </w:rPr>
        <w:t>ppendix</w:t>
      </w:r>
    </w:p>
    <w:p w:rsidR="007E0A51" w:rsidRPr="003E78D5" w:rsidRDefault="006C4BD5" w:rsidP="007E0A51">
      <w:pPr>
        <w:spacing w:line="36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for</w:t>
      </w:r>
    </w:p>
    <w:p w:rsidR="006C4BD5" w:rsidRPr="003E78D5" w:rsidRDefault="007E0A51" w:rsidP="007E0A51">
      <w:pPr>
        <w:spacing w:line="36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w:t>
      </w:r>
      <w:r w:rsidR="006C4BD5" w:rsidRPr="003E78D5">
        <w:rPr>
          <w:rFonts w:ascii="Times New Roman" w:hAnsi="Times New Roman" w:cs="Times New Roman"/>
          <w:b/>
          <w:sz w:val="24"/>
          <w:szCs w:val="24"/>
          <w:lang w:val="en-US"/>
        </w:rPr>
        <w:t xml:space="preserve">Estimating Private Equity Returns </w:t>
      </w:r>
      <w:r w:rsidRPr="003E78D5">
        <w:rPr>
          <w:rFonts w:ascii="Times New Roman" w:hAnsi="Times New Roman" w:cs="Times New Roman"/>
          <w:b/>
          <w:sz w:val="24"/>
          <w:szCs w:val="24"/>
          <w:lang w:val="en-US"/>
        </w:rPr>
        <w:t>from Limited Partner Cash Flows”</w:t>
      </w:r>
    </w:p>
    <w:p w:rsidR="007E0A51" w:rsidRPr="003E78D5" w:rsidRDefault="007E0A51" w:rsidP="007E0A51">
      <w:pPr>
        <w:spacing w:line="240" w:lineRule="auto"/>
        <w:jc w:val="center"/>
        <w:rPr>
          <w:rFonts w:ascii="Times New Roman" w:hAnsi="Times New Roman" w:cs="Times New Roman"/>
          <w:sz w:val="24"/>
          <w:szCs w:val="24"/>
          <w:lang w:val="en-US"/>
        </w:rPr>
      </w:pPr>
      <w:bookmarkStart w:id="0" w:name="_GoBack"/>
      <w:bookmarkEnd w:id="0"/>
    </w:p>
    <w:p w:rsidR="007E0A51" w:rsidRPr="003E78D5" w:rsidRDefault="007E0A51" w:rsidP="007E0A51">
      <w:pPr>
        <w:spacing w:line="240" w:lineRule="auto"/>
        <w:jc w:val="center"/>
        <w:rPr>
          <w:rFonts w:ascii="Times New Roman" w:hAnsi="Times New Roman" w:cs="Times New Roman"/>
          <w:sz w:val="24"/>
          <w:szCs w:val="24"/>
          <w:lang w:val="en-US"/>
        </w:rPr>
      </w:pPr>
      <w:r w:rsidRPr="003E78D5">
        <w:rPr>
          <w:rFonts w:ascii="Times New Roman" w:hAnsi="Times New Roman" w:cs="Times New Roman"/>
          <w:sz w:val="24"/>
          <w:szCs w:val="24"/>
          <w:lang w:val="en-US"/>
        </w:rPr>
        <w:t>ANDREW ANG, BINGXU CHEN, WILLIAM N. GOETZMANN,</w:t>
      </w:r>
      <w:r w:rsidR="00AA560B">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and LUDOVIC PHALIPPOU</w:t>
      </w:r>
      <w:r w:rsidR="00C128EE">
        <w:rPr>
          <w:rStyle w:val="FootnoteReference"/>
          <w:rFonts w:ascii="Times New Roman" w:hAnsi="Times New Roman" w:cs="Times New Roman"/>
          <w:sz w:val="24"/>
          <w:szCs w:val="24"/>
          <w:lang w:val="en-US"/>
        </w:rPr>
        <w:footnoteReference w:id="1"/>
      </w:r>
    </w:p>
    <w:p w:rsidR="007E0A51" w:rsidRPr="003E78D5" w:rsidRDefault="007E0A51" w:rsidP="006C4BD5">
      <w:pPr>
        <w:spacing w:line="360" w:lineRule="auto"/>
        <w:rPr>
          <w:rFonts w:ascii="Times New Roman" w:hAnsi="Times New Roman" w:cs="Times New Roman"/>
          <w:b/>
          <w:sz w:val="24"/>
          <w:szCs w:val="24"/>
          <w:lang w:val="en-US"/>
        </w:rPr>
      </w:pPr>
    </w:p>
    <w:p w:rsidR="001D3B5A" w:rsidRDefault="00C128EE" w:rsidP="00C128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This appendix provides further details on the estimation of the model (section I) and presents additional empirical results (section II). </w:t>
      </w:r>
    </w:p>
    <w:p w:rsidR="00C128EE" w:rsidRPr="00AA560B" w:rsidRDefault="00C128EE" w:rsidP="00C128EE">
      <w:pPr>
        <w:spacing w:line="360" w:lineRule="auto"/>
        <w:jc w:val="both"/>
        <w:rPr>
          <w:rFonts w:ascii="Times New Roman" w:hAnsi="Times New Roman" w:cs="Times New Roman"/>
          <w:sz w:val="24"/>
          <w:szCs w:val="24"/>
          <w:lang w:val="en-US"/>
        </w:rPr>
      </w:pPr>
    </w:p>
    <w:p w:rsidR="006C4BD5" w:rsidRPr="003E78D5" w:rsidRDefault="006C4BD5" w:rsidP="007E0A51">
      <w:pPr>
        <w:pStyle w:val="ListParagraph"/>
        <w:numPr>
          <w:ilvl w:val="0"/>
          <w:numId w:val="2"/>
        </w:numPr>
        <w:spacing w:line="360" w:lineRule="auto"/>
        <w:jc w:val="center"/>
        <w:rPr>
          <w:rFonts w:ascii="Times New Roman" w:hAnsi="Times New Roman" w:cs="Times New Roman"/>
          <w:b/>
          <w:sz w:val="24"/>
          <w:szCs w:val="24"/>
        </w:rPr>
      </w:pPr>
      <w:r w:rsidRPr="003E78D5">
        <w:rPr>
          <w:rFonts w:ascii="Times New Roman" w:hAnsi="Times New Roman" w:cs="Times New Roman"/>
          <w:b/>
          <w:sz w:val="24"/>
          <w:szCs w:val="24"/>
        </w:rPr>
        <w:t>Estimation of the Model</w:t>
      </w:r>
    </w:p>
    <w:p w:rsidR="006C4BD5" w:rsidRPr="003E78D5" w:rsidRDefault="006C4BD5" w:rsidP="006C4BD5">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We restate the model here for convenience. We can merge equations (10) and (11) into one equation containing only the latent state variable,</w:t>
      </w:r>
      <m:oMath>
        <m:r>
          <w:rPr>
            <w:rFonts w:ascii="Cambria Math" w:eastAsia="SimSun" w:hAnsi="Cambria Math" w:cs="Times New Roman"/>
            <w:sz w:val="24"/>
            <w:szCs w:val="24"/>
            <w:lang w:val="en-US" w:eastAsia="zh-CN"/>
          </w:rPr>
          <m:t xml:space="preserve"> </m:t>
        </m:r>
        <m:sSubSup>
          <m:sSubSupPr>
            <m:ctrlPr>
              <w:rPr>
                <w:rFonts w:ascii="Cambria Math" w:eastAsia="SimSun" w:hAnsi="Cambria Math" w:cs="Times New Roman"/>
                <w:i/>
                <w:sz w:val="24"/>
                <w:szCs w:val="24"/>
                <w:lang w:val="en-US" w:eastAsia="zh-CN"/>
              </w:rPr>
            </m:ctrlPr>
          </m:sSubSupPr>
          <m:e>
            <m:r>
              <w:rPr>
                <w:rFonts w:ascii="Cambria Math" w:eastAsia="SimSun" w:hAnsi="Cambria Math" w:cs="Times New Roman"/>
                <w:sz w:val="24"/>
                <w:szCs w:val="24"/>
                <w:lang w:val="en-US" w:eastAsia="zh-CN"/>
              </w:rPr>
              <m:t>g</m:t>
            </m:r>
          </m:e>
          <m:sub>
            <m:r>
              <w:rPr>
                <w:rFonts w:ascii="Cambria Math" w:eastAsia="SimSun" w:hAnsi="Cambria Math" w:cs="Times New Roman"/>
                <w:sz w:val="24"/>
                <w:szCs w:val="24"/>
                <w:lang w:val="en-US" w:eastAsia="zh-CN"/>
              </w:rPr>
              <m:t>t</m:t>
            </m:r>
          </m:sub>
          <m:sup>
            <m:r>
              <w:rPr>
                <w:rFonts w:ascii="Cambria Math" w:eastAsia="SimSun" w:hAnsi="Cambria Math" w:cs="Times New Roman"/>
                <w:sz w:val="24"/>
                <w:szCs w:val="24"/>
                <w:lang w:val="en-US" w:eastAsia="zh-CN"/>
              </w:rPr>
              <m:t>e</m:t>
            </m:r>
          </m:sup>
        </m:sSubSup>
        <m:r>
          <w:rPr>
            <w:rFonts w:ascii="Cambria Math" w:hAnsi="Cambria Math" w:cs="Times New Roman"/>
            <w:sz w:val="24"/>
            <w:szCs w:val="24"/>
            <w:lang w:val="en-US" w:eastAsia="zh-CN"/>
          </w:rPr>
          <m:t>≡</m:t>
        </m:r>
        <m:sSub>
          <m:sSubPr>
            <m:ctrlPr>
              <w:rPr>
                <w:rFonts w:ascii="Cambria Math" w:hAnsi="Cambria Math" w:cs="Times New Roman"/>
                <w:i/>
                <w:sz w:val="24"/>
                <w:szCs w:val="24"/>
                <w:lang w:val="en-US" w:eastAsia="zh-CN"/>
              </w:rPr>
            </m:ctrlPr>
          </m:sSubPr>
          <m:e>
            <m:r>
              <w:rPr>
                <w:rFonts w:ascii="Cambria Math" w:hAnsi="Cambria Math" w:cs="Times New Roman"/>
                <w:sz w:val="24"/>
                <w:szCs w:val="24"/>
                <w:lang w:val="en-US" w:eastAsia="zh-CN"/>
              </w:rPr>
              <m:t>g</m:t>
            </m:r>
          </m:e>
          <m:sub>
            <m:r>
              <w:rPr>
                <w:rFonts w:ascii="Cambria Math" w:hAnsi="Cambria Math" w:cs="Times New Roman"/>
                <w:sz w:val="24"/>
                <w:szCs w:val="24"/>
                <w:lang w:val="en-US" w:eastAsia="zh-CN"/>
              </w:rPr>
              <m:t>t</m:t>
            </m:r>
          </m:sub>
        </m:sSub>
        <m:r>
          <w:rPr>
            <w:rFonts w:ascii="Cambria Math" w:hAnsi="Cambria Math" w:cs="Times New Roman"/>
            <w:sz w:val="24"/>
            <w:szCs w:val="24"/>
            <w:lang w:val="en-US" w:eastAsia="zh-CN"/>
          </w:rPr>
          <m:t>-</m:t>
        </m:r>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r</m:t>
            </m:r>
          </m:e>
          <m:sub>
            <m:r>
              <w:rPr>
                <w:rFonts w:ascii="Cambria Math" w:hAnsi="Cambria Math" w:cs="Times New Roman"/>
                <w:sz w:val="24"/>
                <w:szCs w:val="24"/>
                <w:lang w:val="en-US" w:eastAsia="zh-CN"/>
              </w:rPr>
              <m:t>t</m:t>
            </m:r>
          </m:sub>
          <m:sup>
            <m:r>
              <w:rPr>
                <w:rFonts w:ascii="Cambria Math" w:hAnsi="Cambria Math" w:cs="Times New Roman"/>
                <w:sz w:val="24"/>
                <w:szCs w:val="24"/>
                <w:lang w:val="en-US" w:eastAsia="zh-CN"/>
              </w:rPr>
              <m:t>f</m:t>
            </m:r>
          </m:sup>
        </m:sSubSup>
      </m:oMath>
      <w:r w:rsidRPr="003E78D5">
        <w:rPr>
          <w:rFonts w:ascii="Times New Roman" w:hAnsi="Times New Roman" w:cs="Times New Roman"/>
          <w:sz w:val="24"/>
          <w:szCs w:val="24"/>
          <w:lang w:val="en-US" w:eastAsia="zh-CN"/>
        </w:rPr>
        <w:t xml:space="preserve">, as the excess return relative to </w:t>
      </w:r>
      <w:r w:rsidR="00CA2AC9" w:rsidRPr="003E78D5">
        <w:rPr>
          <w:rFonts w:ascii="Times New Roman" w:hAnsi="Times New Roman" w:cs="Times New Roman"/>
          <w:sz w:val="24"/>
          <w:szCs w:val="24"/>
          <w:lang w:val="en-US" w:eastAsia="zh-CN"/>
        </w:rPr>
        <w:t xml:space="preserve">the </w:t>
      </w:r>
      <w:r w:rsidRPr="003E78D5">
        <w:rPr>
          <w:rFonts w:ascii="Times New Roman" w:hAnsi="Times New Roman" w:cs="Times New Roman"/>
          <w:sz w:val="24"/>
          <w:szCs w:val="24"/>
          <w:lang w:val="en-US" w:eastAsia="zh-CN"/>
        </w:rPr>
        <w:t>risk free rate.</w:t>
      </w:r>
      <w:r w:rsidRPr="003E78D5">
        <w:rPr>
          <w:rFonts w:ascii="Times New Roman" w:hAnsi="Times New Roman" w:cs="Times New Roman"/>
          <w:sz w:val="24"/>
          <w:szCs w:val="24"/>
          <w:lang w:val="en-US"/>
        </w:rPr>
        <w:t xml:space="preserve"> The state equation </w:t>
      </w:r>
      <w:r w:rsidR="00CA2AC9" w:rsidRPr="003E78D5">
        <w:rPr>
          <w:rFonts w:ascii="Times New Roman" w:hAnsi="Times New Roman" w:cs="Times New Roman"/>
          <w:sz w:val="24"/>
          <w:szCs w:val="24"/>
          <w:lang w:val="en-US"/>
        </w:rPr>
        <w:t xml:space="preserve">then </w:t>
      </w:r>
      <w:r w:rsidRPr="003E78D5">
        <w:rPr>
          <w:rFonts w:ascii="Times New Roman" w:hAnsi="Times New Roman" w:cs="Times New Roman"/>
          <w:sz w:val="24"/>
          <w:szCs w:val="24"/>
          <w:lang w:val="en-US"/>
        </w:rPr>
        <w:t>becomes</w:t>
      </w:r>
    </w:p>
    <w:p w:rsidR="006C4BD5" w:rsidRPr="003E78D5" w:rsidRDefault="006C4BD5" w:rsidP="007E0A51">
      <w:pPr>
        <w:spacing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t</m:t>
            </m:r>
          </m:sub>
          <m:sup>
            <m:r>
              <w:rPr>
                <w:rFonts w:ascii="Cambria Math" w:hAnsi="Cambria Math" w:cs="Times New Roman"/>
                <w:sz w:val="24"/>
                <w:szCs w:val="24"/>
                <w:lang w:val="en-US"/>
              </w:rPr>
              <m:t>e</m:t>
            </m:r>
          </m:sup>
        </m:sSubSup>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1-ϕ</m:t>
            </m:r>
          </m:e>
        </m:d>
        <m:r>
          <w:rPr>
            <w:rFonts w:ascii="Cambria Math" w:hAnsi="Cambria Math" w:cs="Times New Roman"/>
            <w:sz w:val="24"/>
            <w:szCs w:val="24"/>
            <w:lang w:val="en-US"/>
          </w:rPr>
          <m:t>α+ϕ</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t-1</m:t>
            </m:r>
          </m:sub>
          <m:sup>
            <m:r>
              <w:rPr>
                <w:rFonts w:ascii="Cambria Math" w:hAnsi="Cambria Math" w:cs="Times New Roman"/>
                <w:sz w:val="24"/>
                <w:szCs w:val="24"/>
                <w:lang w:val="en-US"/>
              </w:rPr>
              <m:t>e</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β</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t-1</m:t>
                </m:r>
              </m:sub>
            </m:sSub>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g</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007E0A51" w:rsidRPr="003E78D5">
        <w:rPr>
          <w:rFonts w:ascii="Times New Roman" w:hAnsi="Times New Roman" w:cs="Times New Roman"/>
          <w:sz w:val="24"/>
          <w:szCs w:val="24"/>
          <w:lang w:val="en-US"/>
        </w:rPr>
        <w:t xml:space="preserve">  (IA.1)</w:t>
      </w:r>
      <w:r w:rsidRPr="003E78D5">
        <w:rPr>
          <w:rFonts w:ascii="Times New Roman" w:hAnsi="Times New Roman" w:cs="Times New Roman"/>
          <w:sz w:val="24"/>
          <w:szCs w:val="24"/>
          <w:lang w:val="en-US"/>
        </w:rPr>
        <w:tab/>
      </w:r>
    </w:p>
    <w:p w:rsidR="006C4BD5" w:rsidRPr="003E78D5" w:rsidRDefault="006C4BD5" w:rsidP="006C4BD5">
      <w:pPr>
        <w:pStyle w:val="MTDisplayEquation"/>
        <w:tabs>
          <w:tab w:val="clear" w:pos="4320"/>
          <w:tab w:val="clear" w:pos="8640"/>
          <w:tab w:val="center" w:pos="2127"/>
          <w:tab w:val="right" w:pos="9360"/>
        </w:tabs>
        <w:spacing w:after="200" w:line="360" w:lineRule="auto"/>
        <w:rPr>
          <w:rFonts w:ascii="Times New Roman" w:hAnsi="Times New Roman" w:cs="Times New Roman"/>
          <w:lang w:eastAsia="zh-CN"/>
        </w:rPr>
      </w:pPr>
      <w:r w:rsidRPr="003E78D5">
        <w:rPr>
          <w:rFonts w:ascii="Times New Roman" w:hAnsi="Times New Roman" w:cs="Times New Roman"/>
        </w:rPr>
        <w:tab/>
      </w:r>
      <w:r w:rsidRPr="003E78D5">
        <w:rPr>
          <w:rFonts w:ascii="Times New Roman" w:hAnsi="Times New Roman" w:cs="Times New Roman"/>
          <w:lang w:eastAsia="zh-CN"/>
        </w:rPr>
        <w:t xml:space="preserve">where the systematic factors, </w:t>
      </w:r>
      <w:r w:rsidR="003D2A0C" w:rsidRPr="003E78D5">
        <w:rPr>
          <w:rFonts w:ascii="Times New Roman" w:hAnsi="Times New Roman" w:cs="Times New Roman"/>
          <w:i/>
          <w:lang w:eastAsia="zh-CN"/>
        </w:rPr>
        <w:t>F</w:t>
      </w:r>
      <w:r w:rsidR="003D2A0C" w:rsidRPr="003E78D5">
        <w:rPr>
          <w:rFonts w:ascii="Times New Roman" w:hAnsi="Times New Roman" w:cs="Times New Roman"/>
          <w:i/>
          <w:vertAlign w:val="subscript"/>
          <w:lang w:eastAsia="zh-CN"/>
        </w:rPr>
        <w:t>t</w:t>
      </w:r>
      <w:r w:rsidRPr="003E78D5">
        <w:rPr>
          <w:rFonts w:ascii="Times New Roman" w:hAnsi="Times New Roman" w:cs="Times New Roman"/>
          <w:lang w:eastAsia="zh-CN"/>
        </w:rPr>
        <w:t xml:space="preserve">, are observable. </w:t>
      </w:r>
    </w:p>
    <w:p w:rsidR="006C4BD5" w:rsidRPr="003E78D5" w:rsidRDefault="00CA2AC9" w:rsidP="006C4BD5">
      <w:pPr>
        <w:pStyle w:val="MTDisplayEquation"/>
        <w:tabs>
          <w:tab w:val="clear" w:pos="8640"/>
          <w:tab w:val="right" w:pos="9360"/>
        </w:tabs>
        <w:spacing w:after="200" w:line="360" w:lineRule="auto"/>
        <w:jc w:val="both"/>
        <w:rPr>
          <w:rFonts w:ascii="Times New Roman" w:hAnsi="Times New Roman" w:cs="Times New Roman"/>
        </w:rPr>
      </w:pPr>
      <w:r w:rsidRPr="003E78D5">
        <w:rPr>
          <w:rFonts w:ascii="Times New Roman" w:hAnsi="Times New Roman" w:cs="Times New Roman"/>
        </w:rPr>
        <w:t>We assume that the zero-</w:t>
      </w:r>
      <w:r w:rsidR="006C4BD5" w:rsidRPr="003E78D5">
        <w:rPr>
          <w:rFonts w:ascii="Times New Roman" w:hAnsi="Times New Roman" w:cs="Times New Roman"/>
        </w:rPr>
        <w:t xml:space="preserve">NPV condition in equation (6) holds, and we specify that the log ratio of the present value of the distributions to the present value of investments of fund </w:t>
      </w:r>
      <m:oMath>
        <m:r>
          <w:rPr>
            <w:rFonts w:ascii="Cambria Math" w:eastAsia="SimSun" w:hAnsi="Cambria Math" w:cs="Times New Roman"/>
            <w:lang w:eastAsia="zh-CN"/>
          </w:rPr>
          <m:t>h</m:t>
        </m:r>
      </m:oMath>
      <w:r w:rsidR="006C4BD5" w:rsidRPr="003E78D5">
        <w:rPr>
          <w:rFonts w:ascii="Times New Roman" w:hAnsi="Times New Roman" w:cs="Times New Roman"/>
        </w:rPr>
        <w:t xml:space="preserve"> is normally distributed:    </w:t>
      </w:r>
    </w:p>
    <w:p w:rsidR="006C4BD5" w:rsidRPr="003E78D5" w:rsidRDefault="006C4BD5" w:rsidP="006C4BD5">
      <w:pPr>
        <w:pStyle w:val="MTDisplayEquation"/>
        <w:tabs>
          <w:tab w:val="clear" w:pos="8640"/>
          <w:tab w:val="right" w:pos="9360"/>
        </w:tabs>
        <w:spacing w:after="200" w:line="360" w:lineRule="auto"/>
        <w:rPr>
          <w:rFonts w:ascii="Times New Roman" w:hAnsi="Times New Roman" w:cs="Times New Roman"/>
        </w:rPr>
      </w:pPr>
      <w:r w:rsidRPr="003E78D5">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h</m:t>
                        </m:r>
                      </m:sup>
                    </m:sSup>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h</m:t>
                                </m:r>
                              </m:sup>
                            </m:sSubSup>
                          </m:sub>
                          <m:sup>
                            <m:r>
                              <w:rPr>
                                <w:rFonts w:ascii="Cambria Math" w:hAnsi="Cambria Math" w:cs="Times New Roman"/>
                              </w:rPr>
                              <m:t>h</m:t>
                            </m:r>
                          </m:sup>
                        </m:sSubSup>
                      </m:num>
                      <m:den>
                        <m:sSub>
                          <m:sSubPr>
                            <m:ctrlPr>
                              <w:rPr>
                                <w:rFonts w:ascii="Cambria Math" w:hAnsi="Cambria Math" w:cs="Times New Roman"/>
                                <w:i/>
                              </w:rPr>
                            </m:ctrlPr>
                          </m:sSubPr>
                          <m:e>
                            <m:r>
                              <w:rPr>
                                <w:rFonts w:ascii="Cambria Math" w:hAnsi="Cambria Math" w:cs="Times New Roman"/>
                              </w:rPr>
                              <m:t>g</m:t>
                            </m:r>
                          </m:e>
                          <m: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h</m:t>
                                </m:r>
                              </m:sup>
                            </m:sSub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h</m:t>
                                </m:r>
                              </m:sup>
                            </m:sSubSup>
                          </m:sub>
                        </m:sSub>
                      </m:den>
                    </m:f>
                  </m:e>
                </m:nary>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rPr>
                </m:ctrlPr>
              </m:dPr>
              <m:e>
                <m:nary>
                  <m:naryPr>
                    <m:chr m:val="∑"/>
                    <m:limLoc m:val="undOvr"/>
                    <m:ctrlPr>
                      <w:rPr>
                        <w:rFonts w:ascii="Cambria Math" w:hAnsi="Cambria Math" w:cs="Times New Roman"/>
                        <w:i/>
                      </w:rPr>
                    </m:ctrlPr>
                  </m:naryPr>
                  <m:sub>
                    <m:r>
                      <w:rPr>
                        <w:rFonts w:ascii="Cambria Math" w:hAnsi="Cambria Math" w:cs="Times New Roman"/>
                      </w:rPr>
                      <m:t>i=1</m:t>
                    </m:r>
                  </m:sub>
                  <m: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h</m:t>
                        </m:r>
                      </m:sup>
                    </m:sSup>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m:t>
                            </m:r>
                          </m:sub>
                          <m:sup>
                            <m:r>
                              <w:rPr>
                                <w:rFonts w:ascii="Cambria Math" w:hAnsi="Cambria Math" w:cs="Times New Roman"/>
                              </w:rPr>
                              <m:t>h</m:t>
                            </m:r>
                          </m:sup>
                        </m:sSubSup>
                      </m:num>
                      <m:den>
                        <m:sSub>
                          <m:sSubPr>
                            <m:ctrlPr>
                              <w:rPr>
                                <w:rFonts w:ascii="Cambria Math" w:hAnsi="Cambria Math" w:cs="Times New Roman"/>
                                <w:i/>
                              </w:rPr>
                            </m:ctrlPr>
                          </m:sSubPr>
                          <m:e>
                            <m:r>
                              <w:rPr>
                                <w:rFonts w:ascii="Cambria Math" w:hAnsi="Cambria Math" w:cs="Times New Roman"/>
                              </w:rPr>
                              <m:t>g</m:t>
                            </m:r>
                          </m:e>
                          <m: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1</m:t>
                                </m:r>
                              </m:sub>
                              <m:sup>
                                <m:r>
                                  <w:rPr>
                                    <w:rFonts w:ascii="Cambria Math" w:hAnsi="Cambria Math" w:cs="Times New Roman"/>
                                  </w:rPr>
                                  <m:t>h</m:t>
                                </m:r>
                              </m:sup>
                            </m:sSub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h</m:t>
                                </m:r>
                              </m:sup>
                            </m:sSubSup>
                          </m:sub>
                        </m:sSub>
                      </m:den>
                    </m:f>
                  </m:e>
                </m:nary>
                <m:ctrlPr>
                  <w:rPr>
                    <w:rFonts w:ascii="Cambria Math" w:hAnsi="Cambria Math" w:cs="Times New Roman"/>
                    <w:i/>
                  </w:rPr>
                </m:ctrlPr>
              </m:e>
            </m:d>
          </m:e>
        </m:func>
        <m:r>
          <w:rPr>
            <w:rFonts w:ascii="Cambria Math" w:eastAsia="SimSun" w:hAnsi="Cambria Math" w:cs="Times New Roman"/>
            <w:lang w:eastAsia="zh-CN"/>
          </w:rPr>
          <m:t>~N</m:t>
        </m:r>
        <m:d>
          <m:dPr>
            <m:ctrlPr>
              <w:rPr>
                <w:rFonts w:ascii="Cambria Math" w:eastAsia="SimSun" w:hAnsi="Cambria Math" w:cs="Times New Roman"/>
                <w:i/>
                <w:lang w:eastAsia="zh-CN"/>
              </w:rPr>
            </m:ctrlPr>
          </m:dPr>
          <m:e>
            <m:r>
              <w:rPr>
                <w:rFonts w:ascii="Cambria Math" w:eastAsia="SimSun" w:hAnsi="Cambria Math" w:cs="Times New Roman"/>
                <w:lang w:eastAsia="zh-CN"/>
              </w:rPr>
              <m:t>μ,</m:t>
            </m:r>
            <m:sSup>
              <m:sSupPr>
                <m:ctrlPr>
                  <w:rPr>
                    <w:rFonts w:ascii="Cambria Math" w:eastAsia="SimSun" w:hAnsi="Cambria Math" w:cs="Times New Roman"/>
                    <w:i/>
                    <w:lang w:eastAsia="zh-CN"/>
                  </w:rPr>
                </m:ctrlPr>
              </m:sSupPr>
              <m:e>
                <m:r>
                  <w:rPr>
                    <w:rFonts w:ascii="Cambria Math" w:eastAsia="SimSun" w:hAnsi="Cambria Math" w:cs="Times New Roman"/>
                    <w:lang w:eastAsia="zh-CN"/>
                  </w:rPr>
                  <m:t>σ</m:t>
                </m:r>
              </m:e>
              <m:sup>
                <m:r>
                  <w:rPr>
                    <w:rFonts w:ascii="Cambria Math" w:eastAsia="SimSun" w:hAnsi="Cambria Math" w:cs="Times New Roman"/>
                    <w:lang w:eastAsia="zh-CN"/>
                  </w:rPr>
                  <m:t>2</m:t>
                </m:r>
              </m:sup>
            </m:sSup>
          </m:e>
        </m:d>
        <m:r>
          <w:rPr>
            <w:rFonts w:ascii="Cambria Math" w:eastAsia="SimSun" w:hAnsi="Cambria Math" w:cs="Times New Roman"/>
            <w:lang w:eastAsia="zh-CN"/>
          </w:rPr>
          <m:t>,</m:t>
        </m:r>
      </m:oMath>
      <w:r w:rsidRPr="003E78D5">
        <w:rPr>
          <w:rFonts w:ascii="Times New Roman" w:hAnsi="Times New Roman" w:cs="Times New Roman"/>
        </w:rPr>
        <w:tab/>
      </w:r>
      <w:r w:rsidR="007E0A51" w:rsidRPr="003E78D5">
        <w:rPr>
          <w:rFonts w:ascii="Times New Roman" w:hAnsi="Times New Roman" w:cs="Times New Roman"/>
        </w:rPr>
        <w:t>(IA.2)</w:t>
      </w:r>
    </w:p>
    <w:p w:rsidR="006C4BD5" w:rsidRPr="003E78D5" w:rsidRDefault="006C4BD5" w:rsidP="006C4BD5">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lastRenderedPageBreak/>
        <w:t>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A.2), which repeats equation (6), represents the likelihood function of the cash flows. To ensure that the ratio of the present value of distributions and the present value of investments are centered at one, we set </w:t>
      </w:r>
      <w:r w:rsidR="00CA2AC9" w:rsidRPr="003E78D5">
        <w:rPr>
          <w:rFonts w:ascii="Times New Roman" w:hAnsi="Times New Roman" w:cs="Times New Roman"/>
          <w:position w:val="-12"/>
          <w:sz w:val="24"/>
          <w:szCs w:val="24"/>
          <w:lang w:val="en-US"/>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20.95pt" o:ole="">
            <v:imagedata r:id="rId9" o:title=""/>
          </v:shape>
          <o:OLEObject Type="Embed" ProgID="Equation.DSMT4" ShapeID="_x0000_i1025" DrawAspect="Content" ObjectID="_1583745836" r:id="rId10"/>
        </w:object>
      </w:r>
      <w:r w:rsidRPr="003E78D5">
        <w:rPr>
          <w:rFonts w:ascii="Times New Roman" w:hAnsi="Times New Roman" w:cs="Times New Roman"/>
          <w:sz w:val="24"/>
          <w:szCs w:val="24"/>
          <w:lang w:val="en-US"/>
        </w:rPr>
        <w:t xml:space="preserve">. This is equivalent to assuming that the </w:t>
      </w:r>
      <w:r w:rsidR="00CA2AC9" w:rsidRPr="003E78D5">
        <w:rPr>
          <w:rFonts w:ascii="Times New Roman" w:hAnsi="Times New Roman" w:cs="Times New Roman"/>
          <w:sz w:val="24"/>
          <w:szCs w:val="24"/>
          <w:lang w:val="en-US"/>
        </w:rPr>
        <w:t>errors of the log ratio of the present value</w:t>
      </w:r>
      <w:r w:rsidRPr="003E78D5">
        <w:rPr>
          <w:rFonts w:ascii="Times New Roman" w:hAnsi="Times New Roman" w:cs="Times New Roman"/>
          <w:sz w:val="24"/>
          <w:szCs w:val="24"/>
          <w:lang w:val="en-US"/>
        </w:rPr>
        <w:t xml:space="preserve"> of distributions to the </w:t>
      </w:r>
      <w:r w:rsidR="00CA2AC9" w:rsidRPr="003E78D5">
        <w:rPr>
          <w:rFonts w:ascii="Times New Roman" w:hAnsi="Times New Roman" w:cs="Times New Roman"/>
          <w:sz w:val="24"/>
          <w:szCs w:val="24"/>
          <w:lang w:val="en-US"/>
        </w:rPr>
        <w:t>present value</w:t>
      </w:r>
      <w:r w:rsidRPr="003E78D5">
        <w:rPr>
          <w:rFonts w:ascii="Times New Roman" w:hAnsi="Times New Roman" w:cs="Times New Roman"/>
          <w:sz w:val="24"/>
          <w:szCs w:val="24"/>
          <w:lang w:val="en-US"/>
        </w:rPr>
        <w:t xml:space="preserve"> of investments have zero mean. </w:t>
      </w:r>
    </w:p>
    <w:p w:rsidR="006C4BD5" w:rsidRPr="003E78D5" w:rsidRDefault="006C4BD5" w:rsidP="006C4BD5">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Equations (</w:t>
      </w:r>
      <w:r w:rsidR="00CA2AC9"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A.1) and (</w:t>
      </w:r>
      <w:r w:rsidR="00CA2AC9"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A.2) consti</w:t>
      </w:r>
      <w:r w:rsidR="00CA2AC9" w:rsidRPr="003E78D5">
        <w:rPr>
          <w:rFonts w:ascii="Times New Roman" w:hAnsi="Times New Roman" w:cs="Times New Roman"/>
          <w:sz w:val="24"/>
          <w:szCs w:val="24"/>
          <w:lang w:val="en-US"/>
        </w:rPr>
        <w:t>tute a state equation and a non</w:t>
      </w:r>
      <w:r w:rsidRPr="003E78D5">
        <w:rPr>
          <w:rFonts w:ascii="Times New Roman" w:hAnsi="Times New Roman" w:cs="Times New Roman"/>
          <w:sz w:val="24"/>
          <w:szCs w:val="24"/>
          <w:lang w:val="en-US"/>
        </w:rPr>
        <w:t xml:space="preserve">linear observation equation. The following algorithm filters the latent state variable </w:t>
      </w:r>
      <w:r w:rsidR="00CA2AC9" w:rsidRPr="003E78D5">
        <w:rPr>
          <w:rFonts w:ascii="Times New Roman" w:hAnsi="Times New Roman" w:cs="Times New Roman"/>
          <w:position w:val="-12"/>
          <w:sz w:val="24"/>
          <w:szCs w:val="24"/>
          <w:lang w:val="en-US"/>
        </w:rPr>
        <w:object w:dxaOrig="300" w:dyaOrig="380">
          <v:shape id="_x0000_i1026" type="#_x0000_t75" style="width:20.95pt;height:21.75pt" o:ole="">
            <v:imagedata r:id="rId11" o:title=""/>
          </v:shape>
          <o:OLEObject Type="Embed" ProgID="Equation.DSMT4" ShapeID="_x0000_i1026" DrawAspect="Content" ObjectID="_1583745837" r:id="rId12"/>
        </w:object>
      </w:r>
      <w:r w:rsidRPr="003E78D5">
        <w:rPr>
          <w:rFonts w:ascii="Times New Roman" w:hAnsi="Times New Roman" w:cs="Times New Roman"/>
          <w:sz w:val="24"/>
          <w:szCs w:val="24"/>
          <w:lang w:val="en-US"/>
        </w:rPr>
        <w:t xml:space="preserve"> given the observation equations. Once</w:t>
      </w:r>
      <w:r w:rsidR="00CA2AC9" w:rsidRPr="003E78D5">
        <w:rPr>
          <w:rFonts w:ascii="Times New Roman" w:hAnsi="Times New Roman" w:cs="Times New Roman"/>
          <w:position w:val="-12"/>
          <w:sz w:val="24"/>
          <w:szCs w:val="24"/>
          <w:lang w:val="en-US"/>
        </w:rPr>
        <w:object w:dxaOrig="300" w:dyaOrig="380">
          <v:shape id="_x0000_i1027" type="#_x0000_t75" style="width:20.95pt;height:20.95pt" o:ole="">
            <v:imagedata r:id="rId11" o:title=""/>
          </v:shape>
          <o:OLEObject Type="Embed" ProgID="Equation.DSMT4" ShapeID="_x0000_i1027" DrawAspect="Content" ObjectID="_1583745838" r:id="rId13"/>
        </w:object>
      </w:r>
      <w:r w:rsidRPr="003E78D5">
        <w:rPr>
          <w:rFonts w:ascii="Times New Roman" w:hAnsi="Times New Roman" w:cs="Times New Roman"/>
          <w:sz w:val="24"/>
          <w:szCs w:val="24"/>
          <w:lang w:val="en-US"/>
        </w:rPr>
        <w:t xml:space="preserve"> is estimated, we can infer the </w:t>
      </w:r>
      <w:r w:rsidR="00CA2AC9"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-specific return,</w:t>
      </w:r>
      <w:r w:rsidR="003D2A0C" w:rsidRPr="003E78D5">
        <w:rPr>
          <w:rFonts w:ascii="Times New Roman" w:hAnsi="Times New Roman" w:cs="Times New Roman"/>
          <w:sz w:val="24"/>
          <w:szCs w:val="24"/>
          <w:lang w:val="en-US"/>
        </w:rPr>
        <w:t xml:space="preserve"> </w:t>
      </w:r>
      <w:r w:rsidR="003D2A0C" w:rsidRPr="003E78D5">
        <w:rPr>
          <w:rFonts w:ascii="Times New Roman" w:hAnsi="Times New Roman" w:cs="Times New Roman"/>
          <w:i/>
          <w:sz w:val="24"/>
          <w:szCs w:val="24"/>
          <w:lang w:val="en-US"/>
        </w:rPr>
        <w:t>f</w:t>
      </w:r>
      <w:r w:rsidR="003D2A0C" w:rsidRPr="003E78D5">
        <w:rPr>
          <w:rFonts w:ascii="Times New Roman" w:hAnsi="Times New Roman" w:cs="Times New Roman"/>
          <w:i/>
          <w:sz w:val="24"/>
          <w:szCs w:val="24"/>
          <w:vertAlign w:val="subscript"/>
          <w:lang w:val="en-US"/>
        </w:rPr>
        <w:t>t</w:t>
      </w:r>
      <w:r w:rsidRPr="003E78D5">
        <w:rPr>
          <w:rFonts w:ascii="Times New Roman" w:hAnsi="Times New Roman" w:cs="Times New Roman"/>
          <w:sz w:val="24"/>
          <w:szCs w:val="24"/>
          <w:lang w:val="en-US"/>
        </w:rPr>
        <w:t>, using</w:t>
      </w:r>
    </w:p>
    <w:p w:rsidR="006C4BD5" w:rsidRPr="003E78D5" w:rsidRDefault="006C4BD5" w:rsidP="006C4BD5">
      <w:pPr>
        <w:pStyle w:val="MTDisplayEquation"/>
        <w:tabs>
          <w:tab w:val="clear" w:pos="8640"/>
          <w:tab w:val="right" w:pos="9360"/>
        </w:tabs>
        <w:spacing w:after="200" w:line="360" w:lineRule="auto"/>
        <w:rPr>
          <w:rFonts w:ascii="Times New Roman" w:hAnsi="Times New Roman" w:cs="Times New Roman"/>
        </w:rPr>
      </w:pPr>
      <w:r w:rsidRPr="003E78D5">
        <w:rPr>
          <w:rFonts w:ascii="Times New Roman" w:hAnsi="Times New Roman" w:cs="Times New Roman"/>
        </w:rPr>
        <w:tab/>
      </w:r>
      <w:r w:rsidR="007E0A51" w:rsidRPr="003E78D5">
        <w:rPr>
          <w:rFonts w:ascii="Times New Roman" w:hAnsi="Times New Roman" w:cs="Times New Roman"/>
          <w:position w:val="-12"/>
        </w:rPr>
        <w:object w:dxaOrig="2020" w:dyaOrig="380">
          <v:shape id="_x0000_i1028" type="#_x0000_t75" style="width:167.45pt;height:23.45pt" o:ole="">
            <v:imagedata r:id="rId14" o:title=""/>
          </v:shape>
          <o:OLEObject Type="Embed" ProgID="Equation.DSMT4" ShapeID="_x0000_i1028" DrawAspect="Content" ObjectID="_1583745839" r:id="rId15"/>
        </w:object>
      </w:r>
      <w:r w:rsidRPr="003E78D5">
        <w:rPr>
          <w:rFonts w:ascii="Times New Roman" w:hAnsi="Times New Roman" w:cs="Times New Roman"/>
        </w:rPr>
        <w:tab/>
      </w:r>
      <w:r w:rsidR="007E0A51" w:rsidRPr="003E78D5">
        <w:rPr>
          <w:rFonts w:ascii="Times New Roman" w:hAnsi="Times New Roman" w:cs="Times New Roman"/>
        </w:rPr>
        <w:t>(IA.3)</w:t>
      </w:r>
    </w:p>
    <w:p w:rsidR="006C4BD5" w:rsidRPr="003E78D5" w:rsidRDefault="006C4BD5" w:rsidP="006C4BD5">
      <w:pPr>
        <w:tabs>
          <w:tab w:val="left" w:pos="9498"/>
        </w:tabs>
        <w:spacing w:line="360" w:lineRule="auto"/>
        <w:ind w:right="20"/>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denote the parameters </w:t>
      </w:r>
      <w:r w:rsidR="007E0A51" w:rsidRPr="003E78D5">
        <w:rPr>
          <w:rFonts w:ascii="Times New Roman" w:hAnsi="Times New Roman" w:cs="Times New Roman"/>
          <w:position w:val="-14"/>
          <w:sz w:val="24"/>
          <w:szCs w:val="24"/>
          <w:lang w:val="en-US"/>
        </w:rPr>
        <w:object w:dxaOrig="1840" w:dyaOrig="380">
          <v:shape id="_x0000_i1029" type="#_x0000_t75" style="width:116.35pt;height:19.25pt" o:ole="">
            <v:imagedata r:id="rId16" o:title=""/>
          </v:shape>
          <o:OLEObject Type="Embed" ProgID="Equation.DSMT4" ShapeID="_x0000_i1029" DrawAspect="Content" ObjectID="_1583745840" r:id="rId17"/>
        </w:object>
      </w:r>
      <w:r w:rsidRPr="003E78D5">
        <w:rPr>
          <w:rFonts w:ascii="Times New Roman" w:hAnsi="Times New Roman" w:cs="Times New Roman"/>
          <w:sz w:val="24"/>
          <w:szCs w:val="24"/>
          <w:lang w:val="en-US"/>
        </w:rPr>
        <w:t xml:space="preserve"> and let </w:t>
      </w:r>
      <w:r w:rsidRPr="003E78D5">
        <w:rPr>
          <w:rFonts w:ascii="Times New Roman" w:hAnsi="Times New Roman" w:cs="Times New Roman"/>
          <w:position w:val="-12"/>
          <w:sz w:val="24"/>
          <w:szCs w:val="24"/>
          <w:lang w:val="en-US"/>
        </w:rPr>
        <w:object w:dxaOrig="279" w:dyaOrig="360">
          <v:shape id="_x0000_i1030" type="#_x0000_t75" style="width:14.25pt;height:21.75pt" o:ole="">
            <v:imagedata r:id="rId18" o:title=""/>
          </v:shape>
          <o:OLEObject Type="Embed" ProgID="Equation.DSMT4" ShapeID="_x0000_i1030" DrawAspect="Content" ObjectID="_1583745841" r:id="rId19"/>
        </w:object>
      </w:r>
      <w:r w:rsidR="007E0A51"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 xml:space="preserve">denote the full set of parameters less the parameter that is being estimated in each conditional draw. We collect the exogenous </w:t>
      </w:r>
      <w:r w:rsidR="00CA2AC9"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 xml:space="preserve"> cash flow data and the common tradable factors </w:t>
      </w:r>
      <w:r w:rsidR="003D2A0C" w:rsidRPr="003E78D5">
        <w:rPr>
          <w:rFonts w:ascii="Times New Roman" w:hAnsi="Times New Roman" w:cs="Times New Roman"/>
          <w:i/>
          <w:sz w:val="24"/>
          <w:szCs w:val="24"/>
          <w:lang w:eastAsia="zh-CN"/>
        </w:rPr>
        <w:t>F</w:t>
      </w:r>
      <w:r w:rsidR="003D2A0C" w:rsidRPr="003E78D5">
        <w:rPr>
          <w:rFonts w:ascii="Times New Roman" w:hAnsi="Times New Roman" w:cs="Times New Roman"/>
          <w:i/>
          <w:sz w:val="24"/>
          <w:szCs w:val="24"/>
          <w:vertAlign w:val="subscript"/>
          <w:lang w:eastAsia="zh-CN"/>
        </w:rPr>
        <w:t>t</w:t>
      </w:r>
      <w:r w:rsidRPr="003E78D5">
        <w:rPr>
          <w:rFonts w:ascii="Times New Roman" w:hAnsi="Times New Roman" w:cs="Times New Roman"/>
          <w:sz w:val="24"/>
          <w:szCs w:val="24"/>
          <w:lang w:val="en-US"/>
        </w:rPr>
        <w:t xml:space="preserve"> as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t</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I</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e>
            </m:d>
          </m:e>
        </m:d>
      </m:oMath>
      <w:r w:rsidRPr="003E78D5">
        <w:rPr>
          <w:rFonts w:ascii="Times New Roman" w:hAnsi="Times New Roman" w:cs="Times New Roman"/>
          <w:sz w:val="24"/>
          <w:szCs w:val="24"/>
          <w:lang w:val="en-US"/>
        </w:rPr>
        <w:t xml:space="preserve">. </w:t>
      </w:r>
    </w:p>
    <w:p w:rsidR="006C4BD5" w:rsidRPr="003E78D5" w:rsidRDefault="006C4BD5" w:rsidP="006C4BD5">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estimate the model described by MCMC and Gibbs sampling. </w:t>
      </w:r>
      <w:r w:rsidR="007E0A51" w:rsidRPr="003E78D5">
        <w:rPr>
          <w:rFonts w:ascii="Times New Roman" w:hAnsi="Times New Roman" w:cs="Times New Roman"/>
          <w:sz w:val="24"/>
          <w:szCs w:val="24"/>
          <w:lang w:val="en-US"/>
        </w:rPr>
        <w:t xml:space="preserve">A textbook exposition of Gibbs sampling is provided by </w:t>
      </w:r>
      <w:r w:rsidR="007E0A51" w:rsidRPr="003E78D5">
        <w:rPr>
          <w:rFonts w:ascii="Times New Roman" w:hAnsi="Times New Roman" w:cs="Times New Roman"/>
          <w:sz w:val="24"/>
          <w:szCs w:val="24"/>
          <w:lang w:val="en-US"/>
        </w:rPr>
        <w:fldChar w:fldCharType="begin" w:fldLock="1"/>
      </w:r>
      <w:r w:rsidR="000F3066" w:rsidRPr="003E78D5">
        <w:rPr>
          <w:rFonts w:ascii="Times New Roman" w:hAnsi="Times New Roman" w:cs="Times New Roman"/>
          <w:sz w:val="24"/>
          <w:szCs w:val="24"/>
          <w:lang w:val="en-US"/>
        </w:rPr>
        <w:instrText>ADDIN CSL_CITATION { "citationItems" : [ { "id" : "ITEM-1", "itemData" : { "author" : [ { "dropping-particle" : "", "family" : "Robert", "given" : "Christian P", "non-dropping-particle" : "", "parse-names" : false, "suffix" : "" }, { "dropping-particle" : "", "family" : "Casella", "given" : "George", "non-dropping-particle" : "", "parse-names" : false, "suffix" : "" } ], "id" : "ITEM-1", "issued" : { "date-parts" : [ [ "1999" ] ] }, "number-of-pages" : "Springer", "publisher" : "Springer, New York", "title" : "Monte Carlo statistical methods", "type" : "book" }, "uris" : [ "http://www.mendeley.com/documents/?uuid=7008807a-ad56-4b39-8b20-150425407994" ] } ], "mendeley" : { "formattedCitation" : "Robert and Casella (1999)", "plainTextFormattedCitation" : "Robert and Casella (1999)", "previouslyFormattedCitation" : "Robert and Casella (1999)" }, "properties" : {  }, "schema" : "https://github.com/citation-style-language/schema/raw/master/csl-citation.json" }</w:instrText>
      </w:r>
      <w:r w:rsidR="007E0A51" w:rsidRPr="003E78D5">
        <w:rPr>
          <w:rFonts w:ascii="Times New Roman" w:hAnsi="Times New Roman" w:cs="Times New Roman"/>
          <w:sz w:val="24"/>
          <w:szCs w:val="24"/>
          <w:lang w:val="en-US"/>
        </w:rPr>
        <w:fldChar w:fldCharType="separate"/>
      </w:r>
      <w:r w:rsidR="007E0A51" w:rsidRPr="003E78D5">
        <w:rPr>
          <w:rFonts w:ascii="Times New Roman" w:hAnsi="Times New Roman" w:cs="Times New Roman"/>
          <w:noProof/>
          <w:sz w:val="24"/>
          <w:szCs w:val="24"/>
          <w:lang w:val="en-US"/>
        </w:rPr>
        <w:t>Robert and Casella (1999)</w:t>
      </w:r>
      <w:r w:rsidR="007E0A51" w:rsidRPr="003E78D5">
        <w:rPr>
          <w:rFonts w:ascii="Times New Roman" w:hAnsi="Times New Roman" w:cs="Times New Roman"/>
          <w:sz w:val="24"/>
          <w:szCs w:val="24"/>
          <w:lang w:val="en-US"/>
        </w:rPr>
        <w:fldChar w:fldCharType="end"/>
      </w:r>
      <w:r w:rsidR="007E0A51" w:rsidRPr="003E78D5">
        <w:rPr>
          <w:rFonts w:ascii="Times New Roman" w:hAnsi="Times New Roman" w:cs="Times New Roman"/>
          <w:sz w:val="24"/>
          <w:szCs w:val="24"/>
          <w:lang w:val="en-US"/>
        </w:rPr>
        <w:t xml:space="preserve">. </w:t>
      </w:r>
      <w:r w:rsidR="00CA2AC9" w:rsidRPr="003E78D5">
        <w:rPr>
          <w:rFonts w:ascii="Times New Roman" w:hAnsi="Times New Roman" w:cs="Times New Roman"/>
          <w:sz w:val="24"/>
          <w:szCs w:val="24"/>
          <w:lang w:val="en-US"/>
        </w:rPr>
        <w:t>Other</w:t>
      </w:r>
      <w:r w:rsidRPr="003E78D5">
        <w:rPr>
          <w:rFonts w:ascii="Times New Roman" w:hAnsi="Times New Roman" w:cs="Times New Roman"/>
          <w:sz w:val="24"/>
          <w:szCs w:val="24"/>
          <w:lang w:val="en-US"/>
        </w:rPr>
        <w:t xml:space="preserve"> models </w:t>
      </w:r>
      <w:r w:rsidR="00CA2AC9" w:rsidRPr="003E78D5">
        <w:rPr>
          <w:rFonts w:ascii="Times New Roman" w:hAnsi="Times New Roman" w:cs="Times New Roman"/>
          <w:sz w:val="24"/>
          <w:szCs w:val="24"/>
          <w:lang w:val="en-US"/>
        </w:rPr>
        <w:t xml:space="preserve">that involve latent state variables </w:t>
      </w:r>
      <w:r w:rsidRPr="003E78D5">
        <w:rPr>
          <w:rFonts w:ascii="Times New Roman" w:hAnsi="Times New Roman" w:cs="Times New Roman"/>
          <w:sz w:val="24"/>
          <w:szCs w:val="24"/>
          <w:lang w:val="en-US"/>
        </w:rPr>
        <w:t>are estimated by</w:t>
      </w:r>
      <w:r w:rsidR="00407671" w:rsidRPr="003E78D5">
        <w:rPr>
          <w:rFonts w:ascii="Times New Roman" w:hAnsi="Times New Roman" w:cs="Times New Roman"/>
          <w:sz w:val="24"/>
          <w:szCs w:val="24"/>
          <w:lang w:val="en-US"/>
        </w:rPr>
        <w:t xml:space="preserve"> </w:t>
      </w:r>
      <w:r w:rsidR="00407671"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"ISSN" : "03044076", "abstract" : "The basic univariate stochastic volatility model specifies that conditional volatility follows a log-normal auto-regressive model with innovations assumed to be independent of the innovations in the conditional mean equation. Since the introduction of practical methods for inference in the basic volatility model (J. Business Econom. Statist. 12(4) 371), it has been observed that the basic model is too restrictive for many financial series. We extend the basic SVOL to allow for a so-called \"leverage effect\" via correlation between the volatility and mean innovations, and for fat-tails in the mean equation innovation. A Bayesian Markov Chain Monte Carlo algorithm is developed for the extended volatility model. Thus far, likelihood-based inference for the correlated SVOL model has not appeared in the literature. We develop Bayes Factors to assess the importance of the leverage and fat-tail extensions. Sampling experiments reveal little loss in precision from adding the model extensions but a large loss from using the basic model in the presence of misspecification. There is overwhelming evidence of a leverage effect for weekly and daily equity indices. The evidence in favor of fat-tails is very strong for daily exchange rate and equity indices, but less so for weekly data. We also find that volatility estimates from the extended model are markedly different from those produced by the basic SVOL. [ABSTRACT FROM AUTHOR]", "author" : [ { "dropping-particle" : "", "family" : "Jacquier", "given" : "Eric", "non-dropping-particle" : "", "parse-names" : false, "suffix" : "" }, { "dropping-particle" : "", "family" : "Polson", "given" : "Nicholas G.", "non-dropping-particle" : "", "parse-names" : false, "suffix" : "" }, { "dropping-particle" : "", "family" : "Rossi", "given" : "Peter E.", "non-dropping-particle" : "", "parse-names" : false, "suffix" : "" } ], "container-title" : "Journal of Econometrics", "id" : "ITEM-1", "issue" : "1", "issued" : { "date-parts" : [ [ "2004", "9" ] ] }, "note" : "Accession Number: 14002181; Jacquier, Eric 1; Email Address: eric.jacquier@hec.ca; Polson, Nicholas G. 2; Rossi, Peter E. 2; Affiliations: 1: CIRANO, HEC Montr\u00e9al, 3000 Cote Sainte-Catherine, Montr\u00e9al, Canada PQ H4A 3L4.; 2: University of Chicago Graduate School of Business, 1101 East 58th Street, Chicago, IL 60637, USA.; Issue Info: Sep2004, Vol. 122 Issue 1, p185; Thesaurus Term: FOREIGN exchange rates; Thesaurus Term: MARKOV processes; Thesaurus Term: REGRESSION analysis; Thesaurus Term: MONTE Carlo method; Thesaurus Term: RISK; Thesaurus Term: VOLATILITY (Finance); Author-Supplied Keyword: Bayes factor; Author-Supplied Keyword: Fat-tails; Author-Supplied Keyword: GARCH; Author-Supplied Keyword: Gibbs; Author-Supplied Keyword: Leverage effect; Author-Supplied Keyword: MCMC; Author-Supplied Keyword: Metropolis; Author-Supplied Keyword: Stochastic volatility; Number of Pages: 28p; Document Type: Article", "page" : "185-212", "title" : "Bayesian analysis of stochastic volatility models with fat tails and correlated errors", "type" : "article-journal", "volume" : "122" }, "uris" : [ "http://www.mendeley.com/documents/?uuid=d940197c-9a2c-4295-91dd-64f675b9aa41" ] } ], "mendeley" : { "formattedCitation" : "Jacquier, Polson, and Rossi (2004)", "plainTextFormattedCitation" : "Jacquier, Polson, and Rossi (2004)", "previouslyFormattedCitation" : "Jacquier, Polson, and Rossi (2004)" }, "properties" : {  }, "schema" : "https://github.com/citation-style-language/schema/raw/master/csl-citation.json" }</w:instrText>
      </w:r>
      <w:r w:rsidR="00407671" w:rsidRPr="003E78D5">
        <w:rPr>
          <w:rFonts w:ascii="Times New Roman" w:hAnsi="Times New Roman" w:cs="Times New Roman"/>
          <w:sz w:val="24"/>
          <w:szCs w:val="24"/>
          <w:lang w:val="en-US"/>
        </w:rPr>
        <w:fldChar w:fldCharType="separate"/>
      </w:r>
      <w:r w:rsidR="00407671" w:rsidRPr="003E78D5">
        <w:rPr>
          <w:rFonts w:ascii="Times New Roman" w:hAnsi="Times New Roman" w:cs="Times New Roman"/>
          <w:noProof/>
          <w:sz w:val="24"/>
          <w:szCs w:val="24"/>
          <w:lang w:val="en-US"/>
        </w:rPr>
        <w:t>Jacquier, Polson, and Rossi (2004)</w:t>
      </w:r>
      <w:r w:rsidR="00407671" w:rsidRPr="003E78D5">
        <w:rPr>
          <w:rFonts w:ascii="Times New Roman" w:hAnsi="Times New Roman" w:cs="Times New Roman"/>
          <w:sz w:val="24"/>
          <w:szCs w:val="24"/>
          <w:lang w:val="en-US"/>
        </w:rPr>
        <w:fldChar w:fldCharType="end"/>
      </w:r>
      <w:r w:rsidR="00407671" w:rsidRPr="003E78D5">
        <w:rPr>
          <w:rFonts w:ascii="Times New Roman" w:hAnsi="Times New Roman" w:cs="Times New Roman"/>
          <w:sz w:val="24"/>
          <w:szCs w:val="24"/>
          <w:lang w:val="en-US"/>
        </w:rPr>
        <w:t xml:space="preserve">, and </w:t>
      </w:r>
      <w:r w:rsidR="00407671"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"DOI" : "10.1016/j.jempfin.2005.12.001", "ISSN" : "09275398", "abstract" : "Abstract: A conditional one-factor model can account for the spread in the average returns of portfolios sorted by book-to-market ratios over the long run from 1926 to 2001. In contrast, earlier studies document strong evidence of a book-to-market effect using OLS regressions over post-1963 data. However, the betas of portfolios sorted by book-to-market ratios vary over time and in the presence of time-varying factor loadings, OLS inference produces inconsistent estimates of conditional alphas and betas. We show that under a conditional CAPM with time-varying betas, predictable market risk premia, and stochastic systematic volatility, there is little evidence that the conditional alpha for a book-to-market trading strategy is different from zero. [Copyright &amp;y&amp; Elsevier]", "author" : [ { "dropping-particle" : "", "family" : "Ang", "given" : "Andrew", "non-dropping-particle" : "", "parse-names" : false, "suffix" : "" }, { "dropping-particle" : "", "family" : "Chen", "given" : "Joseph", "non-dropping-particle" : "", "parse-names" : false, "suffix" : "" } ], "container-title" : "Journal of Empirical Finance", "id" : "ITEM-1", "issue" : "1", "issued" : { "date-parts" : [ [ "2007", "1" ] ] }, "note" : "From Duplicate 1 ( CAPM over the long run: 1926\u20132001 - Ang, Andrew; Chen, Joseph )\n\n\n\nFrom Duplicate 2 ( CAPM over the long run: 1926\u20132001. - Ang, Andrew; Chen, Joseph )\n\nAccession Number: 23807131; Ang, Andrew 1,2; Email Address: http://www.columbia.edu/~aa610; Chen, Joseph 3; Email Address: http://www-rcf.usc.edu/~josephsc; Affiliations: 1: Columbia Business School, Columbia University, 805 Uris Hall, 3022 Broadway, New York, NY 10027, United States; 2: NBER, United States; 3: Marshall School of Business at University of Southern California, 701 Exposition Blvd., Hoffman Hall 701, Los Angeles, CA 90089-1427, United States; Issue Info: Jan2007, Vol. 14 Issue 1, p1; Thesaurus Term: STOCHASTIC analysis; Thesaurus Term: CAPITAL assets pricing model; Thesaurus Term: BETA (Finance); Thesaurus Term: MATHEMATICAL analysis; Number of Pages: 40p; Document Type: Article", "page" : "1-40", "title" : "CAPM over the long run: 1926\u20132001", "type" : "article-journal", "volume" : "14" }, "uris" : [ "http://www.mendeley.com/documents/?uuid=433f8401-c3b3-4f31-9ddc-9e4e0d5f9c66" ] } ], "mendeley" : { "formattedCitation" : "Ang and Chen (2007)", "plainTextFormattedCitation" : "Ang and Chen (2007)", "previouslyFormattedCitation" : "Ang and Chen (2007)" }, "properties" : {  }, "schema" : "https://github.com/citation-style-language/schema/raw/master/csl-citation.json" }</w:instrText>
      </w:r>
      <w:r w:rsidR="00407671" w:rsidRPr="003E78D5">
        <w:rPr>
          <w:rFonts w:ascii="Times New Roman" w:hAnsi="Times New Roman" w:cs="Times New Roman"/>
          <w:sz w:val="24"/>
          <w:szCs w:val="24"/>
          <w:lang w:val="en-US"/>
        </w:rPr>
        <w:fldChar w:fldCharType="separate"/>
      </w:r>
      <w:r w:rsidR="00407671" w:rsidRPr="003E78D5">
        <w:rPr>
          <w:rFonts w:ascii="Times New Roman" w:hAnsi="Times New Roman" w:cs="Times New Roman"/>
          <w:noProof/>
          <w:sz w:val="24"/>
          <w:szCs w:val="24"/>
          <w:lang w:val="en-US"/>
        </w:rPr>
        <w:t>Ang and Chen (2007)</w:t>
      </w:r>
      <w:r w:rsidR="00407671" w:rsidRPr="003E78D5">
        <w:rPr>
          <w:rFonts w:ascii="Times New Roman" w:hAnsi="Times New Roman" w:cs="Times New Roman"/>
          <w:sz w:val="24"/>
          <w:szCs w:val="24"/>
          <w:lang w:val="en-US"/>
        </w:rPr>
        <w:fldChar w:fldCharType="end"/>
      </w:r>
      <w:r w:rsidRPr="003E78D5">
        <w:rPr>
          <w:rFonts w:ascii="Times New Roman" w:hAnsi="Times New Roman" w:cs="Times New Roman"/>
          <w:sz w:val="24"/>
          <w:szCs w:val="24"/>
          <w:lang w:val="en-US"/>
        </w:rPr>
        <w:t xml:space="preserve">. These papers are able to directly use observable returns. In contrast, we use nonlinear NPV equations to infer returns. </w: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In each of our estimations, we use a burn-in period of 5,000 draws and sample for 20,000 draws to produce the posterior distributions of latent state variables and parameters. With this large number of sampling, our estimation converges in </w:t>
      </w:r>
      <w:r w:rsidR="00CA2AC9" w:rsidRPr="003E78D5">
        <w:rPr>
          <w:rFonts w:ascii="Times New Roman" w:hAnsi="Times New Roman" w:cs="Times New Roman"/>
          <w:sz w:val="24"/>
          <w:szCs w:val="24"/>
          <w:lang w:val="en-US"/>
        </w:rPr>
        <w:t>the</w:t>
      </w:r>
      <w:r w:rsidRPr="003E78D5">
        <w:rPr>
          <w:rFonts w:ascii="Times New Roman" w:hAnsi="Times New Roman" w:cs="Times New Roman"/>
          <w:sz w:val="24"/>
          <w:szCs w:val="24"/>
          <w:lang w:val="en-US"/>
        </w:rPr>
        <w:t xml:space="preserve"> sense of passing the </w:t>
      </w:r>
      <w:r w:rsidR="00407671"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"author" : [ { "dropping-particle" : "", "family" : "Geweke", "given" : "John", "non-dropping-particle" : "", "parse-names" : false, "suffix" : "" } ], "container-title" : "Bayesian Statistics", "id" : "ITEM-1", "issued" : { "date-parts" : [ [ "1992" ] ] }, "page" : "169-193", "publisher" : "Oxford University Press, Oxford", "title" : "Evaluating the accuracy of sampling based approaches to calculating posterior moments", "type" : "chapter" }, "uris" : [ "http://www.mendeley.com/documents/?uuid=111f98e9-678b-4bd4-a3d6-25279bdc06a0" ] } ], "mendeley" : { "formattedCitation" : "Geweke (1992)", "plainTextFormattedCitation" : "Geweke (1992)", "previouslyFormattedCitation" : "Geweke (1992)" }, "properties" : {  }, "schema" : "https://github.com/citation-style-language/schema/raw/master/csl-citation.json" }</w:instrText>
      </w:r>
      <w:r w:rsidR="00407671" w:rsidRPr="003E78D5">
        <w:rPr>
          <w:rFonts w:ascii="Times New Roman" w:hAnsi="Times New Roman" w:cs="Times New Roman"/>
          <w:sz w:val="24"/>
          <w:szCs w:val="24"/>
          <w:lang w:val="en-US"/>
        </w:rPr>
        <w:fldChar w:fldCharType="separate"/>
      </w:r>
      <w:r w:rsidR="00407671" w:rsidRPr="003E78D5">
        <w:rPr>
          <w:rFonts w:ascii="Times New Roman" w:hAnsi="Times New Roman" w:cs="Times New Roman"/>
          <w:noProof/>
          <w:sz w:val="24"/>
          <w:szCs w:val="24"/>
          <w:lang w:val="en-US"/>
        </w:rPr>
        <w:t>Geweke (1992)</w:t>
      </w:r>
      <w:r w:rsidR="00407671" w:rsidRPr="003E78D5">
        <w:rPr>
          <w:rFonts w:ascii="Times New Roman" w:hAnsi="Times New Roman" w:cs="Times New Roman"/>
          <w:sz w:val="24"/>
          <w:szCs w:val="24"/>
          <w:lang w:val="en-US"/>
        </w:rPr>
        <w:fldChar w:fldCharType="end"/>
      </w:r>
      <w:r w:rsidR="00407671"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 xml:space="preserve">convergence test. </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The Gibbs sampler iterates over the following sets of states and parameters conditioned on other parameters and states variables, to converge to the posterior distribution of </w:t>
      </w:r>
      <w:r w:rsidR="007E0A51" w:rsidRPr="003E78D5">
        <w:rPr>
          <w:rFonts w:ascii="Times New Roman" w:hAnsi="Times New Roman" w:cs="Times New Roman"/>
          <w:position w:val="-12"/>
          <w:sz w:val="24"/>
          <w:szCs w:val="24"/>
          <w:lang w:val="en-US"/>
        </w:rPr>
        <w:object w:dxaOrig="1359" w:dyaOrig="380">
          <v:shape id="_x0000_i1031" type="#_x0000_t75" style="width:87.9pt;height:19.25pt" o:ole="">
            <v:imagedata r:id="rId20" o:title=""/>
          </v:shape>
          <o:OLEObject Type="Embed" ProgID="Equation.DSMT4" ShapeID="_x0000_i1031" DrawAspect="Content" ObjectID="_1583745842" r:id="rId21"/>
        </w:object>
      </w:r>
      <w:r w:rsidRPr="003E78D5">
        <w:rPr>
          <w:rFonts w:ascii="Times New Roman" w:hAnsi="Times New Roman" w:cs="Times New Roman"/>
          <w:sz w:val="24"/>
          <w:szCs w:val="24"/>
          <w:lang w:val="en-US"/>
        </w:rPr>
        <w:t>:</w:t>
      </w:r>
    </w:p>
    <w:p w:rsidR="006C4BD5" w:rsidRPr="003E78D5" w:rsidRDefault="006C4BD5" w:rsidP="003D2A0C">
      <w:pPr>
        <w:pStyle w:val="ListParagraph"/>
        <w:numPr>
          <w:ilvl w:val="0"/>
          <w:numId w:val="1"/>
        </w:numPr>
        <w:spacing w:after="0" w:line="360" w:lineRule="auto"/>
        <w:rPr>
          <w:rFonts w:ascii="Times New Roman" w:hAnsi="Times New Roman" w:cs="Times New Roman"/>
          <w:sz w:val="24"/>
          <w:szCs w:val="24"/>
        </w:rPr>
      </w:pPr>
      <w:r w:rsidRPr="003E78D5">
        <w:rPr>
          <w:rFonts w:ascii="Times New Roman" w:hAnsi="Times New Roman" w:cs="Times New Roman"/>
          <w:sz w:val="24"/>
          <w:szCs w:val="24"/>
        </w:rPr>
        <w:t xml:space="preserve">Private equity returns: </w:t>
      </w:r>
      <w:r w:rsidR="007E0A51" w:rsidRPr="003E78D5">
        <w:rPr>
          <w:rFonts w:ascii="Times New Roman" w:hAnsi="Times New Roman" w:cs="Times New Roman"/>
          <w:position w:val="-12"/>
          <w:sz w:val="24"/>
          <w:szCs w:val="24"/>
        </w:rPr>
        <w:object w:dxaOrig="1340" w:dyaOrig="380">
          <v:shape id="_x0000_i1032" type="#_x0000_t75" style="width:85.4pt;height:18.4pt" o:ole="">
            <v:imagedata r:id="rId22" o:title=""/>
          </v:shape>
          <o:OLEObject Type="Embed" ProgID="Equation.DSMT4" ShapeID="_x0000_i1032" DrawAspect="Content" ObjectID="_1583745843" r:id="rId23"/>
        </w:object>
      </w:r>
      <w:r w:rsidRPr="003E78D5">
        <w:rPr>
          <w:rFonts w:ascii="Times New Roman" w:hAnsi="Times New Roman" w:cs="Times New Roman"/>
          <w:sz w:val="24"/>
          <w:szCs w:val="24"/>
        </w:rPr>
        <w:t xml:space="preserve">, </w:t>
      </w:r>
    </w:p>
    <w:p w:rsidR="006C4BD5" w:rsidRPr="003E78D5" w:rsidRDefault="006C4BD5" w:rsidP="003D2A0C">
      <w:pPr>
        <w:pStyle w:val="ListParagraph"/>
        <w:numPr>
          <w:ilvl w:val="0"/>
          <w:numId w:val="1"/>
        </w:numPr>
        <w:spacing w:after="0" w:line="360" w:lineRule="auto"/>
        <w:rPr>
          <w:rFonts w:ascii="Times New Roman" w:hAnsi="Times New Roman" w:cs="Times New Roman"/>
          <w:sz w:val="24"/>
          <w:szCs w:val="24"/>
        </w:rPr>
      </w:pPr>
      <w:r w:rsidRPr="003E78D5">
        <w:rPr>
          <w:rFonts w:ascii="Times New Roman" w:hAnsi="Times New Roman" w:cs="Times New Roman"/>
          <w:sz w:val="24"/>
          <w:szCs w:val="24"/>
        </w:rPr>
        <w:t xml:space="preserve">Parameters of the </w:t>
      </w:r>
      <w:r w:rsidR="00CA2AC9" w:rsidRPr="003E78D5">
        <w:rPr>
          <w:rFonts w:ascii="Times New Roman" w:hAnsi="Times New Roman" w:cs="Times New Roman"/>
          <w:sz w:val="24"/>
          <w:szCs w:val="24"/>
        </w:rPr>
        <w:t>PE</w:t>
      </w:r>
      <w:r w:rsidRPr="003E78D5">
        <w:rPr>
          <w:rFonts w:ascii="Times New Roman" w:hAnsi="Times New Roman" w:cs="Times New Roman"/>
          <w:sz w:val="24"/>
          <w:szCs w:val="24"/>
        </w:rPr>
        <w:t xml:space="preserve">-specific return: </w:t>
      </w:r>
      <w:r w:rsidR="007E0A51" w:rsidRPr="003E78D5">
        <w:rPr>
          <w:rFonts w:ascii="Times New Roman" w:hAnsi="Times New Roman" w:cs="Times New Roman"/>
          <w:position w:val="-12"/>
          <w:sz w:val="24"/>
          <w:szCs w:val="24"/>
        </w:rPr>
        <w:object w:dxaOrig="2140" w:dyaOrig="380">
          <v:shape id="_x0000_i1033" type="#_x0000_t75" style="width:145.65pt;height:19.25pt" o:ole="">
            <v:imagedata r:id="rId24" o:title=""/>
          </v:shape>
          <o:OLEObject Type="Embed" ProgID="Equation.DSMT4" ShapeID="_x0000_i1033" DrawAspect="Content" ObjectID="_1583745844" r:id="rId25"/>
        </w:object>
      </w:r>
      <w:r w:rsidRPr="003E78D5">
        <w:rPr>
          <w:rFonts w:ascii="Times New Roman" w:hAnsi="Times New Roman" w:cs="Times New Roman"/>
          <w:sz w:val="24"/>
          <w:szCs w:val="24"/>
        </w:rPr>
        <w:t xml:space="preserve">, </w:t>
      </w:r>
    </w:p>
    <w:p w:rsidR="006C4BD5" w:rsidRPr="003E78D5" w:rsidRDefault="006C4BD5" w:rsidP="003D2A0C">
      <w:pPr>
        <w:pStyle w:val="ListParagraph"/>
        <w:numPr>
          <w:ilvl w:val="0"/>
          <w:numId w:val="1"/>
        </w:numPr>
        <w:spacing w:after="0" w:line="360" w:lineRule="auto"/>
        <w:rPr>
          <w:rFonts w:ascii="Times New Roman" w:hAnsi="Times New Roman" w:cs="Times New Roman"/>
          <w:sz w:val="24"/>
          <w:szCs w:val="24"/>
        </w:rPr>
      </w:pPr>
      <w:r w:rsidRPr="003E78D5">
        <w:rPr>
          <w:rFonts w:ascii="Times New Roman" w:hAnsi="Times New Roman" w:cs="Times New Roman"/>
          <w:sz w:val="24"/>
          <w:szCs w:val="24"/>
        </w:rPr>
        <w:t xml:space="preserve">Standard deviation of the </w:t>
      </w:r>
      <w:r w:rsidR="00CA2AC9" w:rsidRPr="003E78D5">
        <w:rPr>
          <w:rFonts w:ascii="Times New Roman" w:hAnsi="Times New Roman" w:cs="Times New Roman"/>
          <w:sz w:val="24"/>
          <w:szCs w:val="24"/>
        </w:rPr>
        <w:t>PE return</w:t>
      </w:r>
      <w:r w:rsidRPr="003E78D5">
        <w:rPr>
          <w:rFonts w:ascii="Times New Roman" w:hAnsi="Times New Roman" w:cs="Times New Roman"/>
          <w:sz w:val="24"/>
          <w:szCs w:val="24"/>
        </w:rPr>
        <w:t xml:space="preserve"> shocks: </w:t>
      </w:r>
      <w:r w:rsidR="007E0A51" w:rsidRPr="003E78D5">
        <w:rPr>
          <w:rFonts w:ascii="Times New Roman" w:hAnsi="Times New Roman" w:cs="Times New Roman"/>
          <w:position w:val="-14"/>
          <w:sz w:val="24"/>
          <w:szCs w:val="24"/>
        </w:rPr>
        <w:object w:dxaOrig="1780" w:dyaOrig="400">
          <v:shape id="_x0000_i1034" type="#_x0000_t75" style="width:80.35pt;height:20.1pt" o:ole="">
            <v:imagedata r:id="rId26" o:title=""/>
          </v:shape>
          <o:OLEObject Type="Embed" ProgID="Equation.DSMT4" ShapeID="_x0000_i1034" DrawAspect="Content" ObjectID="_1583745845" r:id="rId27"/>
        </w:object>
      </w:r>
      <w:r w:rsidRPr="003E78D5">
        <w:rPr>
          <w:rFonts w:ascii="Times New Roman" w:hAnsi="Times New Roman" w:cs="Times New Roman"/>
          <w:sz w:val="24"/>
          <w:szCs w:val="24"/>
        </w:rPr>
        <w:t xml:space="preserve">, and </w:t>
      </w:r>
    </w:p>
    <w:p w:rsidR="006C4BD5" w:rsidRPr="003E78D5" w:rsidRDefault="006C4BD5" w:rsidP="003D2A0C">
      <w:pPr>
        <w:pStyle w:val="ListParagraph"/>
        <w:numPr>
          <w:ilvl w:val="0"/>
          <w:numId w:val="1"/>
        </w:numPr>
        <w:spacing w:after="0" w:line="360" w:lineRule="auto"/>
        <w:rPr>
          <w:rFonts w:ascii="Times New Roman" w:hAnsi="Times New Roman" w:cs="Times New Roman"/>
          <w:sz w:val="24"/>
          <w:szCs w:val="24"/>
        </w:rPr>
      </w:pPr>
      <w:r w:rsidRPr="003E78D5">
        <w:rPr>
          <w:rFonts w:ascii="Times New Roman" w:hAnsi="Times New Roman" w:cs="Times New Roman"/>
          <w:sz w:val="24"/>
          <w:szCs w:val="24"/>
        </w:rPr>
        <w:t xml:space="preserve">Standard deviation of likelihood errors: </w:t>
      </w:r>
      <w:r w:rsidR="007E0A51" w:rsidRPr="003E78D5">
        <w:rPr>
          <w:rFonts w:ascii="Times New Roman" w:hAnsi="Times New Roman" w:cs="Times New Roman"/>
          <w:position w:val="-12"/>
          <w:sz w:val="24"/>
          <w:szCs w:val="24"/>
        </w:rPr>
        <w:object w:dxaOrig="1680" w:dyaOrig="380">
          <v:shape id="_x0000_i1035" type="#_x0000_t75" style="width:106.35pt;height:17.6pt" o:ole="">
            <v:imagedata r:id="rId28" o:title=""/>
          </v:shape>
          <o:OLEObject Type="Embed" ProgID="Equation.DSMT4" ShapeID="_x0000_i1035" DrawAspect="Content" ObjectID="_1583745846" r:id="rId29"/>
        </w:object>
      </w:r>
      <w:r w:rsidR="00CA2AC9" w:rsidRPr="003E78D5">
        <w:rPr>
          <w:rFonts w:ascii="Times New Roman" w:hAnsi="Times New Roman" w:cs="Times New Roman"/>
          <w:sz w:val="24"/>
          <w:szCs w:val="24"/>
        </w:rPr>
        <w:t>.</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discuss </w:t>
      </w:r>
      <w:r w:rsidR="00CA2AC9" w:rsidRPr="003E78D5">
        <w:rPr>
          <w:rFonts w:ascii="Times New Roman" w:hAnsi="Times New Roman" w:cs="Times New Roman"/>
          <w:sz w:val="24"/>
          <w:szCs w:val="24"/>
          <w:lang w:val="en-US"/>
        </w:rPr>
        <w:t>the four sets of state variables and parameters</w:t>
      </w:r>
      <w:r w:rsidRPr="003E78D5">
        <w:rPr>
          <w:rFonts w:ascii="Times New Roman" w:hAnsi="Times New Roman" w:cs="Times New Roman"/>
          <w:sz w:val="24"/>
          <w:szCs w:val="24"/>
          <w:lang w:val="en-US"/>
        </w:rPr>
        <w:t xml:space="preserve"> in turn below. </w:t>
      </w:r>
    </w:p>
    <w:p w:rsidR="006C4BD5" w:rsidRPr="003E78D5" w:rsidRDefault="00CA2AC9" w:rsidP="003D2A0C">
      <w:pPr>
        <w:spacing w:after="0" w:line="360" w:lineRule="auto"/>
        <w:rPr>
          <w:rFonts w:ascii="Times New Roman" w:hAnsi="Times New Roman" w:cs="Times New Roman"/>
          <w:i/>
          <w:sz w:val="24"/>
          <w:szCs w:val="24"/>
          <w:lang w:val="en-US"/>
        </w:rPr>
      </w:pPr>
      <w:r w:rsidRPr="003E78D5">
        <w:rPr>
          <w:rFonts w:ascii="Times New Roman" w:hAnsi="Times New Roman" w:cs="Times New Roman"/>
          <w:i/>
          <w:sz w:val="24"/>
          <w:szCs w:val="24"/>
          <w:lang w:val="en-US"/>
        </w:rPr>
        <w:t>Private E</w:t>
      </w:r>
      <w:r w:rsidR="006C4BD5" w:rsidRPr="003E78D5">
        <w:rPr>
          <w:rFonts w:ascii="Times New Roman" w:hAnsi="Times New Roman" w:cs="Times New Roman"/>
          <w:i/>
          <w:sz w:val="24"/>
          <w:szCs w:val="24"/>
          <w:lang w:val="en-US"/>
        </w:rPr>
        <w:t>quity</w:t>
      </w:r>
      <w:r w:rsidRPr="003E78D5">
        <w:rPr>
          <w:rFonts w:ascii="Times New Roman" w:hAnsi="Times New Roman" w:cs="Times New Roman"/>
          <w:i/>
          <w:sz w:val="24"/>
          <w:szCs w:val="24"/>
          <w:lang w:val="en-US"/>
        </w:rPr>
        <w:t xml:space="preserve"> R</w:t>
      </w:r>
      <w:r w:rsidR="006C4BD5" w:rsidRPr="003E78D5">
        <w:rPr>
          <w:rFonts w:ascii="Times New Roman" w:hAnsi="Times New Roman" w:cs="Times New Roman"/>
          <w:i/>
          <w:sz w:val="24"/>
          <w:szCs w:val="24"/>
          <w:lang w:val="en-US"/>
        </w:rPr>
        <w:t xml:space="preserve">eturns, </w:t>
      </w:r>
      <w:r w:rsidR="007E0A51" w:rsidRPr="003E78D5">
        <w:rPr>
          <w:rFonts w:ascii="Times New Roman" w:hAnsi="Times New Roman" w:cs="Times New Roman"/>
          <w:position w:val="-12"/>
          <w:sz w:val="24"/>
          <w:szCs w:val="24"/>
          <w:lang w:val="en-US"/>
        </w:rPr>
        <w:object w:dxaOrig="1340" w:dyaOrig="380">
          <v:shape id="_x0000_i1036" type="#_x0000_t75" style="width:82.9pt;height:18.4pt" o:ole="">
            <v:imagedata r:id="rId30" o:title=""/>
          </v:shape>
          <o:OLEObject Type="Embed" ProgID="Equation.DSMT4" ShapeID="_x0000_i1036" DrawAspect="Content" ObjectID="_1583745847" r:id="rId31"/>
        </w:object>
      </w:r>
      <w:r w:rsidR="006C4BD5" w:rsidRPr="003E78D5">
        <w:rPr>
          <w:rFonts w:ascii="Times New Roman" w:hAnsi="Times New Roman" w:cs="Times New Roman"/>
          <w:i/>
          <w:sz w:val="24"/>
          <w:szCs w:val="24"/>
          <w:lang w:val="en-US"/>
        </w:rPr>
        <w:t xml:space="preserve">  </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draw </w:t>
      </w:r>
      <w:r w:rsidR="007E0A51" w:rsidRPr="003E78D5">
        <w:rPr>
          <w:rFonts w:ascii="Times New Roman" w:hAnsi="Times New Roman" w:cs="Times New Roman"/>
          <w:position w:val="-12"/>
          <w:sz w:val="24"/>
          <w:szCs w:val="24"/>
          <w:lang w:val="en-US"/>
        </w:rPr>
        <w:object w:dxaOrig="300" w:dyaOrig="380">
          <v:shape id="_x0000_i1037" type="#_x0000_t75" style="width:18.4pt;height:18.4pt" o:ole="">
            <v:imagedata r:id="rId32" o:title=""/>
          </v:shape>
          <o:OLEObject Type="Embed" ProgID="Equation.DSMT4" ShapeID="_x0000_i1037" DrawAspect="Content" ObjectID="_1583745848" r:id="rId33"/>
        </w:object>
      </w:r>
      <w:r w:rsidRPr="003E78D5">
        <w:rPr>
          <w:rFonts w:ascii="Times New Roman" w:hAnsi="Times New Roman" w:cs="Times New Roman"/>
          <w:sz w:val="24"/>
          <w:szCs w:val="24"/>
          <w:lang w:val="en-US"/>
        </w:rPr>
        <w:t xml:space="preserve">  using </w:t>
      </w:r>
      <w:r w:rsidR="00CA2AC9" w:rsidRPr="003E78D5">
        <w:rPr>
          <w:rFonts w:ascii="Times New Roman" w:hAnsi="Times New Roman" w:cs="Times New Roman"/>
          <w:sz w:val="24"/>
          <w:szCs w:val="24"/>
          <w:lang w:val="en-US"/>
        </w:rPr>
        <w:t xml:space="preserve">a </w:t>
      </w:r>
      <w:r w:rsidRPr="003E78D5">
        <w:rPr>
          <w:rFonts w:ascii="Times New Roman" w:hAnsi="Times New Roman" w:cs="Times New Roman"/>
          <w:sz w:val="24"/>
          <w:szCs w:val="24"/>
          <w:lang w:val="en-US"/>
        </w:rPr>
        <w:t>single-state updating Metropolis-Hasting algorithm (see</w:t>
      </w:r>
      <w:r w:rsidR="00407671" w:rsidRPr="003E78D5">
        <w:rPr>
          <w:rFonts w:ascii="Times New Roman" w:hAnsi="Times New Roman" w:cs="Times New Roman"/>
          <w:sz w:val="24"/>
          <w:szCs w:val="24"/>
          <w:lang w:val="en-US"/>
        </w:rPr>
        <w:t xml:space="preserve"> </w:t>
      </w:r>
      <w:r w:rsidR="00407671" w:rsidRPr="003E78D5">
        <w:rPr>
          <w:rFonts w:ascii="Times New Roman" w:hAnsi="Times New Roman" w:cs="Times New Roman"/>
          <w:sz w:val="24"/>
          <w:szCs w:val="24"/>
          <w:lang w:val="en-US"/>
        </w:rPr>
        <w:fldChar w:fldCharType="begin" w:fldLock="1"/>
      </w:r>
      <w:r w:rsidR="007C0DDB" w:rsidRPr="003E78D5">
        <w:rPr>
          <w:rFonts w:ascii="Times New Roman" w:hAnsi="Times New Roman" w:cs="Times New Roman"/>
          <w:sz w:val="24"/>
          <w:szCs w:val="24"/>
          <w:lang w:val="en-US"/>
        </w:rPr>
        <w:instrText>ADDIN CSL_CITATION { "citationItems" : [ { "id" : "ITEM-1", "itemData" : { "ISSN" : "07350015", "abstract" : "New techniques for the analysis of stochastic volatility models in which the logarithm of conditional variance follows an autoregressive model are developed. A cyclic Metropolis algorithm is used to construct a Markov-chain simulation tool. Simulations from this Markov chain converge in distribution to draws from the posterior distribution enabling exact finite-sample inference. The exact solution to the filtering/smoothing problem of inferring about the unobserved variance states is a by-product of our Markov-chain method. In addition, multistep-ahead predictive densities can be constructed that reflect both inherent model variability, and parameter uncertainty. We illustrate our method by analyzing both daily and weekly data on stock returns and exchange rates. Sampling experiments are conducted to compare the performance of Bayes estimators to method of moments and quasi-maximum likelihood estimators proposed in the literature. In both parameter estimation and filtering, the Bayes estimators outperform these other approaches. [ABSTRACT FROM AUTHOR]", "author" : [ { "dropping-particle" : "", "family" : "Jacquier", "given" : "Eric", "non-dropping-particle" : "", "parse-names" : false, "suffix" : "" }, { "dropping-particle" : "", "family" : "Polson", "given" : "Nicholas G.", "non-dropping-particle" : "", "parse-names" : false, "suffix" : "" }, { "dropping-particle" : "", "family" : "Rossi", "given" : "Peter E.", "non-dropping-particle" : "", "parse-names" : false, "suffix" : "" } ], "container-title" : "Journal of Business &amp; Economic Statistics", "id" : "ITEM-1", "issue" : "4", "issued" : { "date-parts" : [ [ "1994", "10" ] ] }, "note" : "Accession Number: 9609225502; Jacquier, Eric 1; Polson, Nicholas G. 2; Rossi, Peter E. 2; Affiliations: 1: Johnson Graduate School of Management, Cornell University, Ithaca, NY 14853; 2: Graduate School of Business, University of Chicago, Chicago, IL 60637; Issue Info: Oct94, Vol. 12 Issue 4, p371; Thesaurus Term: BAYESIAN analysis; Thesaurus Term: STOCHASTIC analysis; Thesaurus Term: VOLATILITY (Finance); Thesaurus Term: MARKOV processes; Subject Term: LOGARITHMS; Author-Supplied Keyword: Bayesian inference; Author-Supplied Keyword: Markov-chain Monte Carlo; Author-Supplied Keyword: Method of moments; Author-Supplied Keyword: Nonlinear filtering; Author-Supplied Keyword: Qussi-maximum likelihood; Author-Supplied Keyword: Stochastic volatility; Number of Pages: 19p; Illustrations: 11 Charts, 13 Graphs; Document Type: Article; Full Text Word Count: 14885", "page" : "371-389", "title" : "Bayesian analysis of stochastic volatility models", "type" : "article-journal", "volume" : "12" }, "uris" : [ "http://www.mendeley.com/documents/?uuid=14a1f49d-bc80-4c45-8f97-52e4af075723" ] } ], "mendeley" : { "formattedCitation" : "Jacquier, Polson, and Rossi (1994)", "plainTextFormattedCitation" : "Jacquier, Polson, and Rossi (1994)", "previouslyFormattedCitation" : "Jacquier, Polson, and Rossi (1994)" }, "properties" : {  }, "schema" : "https://github.com/citation-style-language/schema/raw/master/csl-citation.json" }</w:instrText>
      </w:r>
      <w:r w:rsidR="00407671" w:rsidRPr="003E78D5">
        <w:rPr>
          <w:rFonts w:ascii="Times New Roman" w:hAnsi="Times New Roman" w:cs="Times New Roman"/>
          <w:sz w:val="24"/>
          <w:szCs w:val="24"/>
          <w:lang w:val="en-US"/>
        </w:rPr>
        <w:fldChar w:fldCharType="separate"/>
      </w:r>
      <w:r w:rsidR="00407671" w:rsidRPr="003E78D5">
        <w:rPr>
          <w:rFonts w:ascii="Times New Roman" w:hAnsi="Times New Roman" w:cs="Times New Roman"/>
          <w:noProof/>
          <w:sz w:val="24"/>
          <w:szCs w:val="24"/>
          <w:lang w:val="en-US"/>
        </w:rPr>
        <w:t>Jacquier, Polson, and Rossi (1994)</w:t>
      </w:r>
      <w:r w:rsidR="00407671" w:rsidRPr="003E78D5">
        <w:rPr>
          <w:rFonts w:ascii="Times New Roman" w:hAnsi="Times New Roman" w:cs="Times New Roman"/>
          <w:sz w:val="24"/>
          <w:szCs w:val="24"/>
          <w:lang w:val="en-US"/>
        </w:rPr>
        <w:fldChar w:fldCharType="end"/>
      </w:r>
      <w:r w:rsidR="00CA2AC9" w:rsidRPr="003E78D5">
        <w:rPr>
          <w:rFonts w:ascii="Times New Roman" w:hAnsi="Times New Roman" w:cs="Times New Roman"/>
          <w:sz w:val="24"/>
          <w:szCs w:val="24"/>
          <w:lang w:val="en-US"/>
        </w:rPr>
        <w:t>). For a single-</w:t>
      </w:r>
      <w:r w:rsidRPr="003E78D5">
        <w:rPr>
          <w:rFonts w:ascii="Times New Roman" w:hAnsi="Times New Roman" w:cs="Times New Roman"/>
          <w:sz w:val="24"/>
          <w:szCs w:val="24"/>
          <w:lang w:val="en-US"/>
        </w:rPr>
        <w:t>state update, the joint posterior is</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lastRenderedPageBreak/>
        <w:tab/>
      </w:r>
      <w:r w:rsidRPr="003E78D5">
        <w:rPr>
          <w:rFonts w:ascii="Times New Roman" w:hAnsi="Times New Roman" w:cs="Times New Roman"/>
          <w:position w:val="-72"/>
        </w:rPr>
        <w:object w:dxaOrig="5820" w:dyaOrig="1560">
          <v:shape id="_x0000_i1038" type="#_x0000_t75" style="width:4in;height:78.7pt" o:ole="">
            <v:imagedata r:id="rId34" o:title=""/>
          </v:shape>
          <o:OLEObject Type="Embed" ProgID="Equation.DSMT4" ShapeID="_x0000_i1038" DrawAspect="Content" ObjectID="_1583745849" r:id="rId35"/>
        </w:object>
      </w:r>
      <w:r w:rsidRPr="003E78D5">
        <w:rPr>
          <w:rFonts w:ascii="Times New Roman" w:hAnsi="Times New Roman" w:cs="Times New Roman"/>
        </w:rPr>
        <w:tab/>
      </w:r>
      <w:r w:rsidR="007E0A51" w:rsidRPr="003E78D5">
        <w:rPr>
          <w:rFonts w:ascii="Times New Roman" w:hAnsi="Times New Roman" w:cs="Times New Roman"/>
        </w:rPr>
        <w:t>(IA.4)</w: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We can go from the second to third line in 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A.4) because </w:t>
      </w:r>
      <w:r w:rsidR="007E0A51" w:rsidRPr="003E78D5">
        <w:rPr>
          <w:rFonts w:ascii="Times New Roman" w:hAnsi="Times New Roman" w:cs="Times New Roman"/>
          <w:position w:val="-12"/>
          <w:sz w:val="24"/>
          <w:szCs w:val="24"/>
          <w:lang w:val="en-US"/>
        </w:rPr>
        <w:object w:dxaOrig="300" w:dyaOrig="380">
          <v:shape id="_x0000_i1039" type="#_x0000_t75" style="width:20.95pt;height:20.95pt" o:ole="">
            <v:imagedata r:id="rId36" o:title=""/>
          </v:shape>
          <o:OLEObject Type="Embed" ProgID="Equation.DSMT4" ShapeID="_x0000_i1039" DrawAspect="Content" ObjectID="_1583745850" r:id="rId37"/>
        </w:object>
      </w:r>
      <w:r w:rsidRPr="003E78D5">
        <w:rPr>
          <w:rFonts w:ascii="Times New Roman" w:hAnsi="Times New Roman" w:cs="Times New Roman"/>
          <w:sz w:val="24"/>
          <w:szCs w:val="24"/>
          <w:lang w:val="en-US"/>
        </w:rPr>
        <w:t xml:space="preserve"> is Markov. In 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A.4), the distribution </w:t>
      </w:r>
      <w:r w:rsidR="007E0A51" w:rsidRPr="003E78D5">
        <w:rPr>
          <w:rFonts w:ascii="Times New Roman" w:hAnsi="Times New Roman" w:cs="Times New Roman"/>
          <w:position w:val="-12"/>
          <w:sz w:val="24"/>
          <w:szCs w:val="24"/>
          <w:lang w:val="en-US"/>
        </w:rPr>
        <w:object w:dxaOrig="1520" w:dyaOrig="380">
          <v:shape id="_x0000_i1040" type="#_x0000_t75" style="width:99.65pt;height:18.4pt" o:ole="">
            <v:imagedata r:id="rId38" o:title=""/>
          </v:shape>
          <o:OLEObject Type="Embed" ProgID="Equation.DSMT4" ShapeID="_x0000_i1040" DrawAspect="Content" ObjectID="_1583745851" r:id="rId39"/>
        </w:object>
      </w:r>
      <w:r w:rsidRPr="003E78D5">
        <w:rPr>
          <w:rFonts w:ascii="Times New Roman" w:hAnsi="Times New Roman" w:cs="Times New Roman"/>
          <w:sz w:val="24"/>
          <w:szCs w:val="24"/>
          <w:lang w:val="en-US"/>
        </w:rPr>
        <w:t xml:space="preserve"> is the likelihood function in 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A.2). The distribution</w:t>
      </w:r>
      <w:r w:rsidR="00CA2AC9" w:rsidRPr="003E78D5">
        <w:rPr>
          <w:rFonts w:ascii="Times New Roman" w:hAnsi="Times New Roman" w:cs="Times New Roman"/>
          <w:sz w:val="24"/>
          <w:szCs w:val="24"/>
          <w:lang w:val="en-US"/>
        </w:rPr>
        <w:t>s</w:t>
      </w:r>
      <w:r w:rsidRPr="003E78D5">
        <w:rPr>
          <w:rFonts w:ascii="Times New Roman" w:hAnsi="Times New Roman" w:cs="Times New Roman"/>
          <w:sz w:val="24"/>
          <w:szCs w:val="24"/>
          <w:lang w:val="en-US"/>
        </w:rPr>
        <w:t xml:space="preserve"> of </w:t>
      </w:r>
      <w:r w:rsidR="007E0A51" w:rsidRPr="003E78D5">
        <w:rPr>
          <w:rFonts w:ascii="Times New Roman" w:hAnsi="Times New Roman" w:cs="Times New Roman"/>
          <w:position w:val="-12"/>
          <w:sz w:val="24"/>
          <w:szCs w:val="24"/>
          <w:lang w:val="en-US"/>
        </w:rPr>
        <w:object w:dxaOrig="1579" w:dyaOrig="380">
          <v:shape id="_x0000_i1041" type="#_x0000_t75" style="width:103pt;height:18.4pt" o:ole="">
            <v:imagedata r:id="rId40" o:title=""/>
          </v:shape>
          <o:OLEObject Type="Embed" ProgID="Equation.DSMT4" ShapeID="_x0000_i1041" DrawAspect="Content" ObjectID="_1583745852" r:id="rId41"/>
        </w:object>
      </w:r>
      <w:r w:rsidRPr="003E78D5">
        <w:rPr>
          <w:rFonts w:ascii="Times New Roman" w:hAnsi="Times New Roman" w:cs="Times New Roman"/>
          <w:sz w:val="24"/>
          <w:szCs w:val="24"/>
          <w:lang w:val="en-US"/>
        </w:rPr>
        <w:t xml:space="preserve"> and </w:t>
      </w:r>
      <w:r w:rsidR="007E0A51" w:rsidRPr="003E78D5">
        <w:rPr>
          <w:rFonts w:ascii="Times New Roman" w:hAnsi="Times New Roman" w:cs="Times New Roman"/>
          <w:position w:val="-12"/>
          <w:sz w:val="24"/>
          <w:szCs w:val="24"/>
          <w:lang w:val="en-US"/>
        </w:rPr>
        <w:object w:dxaOrig="1579" w:dyaOrig="380">
          <v:shape id="_x0000_i1042" type="#_x0000_t75" style="width:93.75pt;height:16.75pt" o:ole="">
            <v:imagedata r:id="rId42" o:title=""/>
          </v:shape>
          <o:OLEObject Type="Embed" ProgID="Equation.DSMT4" ShapeID="_x0000_i1042" DrawAspect="Content" ObjectID="_1583745853" r:id="rId43"/>
        </w:object>
      </w:r>
      <w:r w:rsidRPr="003E78D5">
        <w:rPr>
          <w:rFonts w:ascii="Times New Roman" w:hAnsi="Times New Roman" w:cs="Times New Roman"/>
          <w:sz w:val="24"/>
          <w:szCs w:val="24"/>
          <w:lang w:val="en-US"/>
        </w:rPr>
        <w:t xml:space="preserve"> are implied by the dynamics of </w:t>
      </w:r>
      <w:r w:rsidR="007E0A51" w:rsidRPr="003E78D5">
        <w:rPr>
          <w:rFonts w:ascii="Times New Roman" w:hAnsi="Times New Roman" w:cs="Times New Roman"/>
          <w:position w:val="-12"/>
          <w:sz w:val="24"/>
          <w:szCs w:val="24"/>
          <w:lang w:val="en-US"/>
        </w:rPr>
        <w:object w:dxaOrig="300" w:dyaOrig="380">
          <v:shape id="_x0000_i1043" type="#_x0000_t75" style="width:19.25pt;height:19.25pt" o:ole="">
            <v:imagedata r:id="rId44" o:title=""/>
          </v:shape>
          <o:OLEObject Type="Embed" ProgID="Equation.DSMT4" ShapeID="_x0000_i1043" DrawAspect="Content" ObjectID="_1583745854" r:id="rId45"/>
        </w:object>
      </w:r>
      <w:r w:rsidRPr="003E78D5">
        <w:rPr>
          <w:rFonts w:ascii="Times New Roman" w:hAnsi="Times New Roman" w:cs="Times New Roman"/>
          <w:sz w:val="24"/>
          <w:szCs w:val="24"/>
          <w:lang w:val="en-US"/>
        </w:rPr>
        <w:t xml:space="preserve"> in equation (</w:t>
      </w:r>
      <w:r w:rsidR="007E0A51" w:rsidRPr="003E78D5">
        <w:rPr>
          <w:rFonts w:ascii="Times New Roman" w:hAnsi="Times New Roman" w:cs="Times New Roman"/>
          <w:sz w:val="24"/>
          <w:szCs w:val="24"/>
          <w:lang w:val="en-US"/>
        </w:rPr>
        <w:t>I</w:t>
      </w:r>
      <w:r w:rsidR="00CA2AC9" w:rsidRPr="003E78D5">
        <w:rPr>
          <w:rFonts w:ascii="Times New Roman" w:hAnsi="Times New Roman" w:cs="Times New Roman"/>
          <w:sz w:val="24"/>
          <w:szCs w:val="24"/>
          <w:lang w:val="en-US"/>
        </w:rPr>
        <w:t>A.1), and they can be expressed as</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76"/>
        </w:rPr>
        <w:object w:dxaOrig="6480" w:dyaOrig="1640">
          <v:shape id="_x0000_i1044" type="#_x0000_t75" style="width:324pt;height:86.25pt" o:ole="">
            <v:imagedata r:id="rId46" o:title=""/>
          </v:shape>
          <o:OLEObject Type="Embed" ProgID="Equation.DSMT4" ShapeID="_x0000_i1044" DrawAspect="Content" ObjectID="_1583745855" r:id="rId47"/>
        </w:object>
      </w:r>
      <w:r w:rsidRPr="003E78D5">
        <w:rPr>
          <w:rFonts w:ascii="Times New Roman" w:hAnsi="Times New Roman" w:cs="Times New Roman"/>
        </w:rPr>
        <w:tab/>
      </w:r>
      <w:r w:rsidR="007E0A51" w:rsidRPr="003E78D5">
        <w:rPr>
          <w:rFonts w:ascii="Times New Roman" w:hAnsi="Times New Roman" w:cs="Times New Roman"/>
        </w:rPr>
        <w:t>(IA.5)</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Collecting terms and completing the squares, we obtain</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34"/>
        </w:rPr>
        <w:object w:dxaOrig="6680" w:dyaOrig="800">
          <v:shape id="_x0000_i1045" type="#_x0000_t75" style="width:332.35pt;height:42.7pt" o:ole="">
            <v:imagedata r:id="rId48" o:title=""/>
          </v:shape>
          <o:OLEObject Type="Embed" ProgID="Equation.DSMT4" ShapeID="_x0000_i1045" DrawAspect="Content" ObjectID="_1583745856" r:id="rId49"/>
        </w:object>
      </w:r>
      <w:r w:rsidRPr="003E78D5">
        <w:rPr>
          <w:rFonts w:ascii="Times New Roman" w:hAnsi="Times New Roman" w:cs="Times New Roman"/>
        </w:rPr>
        <w:tab/>
      </w:r>
      <w:r w:rsidR="007E0A51" w:rsidRPr="003E78D5">
        <w:rPr>
          <w:rFonts w:ascii="Times New Roman" w:hAnsi="Times New Roman" w:cs="Times New Roman"/>
        </w:rPr>
        <w:t>(IA.6)</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where</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28"/>
        </w:rPr>
        <w:object w:dxaOrig="5600" w:dyaOrig="700">
          <v:shape id="_x0000_i1046" type="#_x0000_t75" style="width:281.3pt;height:36pt" o:ole="">
            <v:imagedata r:id="rId50" o:title=""/>
          </v:shape>
          <o:OLEObject Type="Embed" ProgID="Equation.DSMT4" ShapeID="_x0000_i1046" DrawAspect="Content" ObjectID="_1583745857" r:id="rId51"/>
        </w:object>
      </w:r>
      <w:r w:rsidRPr="003E78D5">
        <w:rPr>
          <w:rFonts w:ascii="Times New Roman" w:hAnsi="Times New Roman" w:cs="Times New Roman"/>
        </w:rPr>
        <w:tab/>
      </w:r>
      <w:r w:rsidR="007E0A51" w:rsidRPr="003E78D5">
        <w:rPr>
          <w:rFonts w:ascii="Times New Roman" w:hAnsi="Times New Roman" w:cs="Times New Roman"/>
        </w:rPr>
        <w:t>(IA.7)</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For the prior of </w:t>
      </w:r>
      <w:r w:rsidR="007E0A51" w:rsidRPr="003E78D5">
        <w:rPr>
          <w:rFonts w:ascii="Times New Roman" w:hAnsi="Times New Roman" w:cs="Times New Roman"/>
          <w:position w:val="-12"/>
          <w:sz w:val="24"/>
          <w:szCs w:val="24"/>
          <w:lang w:val="en-US"/>
        </w:rPr>
        <w:object w:dxaOrig="300" w:dyaOrig="380">
          <v:shape id="_x0000_i1047" type="#_x0000_t75" style="width:20.1pt;height:20.1pt" o:ole="">
            <v:imagedata r:id="rId44" o:title=""/>
          </v:shape>
          <o:OLEObject Type="Embed" ProgID="Equation.DSMT4" ShapeID="_x0000_i1047" DrawAspect="Content" ObjectID="_1583745858" r:id="rId52"/>
        </w:object>
      </w:r>
      <w:r w:rsidRPr="003E78D5">
        <w:rPr>
          <w:rFonts w:ascii="Times New Roman" w:hAnsi="Times New Roman" w:cs="Times New Roman"/>
          <w:sz w:val="24"/>
          <w:szCs w:val="24"/>
          <w:lang w:val="en-US"/>
        </w:rPr>
        <w:t xml:space="preserve">, we impose an uninformative prior, </w:t>
      </w:r>
      <w:r w:rsidR="007E0A51" w:rsidRPr="003E78D5">
        <w:rPr>
          <w:rFonts w:ascii="Times New Roman" w:hAnsi="Times New Roman" w:cs="Times New Roman"/>
          <w:position w:val="-12"/>
          <w:sz w:val="24"/>
          <w:szCs w:val="24"/>
          <w:lang w:val="en-US"/>
        </w:rPr>
        <w:object w:dxaOrig="980" w:dyaOrig="380">
          <v:shape id="_x0000_i1048" type="#_x0000_t75" style="width:64.45pt;height:18.4pt" o:ole="">
            <v:imagedata r:id="rId53" o:title=""/>
          </v:shape>
          <o:OLEObject Type="Embed" ProgID="Equation.DSMT4" ShapeID="_x0000_i1048" DrawAspect="Content" ObjectID="_1583745859" r:id="rId54"/>
        </w:object>
      </w:r>
      <w:r w:rsidRPr="003E78D5">
        <w:rPr>
          <w:rFonts w:ascii="Times New Roman" w:hAnsi="Times New Roman" w:cs="Times New Roman"/>
          <w:sz w:val="24"/>
          <w:szCs w:val="24"/>
          <w:lang w:val="en-US"/>
        </w:rPr>
        <w:t xml:space="preserve">. </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use a Metropolis-Hasting draw with proposal density </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34"/>
        </w:rPr>
        <w:object w:dxaOrig="3420" w:dyaOrig="800">
          <v:shape id="_x0000_i1049" type="#_x0000_t75" style="width:173.3pt;height:42.7pt" o:ole="">
            <v:imagedata r:id="rId55" o:title=""/>
          </v:shape>
          <o:OLEObject Type="Embed" ProgID="Equation.DSMT4" ShapeID="_x0000_i1049" DrawAspect="Content" ObjectID="_1583745860" r:id="rId56"/>
        </w:object>
      </w:r>
      <w:r w:rsidRPr="003E78D5">
        <w:rPr>
          <w:rFonts w:ascii="Times New Roman" w:hAnsi="Times New Roman" w:cs="Times New Roman"/>
        </w:rPr>
        <w:tab/>
      </w:r>
      <w:r w:rsidR="007E0A51" w:rsidRPr="003E78D5">
        <w:rPr>
          <w:rFonts w:ascii="Times New Roman" w:hAnsi="Times New Roman" w:cs="Times New Roman"/>
        </w:rPr>
        <w:t>(IA.8)</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The acceptance probability for the (</w:t>
      </w:r>
      <w:r w:rsidRPr="003E78D5">
        <w:rPr>
          <w:rFonts w:ascii="Times New Roman" w:hAnsi="Times New Roman" w:cs="Times New Roman"/>
          <w:i/>
          <w:sz w:val="24"/>
          <w:szCs w:val="24"/>
          <w:lang w:val="en-US"/>
        </w:rPr>
        <w:t>k+1)</w:t>
      </w:r>
      <w:r w:rsidRPr="003E78D5">
        <w:rPr>
          <w:rFonts w:ascii="Times New Roman" w:hAnsi="Times New Roman" w:cs="Times New Roman"/>
          <w:sz w:val="24"/>
          <w:szCs w:val="24"/>
          <w:lang w:val="en-US"/>
        </w:rPr>
        <w:t xml:space="preserve">-th draw, </w:t>
      </w:r>
      <w:r w:rsidRPr="003E78D5">
        <w:rPr>
          <w:rFonts w:ascii="Times New Roman" w:hAnsi="Times New Roman" w:cs="Times New Roman"/>
          <w:position w:val="-12"/>
          <w:sz w:val="24"/>
          <w:szCs w:val="24"/>
          <w:lang w:val="en-US"/>
        </w:rPr>
        <w:object w:dxaOrig="660" w:dyaOrig="380">
          <v:shape id="_x0000_i1050" type="#_x0000_t75" style="width:36pt;height:14.25pt" o:ole="">
            <v:imagedata r:id="rId57" o:title=""/>
          </v:shape>
          <o:OLEObject Type="Embed" ProgID="Equation.DSMT4" ShapeID="_x0000_i1050" DrawAspect="Content" ObjectID="_1583745861" r:id="rId58"/>
        </w:object>
      </w:r>
      <w:r w:rsidRPr="003E78D5">
        <w:rPr>
          <w:rFonts w:ascii="Times New Roman" w:hAnsi="Times New Roman" w:cs="Times New Roman"/>
          <w:sz w:val="24"/>
          <w:szCs w:val="24"/>
          <w:lang w:val="en-US"/>
        </w:rPr>
        <w:t>, is</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32"/>
        </w:rPr>
        <w:object w:dxaOrig="3159" w:dyaOrig="760">
          <v:shape id="_x0000_i1051" type="#_x0000_t75" style="width:158.25pt;height:36pt" o:ole="">
            <v:imagedata r:id="rId59" o:title=""/>
          </v:shape>
          <o:OLEObject Type="Embed" ProgID="Equation.DSMT4" ShapeID="_x0000_i1051" DrawAspect="Content" ObjectID="_1583745862" r:id="rId60"/>
        </w:object>
      </w:r>
      <w:r w:rsidRPr="003E78D5">
        <w:rPr>
          <w:rFonts w:ascii="Times New Roman" w:hAnsi="Times New Roman" w:cs="Times New Roman"/>
        </w:rPr>
        <w:tab/>
      </w:r>
      <w:r w:rsidR="007E0A51" w:rsidRPr="003E78D5">
        <w:rPr>
          <w:rFonts w:ascii="Times New Roman" w:hAnsi="Times New Roman" w:cs="Times New Roman"/>
        </w:rPr>
        <w:t>(IA.9)</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When drawing </w:t>
      </w:r>
      <w:r w:rsidR="007E0A51" w:rsidRPr="003E78D5">
        <w:rPr>
          <w:rFonts w:ascii="Times New Roman" w:hAnsi="Times New Roman" w:cs="Times New Roman"/>
          <w:position w:val="-12"/>
          <w:sz w:val="24"/>
          <w:szCs w:val="24"/>
          <w:lang w:val="en-US"/>
        </w:rPr>
        <w:object w:dxaOrig="300" w:dyaOrig="380">
          <v:shape id="_x0000_i1052" type="#_x0000_t75" style="width:19.25pt;height:19.25pt" o:ole="">
            <v:imagedata r:id="rId61" o:title=""/>
          </v:shape>
          <o:OLEObject Type="Embed" ProgID="Equation.DSMT4" ShapeID="_x0000_i1052" DrawAspect="Content" ObjectID="_1583745863" r:id="rId62"/>
        </w:object>
      </w:r>
      <w:r w:rsidRPr="003E78D5">
        <w:rPr>
          <w:rFonts w:ascii="Times New Roman" w:hAnsi="Times New Roman" w:cs="Times New Roman"/>
          <w:sz w:val="24"/>
          <w:szCs w:val="24"/>
          <w:lang w:val="en-US"/>
        </w:rPr>
        <w:t xml:space="preserve"> at the beginning or the end of the sample, we integrate out the initial and end values drawing from the process in 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A.1). </w:t>
      </w:r>
    </w:p>
    <w:p w:rsidR="003D2A0C" w:rsidRPr="003E78D5" w:rsidRDefault="003D2A0C" w:rsidP="003D2A0C">
      <w:pPr>
        <w:spacing w:after="0" w:line="360" w:lineRule="auto"/>
        <w:rPr>
          <w:rFonts w:ascii="Times New Roman" w:hAnsi="Times New Roman" w:cs="Times New Roman"/>
          <w:i/>
          <w:sz w:val="24"/>
          <w:szCs w:val="24"/>
          <w:lang w:val="en-US"/>
        </w:rPr>
      </w:pPr>
    </w:p>
    <w:p w:rsidR="006C4BD5" w:rsidRPr="003E78D5" w:rsidRDefault="006C4BD5" w:rsidP="003D2A0C">
      <w:pPr>
        <w:spacing w:after="0" w:line="360" w:lineRule="auto"/>
        <w:rPr>
          <w:rFonts w:ascii="Times New Roman" w:hAnsi="Times New Roman" w:cs="Times New Roman"/>
          <w:i/>
          <w:sz w:val="24"/>
          <w:szCs w:val="24"/>
          <w:lang w:val="en-US"/>
        </w:rPr>
      </w:pPr>
      <w:r w:rsidRPr="003E78D5">
        <w:rPr>
          <w:rFonts w:ascii="Times New Roman" w:hAnsi="Times New Roman" w:cs="Times New Roman"/>
          <w:i/>
          <w:sz w:val="24"/>
          <w:szCs w:val="24"/>
          <w:lang w:val="en-US"/>
        </w:rPr>
        <w:t xml:space="preserve">Parameters of the </w:t>
      </w:r>
      <w:r w:rsidR="00CA2AC9" w:rsidRPr="003E78D5">
        <w:rPr>
          <w:rFonts w:ascii="Times New Roman" w:hAnsi="Times New Roman" w:cs="Times New Roman"/>
          <w:i/>
          <w:sz w:val="24"/>
          <w:szCs w:val="24"/>
          <w:lang w:val="en-US"/>
        </w:rPr>
        <w:t>P</w:t>
      </w:r>
      <w:r w:rsidRPr="003E78D5">
        <w:rPr>
          <w:rFonts w:ascii="Times New Roman" w:hAnsi="Times New Roman" w:cs="Times New Roman"/>
          <w:i/>
          <w:sz w:val="24"/>
          <w:szCs w:val="24"/>
          <w:lang w:val="en-US"/>
        </w:rPr>
        <w:t>rivate</w:t>
      </w:r>
      <w:r w:rsidR="00CA2AC9" w:rsidRPr="003E78D5">
        <w:rPr>
          <w:rFonts w:ascii="Times New Roman" w:hAnsi="Times New Roman" w:cs="Times New Roman"/>
          <w:i/>
          <w:sz w:val="24"/>
          <w:szCs w:val="24"/>
          <w:lang w:val="en-US"/>
        </w:rPr>
        <w:t xml:space="preserve"> E</w:t>
      </w:r>
      <w:r w:rsidRPr="003E78D5">
        <w:rPr>
          <w:rFonts w:ascii="Times New Roman" w:hAnsi="Times New Roman" w:cs="Times New Roman"/>
          <w:i/>
          <w:sz w:val="24"/>
          <w:szCs w:val="24"/>
          <w:lang w:val="en-US"/>
        </w:rPr>
        <w:t>quit</w:t>
      </w:r>
      <w:r w:rsidR="00CA2AC9" w:rsidRPr="003E78D5">
        <w:rPr>
          <w:rFonts w:ascii="Times New Roman" w:hAnsi="Times New Roman" w:cs="Times New Roman"/>
          <w:i/>
          <w:sz w:val="24"/>
          <w:szCs w:val="24"/>
          <w:lang w:val="en-US"/>
        </w:rPr>
        <w:t xml:space="preserve">y </w:t>
      </w:r>
      <w:r w:rsidR="001E5463" w:rsidRPr="003E78D5">
        <w:rPr>
          <w:rFonts w:ascii="Times New Roman" w:hAnsi="Times New Roman" w:cs="Times New Roman"/>
          <w:i/>
          <w:sz w:val="24"/>
          <w:szCs w:val="24"/>
          <w:lang w:val="en-US"/>
        </w:rPr>
        <w:t>S</w:t>
      </w:r>
      <w:r w:rsidRPr="003E78D5">
        <w:rPr>
          <w:rFonts w:ascii="Times New Roman" w:hAnsi="Times New Roman" w:cs="Times New Roman"/>
          <w:i/>
          <w:sz w:val="24"/>
          <w:szCs w:val="24"/>
          <w:lang w:val="en-US"/>
        </w:rPr>
        <w:t>pecific</w:t>
      </w:r>
      <w:r w:rsidR="001E5463" w:rsidRPr="003E78D5">
        <w:rPr>
          <w:rFonts w:ascii="Times New Roman" w:hAnsi="Times New Roman" w:cs="Times New Roman"/>
          <w:i/>
          <w:sz w:val="24"/>
          <w:szCs w:val="24"/>
          <w:lang w:val="en-US"/>
        </w:rPr>
        <w:t xml:space="preserve"> R</w:t>
      </w:r>
      <w:r w:rsidRPr="003E78D5">
        <w:rPr>
          <w:rFonts w:ascii="Times New Roman" w:hAnsi="Times New Roman" w:cs="Times New Roman"/>
          <w:i/>
          <w:sz w:val="24"/>
          <w:szCs w:val="24"/>
          <w:lang w:val="en-US"/>
        </w:rPr>
        <w:t xml:space="preserve">eturn </w:t>
      </w:r>
      <w:r w:rsidR="007E0A51" w:rsidRPr="003E78D5">
        <w:rPr>
          <w:rFonts w:ascii="Times New Roman" w:hAnsi="Times New Roman" w:cs="Times New Roman"/>
          <w:i/>
          <w:position w:val="-12"/>
          <w:sz w:val="24"/>
          <w:szCs w:val="24"/>
          <w:lang w:val="en-US"/>
        </w:rPr>
        <w:object w:dxaOrig="2140" w:dyaOrig="380">
          <v:shape id="_x0000_i1053" type="#_x0000_t75" style="width:149.85pt;height:20.1pt" o:ole="">
            <v:imagedata r:id="rId24" o:title=""/>
          </v:shape>
          <o:OLEObject Type="Embed" ProgID="Equation.DSMT4" ShapeID="_x0000_i1053" DrawAspect="Content" ObjectID="_1583745864" r:id="rId63"/>
        </w:objec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Consider the factor loadings, </w:t>
      </w:r>
      <w:r w:rsidR="007E0A51" w:rsidRPr="003E78D5">
        <w:rPr>
          <w:rFonts w:ascii="Times New Roman" w:hAnsi="Times New Roman" w:cs="Times New Roman"/>
          <w:position w:val="-10"/>
          <w:sz w:val="24"/>
          <w:szCs w:val="24"/>
          <w:lang w:val="en-US"/>
        </w:rPr>
        <w:object w:dxaOrig="240" w:dyaOrig="320">
          <v:shape id="_x0000_i1054" type="#_x0000_t75" style="width:15.9pt;height:15.9pt" o:ole="">
            <v:imagedata r:id="rId64" o:title=""/>
          </v:shape>
          <o:OLEObject Type="Embed" ProgID="Equation.DSMT4" ShapeID="_x0000_i1054" DrawAspect="Content" ObjectID="_1583745865" r:id="rId65"/>
        </w:object>
      </w:r>
      <w:r w:rsidRPr="003E78D5">
        <w:rPr>
          <w:rFonts w:ascii="Times New Roman" w:hAnsi="Times New Roman" w:cs="Times New Roman"/>
          <w:sz w:val="24"/>
          <w:szCs w:val="24"/>
          <w:lang w:val="en-US"/>
        </w:rPr>
        <w:t>. We can write the posterior</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lastRenderedPageBreak/>
        <w:tab/>
      </w:r>
      <w:r w:rsidRPr="003E78D5">
        <w:rPr>
          <w:rFonts w:ascii="Times New Roman" w:hAnsi="Times New Roman" w:cs="Times New Roman"/>
          <w:position w:val="-52"/>
        </w:rPr>
        <w:object w:dxaOrig="4160" w:dyaOrig="1180">
          <v:shape id="_x0000_i1055" type="#_x0000_t75" style="width:209.3pt;height:57.75pt" o:ole="">
            <v:imagedata r:id="rId66" o:title=""/>
          </v:shape>
          <o:OLEObject Type="Embed" ProgID="Equation.DSMT4" ShapeID="_x0000_i1055" DrawAspect="Content" ObjectID="_1583745866" r:id="rId67"/>
        </w:object>
      </w:r>
      <w:r w:rsidRPr="003E78D5">
        <w:rPr>
          <w:rFonts w:ascii="Times New Roman" w:hAnsi="Times New Roman" w:cs="Times New Roman"/>
        </w:rPr>
        <w:tab/>
      </w:r>
      <w:r w:rsidR="007E0A51" w:rsidRPr="003E78D5">
        <w:rPr>
          <w:rFonts w:ascii="Times New Roman" w:hAnsi="Times New Roman" w:cs="Times New Roman"/>
        </w:rPr>
        <w:t>(IA.10)</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because </w:t>
      </w:r>
      <w:r w:rsidRPr="003E78D5">
        <w:rPr>
          <w:rFonts w:ascii="Times New Roman" w:hAnsi="Times New Roman" w:cs="Times New Roman"/>
          <w:position w:val="-10"/>
          <w:sz w:val="24"/>
          <w:szCs w:val="24"/>
          <w:lang w:val="en-US"/>
        </w:rPr>
        <w:object w:dxaOrig="240" w:dyaOrig="320">
          <v:shape id="_x0000_i1056" type="#_x0000_t75" style="width:14.25pt;height:14.25pt" o:ole="">
            <v:imagedata r:id="rId64" o:title=""/>
          </v:shape>
          <o:OLEObject Type="Embed" ProgID="Equation.DSMT4" ShapeID="_x0000_i1056" DrawAspect="Content" ObjectID="_1583745867" r:id="rId68"/>
        </w:object>
      </w:r>
      <w:r w:rsidRPr="003E78D5">
        <w:rPr>
          <w:rFonts w:ascii="Times New Roman" w:hAnsi="Times New Roman" w:cs="Times New Roman"/>
          <w:sz w:val="24"/>
          <w:szCs w:val="24"/>
          <w:lang w:val="en-US"/>
        </w:rPr>
        <w:t xml:space="preserve"> does not enter the dynamics of the private equity returns, </w:t>
      </w:r>
      <w:r w:rsidR="007E0A51" w:rsidRPr="003E78D5">
        <w:rPr>
          <w:rFonts w:ascii="Times New Roman" w:hAnsi="Times New Roman" w:cs="Times New Roman"/>
          <w:position w:val="-12"/>
          <w:sz w:val="24"/>
          <w:szCs w:val="24"/>
          <w:lang w:val="en-US"/>
        </w:rPr>
        <w:object w:dxaOrig="300" w:dyaOrig="380">
          <v:shape id="_x0000_i1057" type="#_x0000_t75" style="width:19.25pt;height:19.25pt" o:ole="">
            <v:imagedata r:id="rId69" o:title=""/>
          </v:shape>
          <o:OLEObject Type="Embed" ProgID="Equation.DSMT4" ShapeID="_x0000_i1057" DrawAspect="Content" ObjectID="_1583745868" r:id="rId70"/>
        </w:object>
      </w:r>
      <w:r w:rsidRPr="003E78D5">
        <w:rPr>
          <w:rFonts w:ascii="Times New Roman" w:hAnsi="Times New Roman" w:cs="Times New Roman"/>
          <w:sz w:val="24"/>
          <w:szCs w:val="24"/>
          <w:lang w:val="en-US"/>
        </w:rPr>
        <w:t>. We can rewrite equation (</w:t>
      </w:r>
      <w:r w:rsidR="007E0A51"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A.1) as </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14"/>
        </w:rPr>
        <w:object w:dxaOrig="4180" w:dyaOrig="400">
          <v:shape id="_x0000_i1058" type="#_x0000_t75" style="width:209.3pt;height:21.75pt" o:ole="">
            <v:imagedata r:id="rId71" o:title=""/>
          </v:shape>
          <o:OLEObject Type="Embed" ProgID="Equation.DSMT4" ShapeID="_x0000_i1058" DrawAspect="Content" ObjectID="_1583745869" r:id="rId72"/>
        </w:object>
      </w:r>
      <w:r w:rsidRPr="003E78D5">
        <w:rPr>
          <w:rFonts w:ascii="Times New Roman" w:hAnsi="Times New Roman" w:cs="Times New Roman"/>
        </w:rPr>
        <w:tab/>
      </w:r>
      <w:r w:rsidR="007E0A51" w:rsidRPr="003E78D5">
        <w:rPr>
          <w:rFonts w:ascii="Times New Roman" w:hAnsi="Times New Roman" w:cs="Times New Roman"/>
        </w:rPr>
        <w:t>(IA.11)</w: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which implies a standard regression draw for</w:t>
      </w:r>
      <w:r w:rsidR="001E5463" w:rsidRPr="003E78D5">
        <w:rPr>
          <w:rFonts w:ascii="Times New Roman" w:hAnsi="Times New Roman" w:cs="Times New Roman"/>
          <w:sz w:val="24"/>
          <w:szCs w:val="24"/>
          <w:lang w:val="en-US"/>
        </w:rPr>
        <w:t xml:space="preserve"> β</w:t>
      </w:r>
      <w:r w:rsidRPr="003E78D5">
        <w:rPr>
          <w:rFonts w:ascii="Times New Roman" w:hAnsi="Times New Roman" w:cs="Times New Roman"/>
          <w:sz w:val="24"/>
          <w:szCs w:val="24"/>
          <w:lang w:val="en-US"/>
        </w:rPr>
        <w:t xml:space="preserve">. We use a normal conjugate prior. The draws of </w:t>
      </w:r>
      <w:r w:rsidR="001E5463" w:rsidRPr="003E78D5">
        <w:rPr>
          <w:rFonts w:ascii="Times New Roman" w:hAnsi="Times New Roman" w:cs="Times New Roman"/>
          <w:sz w:val="24"/>
          <w:szCs w:val="24"/>
          <w:lang w:val="en-US"/>
        </w:rPr>
        <w:t xml:space="preserve">φ </w:t>
      </w:r>
      <w:r w:rsidRPr="003E78D5">
        <w:rPr>
          <w:rFonts w:ascii="Times New Roman" w:hAnsi="Times New Roman" w:cs="Times New Roman"/>
          <w:sz w:val="24"/>
          <w:szCs w:val="24"/>
          <w:lang w:val="en-US"/>
        </w:rPr>
        <w:t xml:space="preserve">and </w:t>
      </w:r>
      <w:r w:rsidR="001E5463" w:rsidRPr="003E78D5">
        <w:rPr>
          <w:rFonts w:ascii="Times New Roman" w:hAnsi="Times New Roman" w:cs="Times New Roman"/>
          <w:sz w:val="24"/>
          <w:szCs w:val="24"/>
          <w:lang w:val="en-US"/>
        </w:rPr>
        <w:t xml:space="preserve">α </w:t>
      </w:r>
      <w:r w:rsidRPr="003E78D5">
        <w:rPr>
          <w:rFonts w:ascii="Times New Roman" w:hAnsi="Times New Roman" w:cs="Times New Roman"/>
          <w:sz w:val="24"/>
          <w:szCs w:val="24"/>
          <w:lang w:val="en-US"/>
        </w:rPr>
        <w:t xml:space="preserve">are similar. Although they could be drawn directly in a multivariate conjugate regression draw, we separate them. This allows us to place separate priors on each parameter.  </w:t>
      </w:r>
    </w:p>
    <w:p w:rsidR="003D2A0C" w:rsidRPr="003E78D5" w:rsidRDefault="003D2A0C" w:rsidP="003D2A0C">
      <w:pPr>
        <w:spacing w:after="0" w:line="360" w:lineRule="auto"/>
        <w:rPr>
          <w:rFonts w:ascii="Times New Roman" w:hAnsi="Times New Roman" w:cs="Times New Roman"/>
          <w:i/>
          <w:sz w:val="24"/>
          <w:szCs w:val="24"/>
          <w:lang w:val="en-US"/>
        </w:rPr>
      </w:pP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i/>
          <w:sz w:val="24"/>
          <w:szCs w:val="24"/>
          <w:lang w:val="en-US"/>
        </w:rPr>
        <w:t>Standard</w:t>
      </w:r>
      <w:r w:rsidR="001E5463" w:rsidRPr="003E78D5">
        <w:rPr>
          <w:rFonts w:ascii="Times New Roman" w:hAnsi="Times New Roman" w:cs="Times New Roman"/>
          <w:i/>
          <w:sz w:val="24"/>
          <w:szCs w:val="24"/>
          <w:lang w:val="en-US"/>
        </w:rPr>
        <w:t xml:space="preserve"> D</w:t>
      </w:r>
      <w:r w:rsidRPr="003E78D5">
        <w:rPr>
          <w:rFonts w:ascii="Times New Roman" w:hAnsi="Times New Roman" w:cs="Times New Roman"/>
          <w:i/>
          <w:sz w:val="24"/>
          <w:szCs w:val="24"/>
          <w:lang w:val="en-US"/>
        </w:rPr>
        <w:t xml:space="preserve">eviation of the </w:t>
      </w:r>
      <w:r w:rsidR="001E5463" w:rsidRPr="003E78D5">
        <w:rPr>
          <w:rFonts w:ascii="Times New Roman" w:hAnsi="Times New Roman" w:cs="Times New Roman"/>
          <w:i/>
          <w:sz w:val="24"/>
          <w:szCs w:val="24"/>
          <w:lang w:val="en-US"/>
        </w:rPr>
        <w:t>Private Equity Return S</w:t>
      </w:r>
      <w:r w:rsidRPr="003E78D5">
        <w:rPr>
          <w:rFonts w:ascii="Times New Roman" w:hAnsi="Times New Roman" w:cs="Times New Roman"/>
          <w:i/>
          <w:sz w:val="24"/>
          <w:szCs w:val="24"/>
          <w:lang w:val="en-US"/>
        </w:rPr>
        <w:t xml:space="preserve">hocks, </w:t>
      </w:r>
      <w:r w:rsidRPr="003E78D5">
        <w:rPr>
          <w:rFonts w:ascii="Times New Roman" w:hAnsi="Times New Roman" w:cs="Times New Roman"/>
          <w:i/>
          <w:position w:val="-14"/>
          <w:sz w:val="24"/>
          <w:szCs w:val="24"/>
          <w:lang w:val="en-US"/>
        </w:rPr>
        <w:object w:dxaOrig="1780" w:dyaOrig="400">
          <v:shape id="_x0000_i1059" type="#_x0000_t75" style="width:86.25pt;height:21.75pt" o:ole="">
            <v:imagedata r:id="rId26" o:title=""/>
          </v:shape>
          <o:OLEObject Type="Embed" ProgID="Equation.DSMT4" ShapeID="_x0000_i1059" DrawAspect="Content" ObjectID="_1583745870" r:id="rId73"/>
        </w:objec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draw </w:t>
      </w:r>
      <w:r w:rsidRPr="003E78D5">
        <w:rPr>
          <w:rFonts w:ascii="Times New Roman" w:hAnsi="Times New Roman" w:cs="Times New Roman"/>
          <w:position w:val="-14"/>
          <w:sz w:val="24"/>
          <w:szCs w:val="24"/>
          <w:lang w:val="en-US"/>
        </w:rPr>
        <w:object w:dxaOrig="320" w:dyaOrig="400">
          <v:shape id="_x0000_i1060" type="#_x0000_t75" style="width:14.25pt;height:21.75pt" o:ole="">
            <v:imagedata r:id="rId74" o:title=""/>
          </v:shape>
          <o:OLEObject Type="Embed" ProgID="Equation.DSMT4" ShapeID="_x0000_i1060" DrawAspect="Content" ObjectID="_1583745871" r:id="rId75"/>
        </w:object>
      </w:r>
      <w:r w:rsidR="001E5463" w:rsidRPr="003E78D5">
        <w:rPr>
          <w:rFonts w:ascii="Times New Roman" w:hAnsi="Times New Roman" w:cs="Times New Roman"/>
          <w:sz w:val="24"/>
          <w:szCs w:val="24"/>
          <w:lang w:val="en-US"/>
        </w:rPr>
        <w:t xml:space="preserve"> using a conjugate i</w:t>
      </w:r>
      <w:r w:rsidRPr="003E78D5">
        <w:rPr>
          <w:rFonts w:ascii="Times New Roman" w:hAnsi="Times New Roman" w:cs="Times New Roman"/>
          <w:sz w:val="24"/>
          <w:szCs w:val="24"/>
          <w:lang w:val="en-US"/>
        </w:rPr>
        <w:t xml:space="preserve">nverse Gamma draw. We select a truncated conjugate prior by confining the range of </w:t>
      </w:r>
      <w:r w:rsidRPr="003E78D5">
        <w:rPr>
          <w:rFonts w:ascii="Times New Roman" w:hAnsi="Times New Roman" w:cs="Times New Roman"/>
          <w:position w:val="-14"/>
          <w:sz w:val="24"/>
          <w:szCs w:val="24"/>
          <w:lang w:val="en-US"/>
        </w:rPr>
        <w:object w:dxaOrig="320" w:dyaOrig="380">
          <v:shape id="_x0000_i1061" type="#_x0000_t75" style="width:14.25pt;height:14.25pt" o:ole="">
            <v:imagedata r:id="rId76" o:title=""/>
          </v:shape>
          <o:OLEObject Type="Embed" ProgID="Equation.DSMT4" ShapeID="_x0000_i1061" DrawAspect="Content" ObjectID="_1583745872" r:id="rId77"/>
        </w:object>
      </w:r>
      <w:r w:rsidRPr="003E78D5">
        <w:rPr>
          <w:rFonts w:ascii="Times New Roman" w:hAnsi="Times New Roman" w:cs="Times New Roman"/>
          <w:sz w:val="24"/>
          <w:szCs w:val="24"/>
          <w:lang w:val="en-US"/>
        </w:rPr>
        <w:t>between 0.1% and 100% per quarter. We assume the prior</w: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g</m:t>
                </m:r>
              </m:sub>
              <m:sup>
                <m:r>
                  <w:rPr>
                    <w:rFonts w:ascii="Cambria Math" w:hAnsi="Cambria Math" w:cs="Times New Roman"/>
                    <w:sz w:val="24"/>
                    <w:szCs w:val="24"/>
                    <w:lang w:val="en-US"/>
                  </w:rPr>
                  <m:t>2</m:t>
                </m:r>
              </m:sup>
            </m:sSubSup>
          </m:e>
        </m:d>
        <m:r>
          <w:rPr>
            <w:rFonts w:ascii="Cambria Math" w:hAnsi="Cambria Math" w:cs="Times New Roman"/>
            <w:sz w:val="24"/>
            <w:szCs w:val="24"/>
            <w:lang w:val="en-US"/>
          </w:rPr>
          <m:t>~IG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r>
                  <w:rPr>
                    <w:rFonts w:ascii="Cambria Math" w:hAnsi="Cambria Math" w:cs="Times New Roman"/>
                    <w:sz w:val="24"/>
                    <w:szCs w:val="24"/>
                    <w:lang w:val="en-US"/>
                  </w:rPr>
                  <m:t>,1</m:t>
                </m:r>
              </m:e>
            </m:d>
          </m:sub>
        </m:sSub>
        <m:r>
          <w:rPr>
            <w:rFonts w:ascii="Cambria Math" w:hAnsi="Cambria Math" w:cs="Times New Roman"/>
            <w:sz w:val="24"/>
            <w:szCs w:val="24"/>
            <w:lang w:val="en-US"/>
          </w:rPr>
          <m:t>,</m:t>
        </m:r>
      </m:oMath>
      <w:r w:rsidR="00D46A86" w:rsidRPr="003E78D5">
        <w:rPr>
          <w:rFonts w:ascii="Times New Roman" w:hAnsi="Times New Roman" w:cs="Times New Roman"/>
          <w:sz w:val="24"/>
          <w:szCs w:val="24"/>
          <w:lang w:val="en-US"/>
        </w:rPr>
        <w:t xml:space="preserve"> </w:t>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t>(IA.12)</w:t>
      </w:r>
    </w:p>
    <w:p w:rsidR="006C4BD5" w:rsidRPr="003E78D5" w:rsidRDefault="001E5463"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W</w:t>
      </w:r>
      <w:r w:rsidR="006C4BD5" w:rsidRPr="003E78D5">
        <w:rPr>
          <w:rFonts w:ascii="Times New Roman" w:hAnsi="Times New Roman" w:cs="Times New Roman"/>
          <w:sz w:val="24"/>
          <w:szCs w:val="24"/>
          <w:lang w:val="en-US"/>
        </w:rPr>
        <w:t>here</w:t>
      </w:r>
      <w:r w:rsidRPr="003E78D5">
        <w:rPr>
          <w:rFonts w:ascii="Times New Roman" w:hAnsi="Times New Roman" w:cs="Times New Roman"/>
          <w:sz w:val="24"/>
          <w:szCs w:val="24"/>
          <w:lang w:val="en-US"/>
        </w:rPr>
        <w:t xml:space="preserve"> a</w:t>
      </w:r>
      <w:r w:rsidRPr="003E78D5">
        <w:rPr>
          <w:rFonts w:ascii="Times New Roman" w:hAnsi="Times New Roman" w:cs="Times New Roman"/>
          <w:sz w:val="24"/>
          <w:szCs w:val="24"/>
          <w:vertAlign w:val="subscript"/>
          <w:lang w:val="en-US"/>
        </w:rPr>
        <w:t>0</w:t>
      </w:r>
      <w:r w:rsidRPr="003E78D5">
        <w:rPr>
          <w:rFonts w:ascii="Times New Roman" w:hAnsi="Times New Roman" w:cs="Times New Roman"/>
          <w:sz w:val="24"/>
          <w:szCs w:val="24"/>
          <w:lang w:val="en-US"/>
        </w:rPr>
        <w:t>=2</w:t>
      </w:r>
      <w:r w:rsidR="006C4BD5" w:rsidRPr="003E78D5">
        <w:rPr>
          <w:rFonts w:ascii="Times New Roman" w:hAnsi="Times New Roman" w:cs="Times New Roman"/>
          <w:sz w:val="24"/>
          <w:szCs w:val="24"/>
          <w:lang w:val="en-US"/>
        </w:rPr>
        <w:t xml:space="preserve"> and</w:t>
      </w:r>
      <w:r w:rsidRPr="003E78D5">
        <w:rPr>
          <w:rFonts w:ascii="Times New Roman" w:hAnsi="Times New Roman" w:cs="Times New Roman"/>
          <w:sz w:val="24"/>
          <w:szCs w:val="24"/>
          <w:lang w:val="en-US"/>
        </w:rPr>
        <w:t xml:space="preserve"> b</w:t>
      </w:r>
      <w:r w:rsidRPr="003E78D5">
        <w:rPr>
          <w:rFonts w:ascii="Times New Roman" w:hAnsi="Times New Roman" w:cs="Times New Roman"/>
          <w:sz w:val="24"/>
          <w:szCs w:val="24"/>
          <w:vertAlign w:val="subscript"/>
          <w:lang w:val="en-US"/>
        </w:rPr>
        <w:t>0</w:t>
      </w:r>
      <w:r w:rsidRPr="003E78D5">
        <w:rPr>
          <w:rFonts w:ascii="Times New Roman" w:hAnsi="Times New Roman" w:cs="Times New Roman"/>
          <w:sz w:val="24"/>
          <w:szCs w:val="24"/>
          <w:lang w:val="en-US"/>
        </w:rPr>
        <w:t>=10</w:t>
      </w:r>
      <w:r w:rsidRPr="003E78D5">
        <w:rPr>
          <w:rFonts w:ascii="Times New Roman" w:hAnsi="Times New Roman" w:cs="Times New Roman"/>
          <w:sz w:val="24"/>
          <w:szCs w:val="24"/>
          <w:vertAlign w:val="superscript"/>
          <w:lang w:val="en-US"/>
        </w:rPr>
        <w:t>-6</w:t>
      </w:r>
      <w:r w:rsidR="006C4BD5" w:rsidRPr="003E78D5">
        <w:rPr>
          <w:rFonts w:ascii="Times New Roman" w:hAnsi="Times New Roman" w:cs="Times New Roman"/>
          <w:sz w:val="24"/>
          <w:szCs w:val="24"/>
          <w:lang w:val="en-US"/>
        </w:rPr>
        <w:t xml:space="preserve">. The peak of this prior is far left </w:t>
      </w:r>
      <w:r w:rsidRPr="003E78D5">
        <w:rPr>
          <w:rFonts w:ascii="Times New Roman" w:hAnsi="Times New Roman" w:cs="Times New Roman"/>
          <w:sz w:val="24"/>
          <w:szCs w:val="24"/>
          <w:lang w:val="en-US"/>
        </w:rPr>
        <w:t>to the lower bound of our range.</w:t>
      </w:r>
      <w:r w:rsidR="006C4BD5"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T</w:t>
      </w:r>
      <w:r w:rsidR="006C4BD5" w:rsidRPr="003E78D5">
        <w:rPr>
          <w:rFonts w:ascii="Times New Roman" w:hAnsi="Times New Roman" w:cs="Times New Roman"/>
          <w:sz w:val="24"/>
          <w:szCs w:val="24"/>
          <w:lang w:val="en-US"/>
        </w:rPr>
        <w:t xml:space="preserve">herefore, the truncated prior is approximately a uniform distribution on the range. </w:t>
      </w:r>
    </w:p>
    <w:p w:rsidR="006C4BD5" w:rsidRPr="003E78D5" w:rsidRDefault="006C4BD5" w:rsidP="003D2A0C">
      <w:pPr>
        <w:spacing w:after="0"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draw the posterior distribution of </w:t>
      </w:r>
      <w:r w:rsidRPr="003E78D5">
        <w:rPr>
          <w:rFonts w:ascii="Times New Roman" w:hAnsi="Times New Roman" w:cs="Times New Roman"/>
          <w:position w:val="-14"/>
          <w:sz w:val="24"/>
          <w:szCs w:val="24"/>
          <w:lang w:val="en-US"/>
        </w:rPr>
        <w:object w:dxaOrig="320" w:dyaOrig="400">
          <v:shape id="_x0000_i1062" type="#_x0000_t75" style="width:14.25pt;height:21.75pt" o:ole="">
            <v:imagedata r:id="rId74" o:title=""/>
          </v:shape>
          <o:OLEObject Type="Embed" ProgID="Equation.DSMT4" ShapeID="_x0000_i1062" DrawAspect="Content" ObjectID="_1583745873" r:id="rId78"/>
        </w:object>
      </w:r>
      <w:r w:rsidRPr="003E78D5">
        <w:rPr>
          <w:rFonts w:ascii="Times New Roman" w:hAnsi="Times New Roman" w:cs="Times New Roman"/>
          <w:sz w:val="24"/>
          <w:szCs w:val="24"/>
          <w:lang w:val="en-US"/>
        </w:rPr>
        <w:t xml:space="preserve"> from its truncated conjugate posterior:</w:t>
      </w:r>
    </w:p>
    <w:p w:rsidR="006C4BD5" w:rsidRPr="003E78D5" w:rsidRDefault="006C4BD5" w:rsidP="003D2A0C">
      <w:pPr>
        <w:pStyle w:val="MTDisplayEquation"/>
        <w:tabs>
          <w:tab w:val="clear" w:pos="8640"/>
          <w:tab w:val="right" w:pos="9360"/>
        </w:tabs>
        <w:spacing w:line="360" w:lineRule="auto"/>
        <w:jc w:val="both"/>
        <w:rPr>
          <w:rFonts w:ascii="Times New Roman" w:hAnsi="Times New Roman" w:cs="Times New Roman"/>
        </w:rPr>
      </w:pPr>
      <w:r w:rsidRPr="003E78D5">
        <w:rPr>
          <w:rFonts w:ascii="Times New Roman" w:hAnsi="Times New Roman" w:cs="Times New Roman"/>
        </w:rPr>
        <w:tab/>
      </w:r>
      <m:oMath>
        <m:r>
          <w:rPr>
            <w:rFonts w:ascii="Cambria Math" w:hAnsi="Cambria Math" w:cs="Times New Roman"/>
          </w:rPr>
          <m:t xml:space="preserve"> 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m:t>
                </m:r>
              </m:sub>
            </m:sSub>
            <m:r>
              <w:rPr>
                <w:rFonts w:ascii="Cambria Math" w:hAnsi="Cambria Math" w:cs="Times New Roman"/>
              </w:rPr>
              <m:t>, Y</m:t>
            </m:r>
          </m:e>
        </m:d>
        <m:r>
          <w:rPr>
            <w:rFonts w:ascii="Cambria Math" w:hAnsi="Cambria Math" w:cs="Times New Roman"/>
          </w:rPr>
          <m:t>~IG</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num>
              <m:den>
                <m:r>
                  <w:rPr>
                    <w:rFonts w:ascii="Cambria Math" w:hAnsi="Cambria Math" w:cs="Times New Roman"/>
                  </w:rPr>
                  <m:t>2</m:t>
                </m:r>
              </m:den>
            </m:f>
          </m:e>
        </m:d>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,1</m:t>
                </m:r>
              </m:e>
            </m:d>
          </m:sub>
        </m:sSub>
        <m:r>
          <w:rPr>
            <w:rFonts w:ascii="Cambria Math" w:hAnsi="Cambria Math" w:cs="Times New Roman"/>
          </w:rPr>
          <m:t>,</m:t>
        </m:r>
      </m:oMath>
      <w:r w:rsidRPr="003E78D5">
        <w:rPr>
          <w:rFonts w:ascii="Times New Roman" w:hAnsi="Times New Roman" w:cs="Times New Roman"/>
        </w:rPr>
        <w:tab/>
      </w:r>
      <w:r w:rsidRPr="003E78D5" w:rsidDel="00532B58">
        <w:rPr>
          <w:rFonts w:ascii="Times New Roman" w:hAnsi="Times New Roman" w:cs="Times New Roman"/>
        </w:rPr>
        <w:t xml:space="preserve"> </w:t>
      </w:r>
      <w:r w:rsidR="00D46A86" w:rsidRPr="003E78D5">
        <w:rPr>
          <w:rFonts w:ascii="Times New Roman" w:hAnsi="Times New Roman" w:cs="Times New Roman"/>
        </w:rPr>
        <w:t>(IA.13)</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where </w:t>
      </w:r>
      <w:r w:rsidRPr="003E78D5">
        <w:rPr>
          <w:rFonts w:ascii="Times New Roman" w:hAnsi="Times New Roman" w:cs="Times New Roman"/>
          <w:position w:val="-12"/>
          <w:sz w:val="24"/>
          <w:szCs w:val="24"/>
          <w:lang w:val="en-US"/>
        </w:rPr>
        <w:object w:dxaOrig="1359" w:dyaOrig="360">
          <v:shape id="_x0000_i1063" type="#_x0000_t75" style="width:65.3pt;height:21.75pt" o:ole="">
            <v:imagedata r:id="rId79" o:title=""/>
          </v:shape>
          <o:OLEObject Type="Embed" ProgID="Equation.DSMT4" ShapeID="_x0000_i1063" DrawAspect="Content" ObjectID="_1583745874" r:id="rId80"/>
        </w:object>
      </w:r>
      <w:r w:rsidRPr="003E78D5">
        <w:rPr>
          <w:rFonts w:ascii="Times New Roman" w:hAnsi="Times New Roman" w:cs="Times New Roman"/>
          <w:sz w:val="24"/>
          <w:szCs w:val="24"/>
          <w:lang w:val="en-US"/>
        </w:rPr>
        <w:t xml:space="preserve"> and </w:t>
      </w:r>
      <w:r w:rsidRPr="003E78D5">
        <w:rPr>
          <w:rFonts w:ascii="Times New Roman" w:hAnsi="Times New Roman" w:cs="Times New Roman"/>
          <w:position w:val="-12"/>
          <w:sz w:val="24"/>
          <w:szCs w:val="24"/>
          <w:lang w:val="en-US"/>
        </w:rPr>
        <w:object w:dxaOrig="1020" w:dyaOrig="360">
          <v:shape id="_x0000_i1064" type="#_x0000_t75" style="width:57.75pt;height:21.75pt" o:ole="">
            <v:imagedata r:id="rId81" o:title=""/>
          </v:shape>
          <o:OLEObject Type="Embed" ProgID="Equation.DSMT4" ShapeID="_x0000_i1064" DrawAspect="Content" ObjectID="_1583745875" r:id="rId82"/>
        </w:object>
      </w:r>
      <w:r w:rsidRPr="003E78D5">
        <w:rPr>
          <w:rFonts w:ascii="Times New Roman" w:hAnsi="Times New Roman" w:cs="Times New Roman"/>
          <w:sz w:val="24"/>
          <w:szCs w:val="24"/>
          <w:lang w:val="en-US"/>
        </w:rPr>
        <w:t xml:space="preserve">, and </w:t>
      </w:r>
      <w:r w:rsidRPr="003E78D5">
        <w:rPr>
          <w:rFonts w:ascii="Times New Roman" w:hAnsi="Times New Roman" w:cs="Times New Roman"/>
          <w:i/>
          <w:sz w:val="24"/>
          <w:szCs w:val="24"/>
          <w:lang w:val="en-US"/>
        </w:rPr>
        <w:t>u</w:t>
      </w:r>
      <w:r w:rsidRPr="003E78D5">
        <w:rPr>
          <w:rFonts w:ascii="Times New Roman" w:hAnsi="Times New Roman" w:cs="Times New Roman"/>
          <w:sz w:val="24"/>
          <w:szCs w:val="24"/>
          <w:lang w:val="en-US"/>
        </w:rPr>
        <w:t xml:space="preserve"> is given by</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w:r w:rsidRPr="003E78D5">
        <w:rPr>
          <w:rFonts w:ascii="Times New Roman" w:hAnsi="Times New Roman" w:cs="Times New Roman"/>
          <w:position w:val="-14"/>
        </w:rPr>
        <w:object w:dxaOrig="4160" w:dyaOrig="400">
          <v:shape id="_x0000_i1065" type="#_x0000_t75" style="width:209.3pt;height:21.75pt" o:ole="">
            <v:imagedata r:id="rId83" o:title=""/>
          </v:shape>
          <o:OLEObject Type="Embed" ProgID="Equation.DSMT4" ShapeID="_x0000_i1065" DrawAspect="Content" ObjectID="_1583745876" r:id="rId84"/>
        </w:object>
      </w:r>
      <w:r w:rsidRPr="003E78D5">
        <w:rPr>
          <w:rFonts w:ascii="Times New Roman" w:hAnsi="Times New Roman" w:cs="Times New Roman"/>
        </w:rPr>
        <w:tab/>
      </w:r>
      <w:r w:rsidR="00D46A86" w:rsidRPr="003E78D5">
        <w:rPr>
          <w:rFonts w:ascii="Times New Roman" w:hAnsi="Times New Roman" w:cs="Times New Roman"/>
        </w:rPr>
        <w:t>(IA.14)</w:t>
      </w:r>
    </w:p>
    <w:p w:rsidR="003D2A0C" w:rsidRPr="003E78D5" w:rsidRDefault="003D2A0C" w:rsidP="003D2A0C">
      <w:pPr>
        <w:spacing w:after="0" w:line="360" w:lineRule="auto"/>
        <w:rPr>
          <w:rFonts w:ascii="Times New Roman" w:hAnsi="Times New Roman" w:cs="Times New Roman"/>
          <w:i/>
          <w:sz w:val="24"/>
          <w:szCs w:val="24"/>
          <w:lang w:val="en-US"/>
        </w:rPr>
      </w:pPr>
    </w:p>
    <w:p w:rsidR="006C4BD5" w:rsidRPr="003E78D5" w:rsidRDefault="001E5463" w:rsidP="003D2A0C">
      <w:pPr>
        <w:spacing w:after="0" w:line="360" w:lineRule="auto"/>
        <w:rPr>
          <w:rFonts w:ascii="Times New Roman" w:hAnsi="Times New Roman" w:cs="Times New Roman"/>
          <w:i/>
          <w:sz w:val="24"/>
          <w:szCs w:val="24"/>
          <w:lang w:val="en-US"/>
        </w:rPr>
      </w:pPr>
      <w:r w:rsidRPr="003E78D5">
        <w:rPr>
          <w:rFonts w:ascii="Times New Roman" w:hAnsi="Times New Roman" w:cs="Times New Roman"/>
          <w:i/>
          <w:sz w:val="24"/>
          <w:szCs w:val="24"/>
          <w:lang w:val="en-US"/>
        </w:rPr>
        <w:t>Standard Deviation of L</w:t>
      </w:r>
      <w:r w:rsidR="006C4BD5" w:rsidRPr="003E78D5">
        <w:rPr>
          <w:rFonts w:ascii="Times New Roman" w:hAnsi="Times New Roman" w:cs="Times New Roman"/>
          <w:i/>
          <w:sz w:val="24"/>
          <w:szCs w:val="24"/>
          <w:lang w:val="en-US"/>
        </w:rPr>
        <w:t xml:space="preserve">ikelihood </w:t>
      </w:r>
      <w:r w:rsidRPr="003E78D5">
        <w:rPr>
          <w:rFonts w:ascii="Times New Roman" w:hAnsi="Times New Roman" w:cs="Times New Roman"/>
          <w:i/>
          <w:sz w:val="24"/>
          <w:szCs w:val="24"/>
          <w:lang w:val="en-US"/>
        </w:rPr>
        <w:t>E</w:t>
      </w:r>
      <w:r w:rsidR="006C4BD5" w:rsidRPr="003E78D5">
        <w:rPr>
          <w:rFonts w:ascii="Times New Roman" w:hAnsi="Times New Roman" w:cs="Times New Roman"/>
          <w:i/>
          <w:sz w:val="24"/>
          <w:szCs w:val="24"/>
          <w:lang w:val="en-US"/>
        </w:rPr>
        <w:t xml:space="preserve">rrors: </w:t>
      </w:r>
      <w:r w:rsidR="00D46A86" w:rsidRPr="003E78D5">
        <w:rPr>
          <w:rFonts w:ascii="Times New Roman" w:hAnsi="Times New Roman" w:cs="Times New Roman"/>
          <w:i/>
          <w:position w:val="-12"/>
          <w:sz w:val="24"/>
          <w:szCs w:val="24"/>
          <w:lang w:val="en-US"/>
        </w:rPr>
        <w:object w:dxaOrig="1680" w:dyaOrig="380">
          <v:shape id="_x0000_i1066" type="#_x0000_t75" style="width:106.35pt;height:17.6pt" o:ole="">
            <v:imagedata r:id="rId28" o:title=""/>
          </v:shape>
          <o:OLEObject Type="Embed" ProgID="Equation.DSMT4" ShapeID="_x0000_i1066" DrawAspect="Content" ObjectID="_1583745877" r:id="rId85"/>
        </w:objec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draw </w:t>
      </w:r>
      <w:r w:rsidRPr="003E78D5">
        <w:rPr>
          <w:rFonts w:ascii="Times New Roman" w:hAnsi="Times New Roman" w:cs="Times New Roman"/>
          <w:position w:val="-6"/>
          <w:sz w:val="24"/>
          <w:szCs w:val="24"/>
          <w:lang w:val="en-US"/>
        </w:rPr>
        <w:object w:dxaOrig="320" w:dyaOrig="320">
          <v:shape id="_x0000_i1067" type="#_x0000_t75" style="width:14.25pt;height:14.25pt" o:ole="">
            <v:imagedata r:id="rId86" o:title=""/>
          </v:shape>
          <o:OLEObject Type="Embed" ProgID="Equation.DSMT4" ShapeID="_x0000_i1067" DrawAspect="Content" ObjectID="_1583745878" r:id="rId87"/>
        </w:object>
      </w:r>
      <w:r w:rsidRPr="003E78D5">
        <w:rPr>
          <w:rFonts w:ascii="Times New Roman" w:hAnsi="Times New Roman" w:cs="Times New Roman"/>
          <w:sz w:val="24"/>
          <w:szCs w:val="24"/>
          <w:lang w:val="en-US"/>
        </w:rPr>
        <w:t xml:space="preserve"> using a conjugate truncated </w:t>
      </w:r>
      <w:r w:rsidR="001E5463"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nverse Gamma distribution. This follows a similar method to the draw for </w:t>
      </w:r>
      <w:r w:rsidR="00D46A86" w:rsidRPr="003E78D5">
        <w:rPr>
          <w:rFonts w:ascii="Times New Roman" w:hAnsi="Times New Roman" w:cs="Times New Roman"/>
          <w:position w:val="-14"/>
          <w:sz w:val="24"/>
          <w:szCs w:val="24"/>
          <w:lang w:val="en-US"/>
        </w:rPr>
        <w:object w:dxaOrig="320" w:dyaOrig="380">
          <v:shape id="_x0000_i1068" type="#_x0000_t75" style="width:16.75pt;height:16.75pt" o:ole="">
            <v:imagedata r:id="rId88" o:title=""/>
          </v:shape>
          <o:OLEObject Type="Embed" ProgID="Equation.DSMT4" ShapeID="_x0000_i1068" DrawAspect="Content" ObjectID="_1583745879" r:id="rId89"/>
        </w:object>
      </w:r>
      <w:r w:rsidRPr="003E78D5">
        <w:rPr>
          <w:rFonts w:ascii="Times New Roman" w:hAnsi="Times New Roman" w:cs="Times New Roman"/>
          <w:sz w:val="24"/>
          <w:szCs w:val="24"/>
          <w:lang w:val="en-US"/>
        </w:rPr>
        <w:t xml:space="preserve">. We assume the prior </w:t>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w:r w:rsidRPr="003E78D5">
        <w:rPr>
          <w:rFonts w:ascii="Times New Roman" w:hAnsi="Times New Roman" w:cs="Times New Roman"/>
          <w:sz w:val="24"/>
          <w:szCs w:val="24"/>
          <w:lang w:val="en-US"/>
        </w:rPr>
        <w:tab/>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e>
        </m:d>
        <m:r>
          <w:rPr>
            <w:rFonts w:ascii="Cambria Math" w:hAnsi="Cambria Math" w:cs="Times New Roman"/>
            <w:sz w:val="24"/>
            <w:szCs w:val="24"/>
            <w:lang w:val="en-US"/>
          </w:rPr>
          <m:t>~IG</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0</m:t>
                    </m:r>
                  </m:sub>
                </m:sSub>
              </m:num>
              <m:den>
                <m:r>
                  <w:rPr>
                    <w:rFonts w:ascii="Cambria Math" w:hAnsi="Cambria Math" w:cs="Times New Roman"/>
                    <w:sz w:val="24"/>
                    <w:szCs w:val="24"/>
                    <w:lang w:val="en-US"/>
                  </w:rPr>
                  <m:t>2</m:t>
                </m:r>
              </m:den>
            </m:f>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1</m:t>
            </m:r>
          </m:e>
          <m:sub>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-6</m:t>
                    </m:r>
                  </m:sup>
                </m:sSup>
                <m:r>
                  <w:rPr>
                    <w:rFonts w:ascii="Cambria Math" w:hAnsi="Cambria Math" w:cs="Times New Roman"/>
                    <w:sz w:val="24"/>
                    <w:szCs w:val="24"/>
                    <w:lang w:val="en-US"/>
                  </w:rPr>
                  <m:t>,1</m:t>
                </m:r>
              </m:e>
            </m:d>
          </m:sub>
        </m:sSub>
        <m:r>
          <w:rPr>
            <w:rFonts w:ascii="Cambria Math" w:hAnsi="Cambria Math" w:cs="Times New Roman"/>
            <w:sz w:val="24"/>
            <w:szCs w:val="24"/>
            <w:lang w:val="en-US"/>
          </w:rPr>
          <m:t>,</m:t>
        </m:r>
      </m:oMath>
      <w:r w:rsidR="00D46A86" w:rsidRPr="003E78D5">
        <w:rPr>
          <w:rFonts w:ascii="Times New Roman" w:hAnsi="Times New Roman" w:cs="Times New Roman"/>
          <w:sz w:val="24"/>
          <w:szCs w:val="24"/>
          <w:lang w:val="en-US"/>
        </w:rPr>
        <w:t xml:space="preserve"> </w:t>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r>
      <w:r w:rsidR="00D46A86" w:rsidRPr="003E78D5">
        <w:rPr>
          <w:rFonts w:ascii="Times New Roman" w:hAnsi="Times New Roman" w:cs="Times New Roman"/>
          <w:sz w:val="24"/>
          <w:szCs w:val="24"/>
          <w:lang w:val="en-US"/>
        </w:rPr>
        <w:tab/>
        <w:t>(IA.15)</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 xml:space="preserve">with </w:t>
      </w:r>
      <w:r w:rsidR="00D46A86" w:rsidRPr="003E78D5">
        <w:rPr>
          <w:rFonts w:ascii="Times New Roman" w:hAnsi="Times New Roman" w:cs="Times New Roman"/>
          <w:position w:val="-12"/>
        </w:rPr>
        <w:object w:dxaOrig="920" w:dyaOrig="380">
          <v:shape id="_x0000_i1069" type="#_x0000_t75" style="width:56.1pt;height:18.4pt" o:ole="">
            <v:imagedata r:id="rId90" o:title=""/>
          </v:shape>
          <o:OLEObject Type="Embed" ProgID="Equation.DSMT4" ShapeID="_x0000_i1069" DrawAspect="Content" ObjectID="_1583745880" r:id="rId91"/>
        </w:object>
      </w:r>
      <w:r w:rsidRPr="003E78D5">
        <w:rPr>
          <w:rFonts w:ascii="Times New Roman" w:hAnsi="Times New Roman" w:cs="Times New Roman"/>
        </w:rPr>
        <w:t xml:space="preserve"> and </w:t>
      </w:r>
      <w:r w:rsidR="00D46A86" w:rsidRPr="003E78D5">
        <w:rPr>
          <w:rFonts w:ascii="Times New Roman" w:hAnsi="Times New Roman" w:cs="Times New Roman"/>
          <w:position w:val="-12"/>
        </w:rPr>
        <w:object w:dxaOrig="920" w:dyaOrig="380">
          <v:shape id="_x0000_i1070" type="#_x0000_t75" style="width:56.1pt;height:18.4pt" o:ole="">
            <v:imagedata r:id="rId92" o:title=""/>
          </v:shape>
          <o:OLEObject Type="Embed" ProgID="Equation.DSMT4" ShapeID="_x0000_i1070" DrawAspect="Content" ObjectID="_1583745881" r:id="rId93"/>
        </w:object>
      </w:r>
      <w:r w:rsidRPr="003E78D5">
        <w:rPr>
          <w:rFonts w:ascii="Times New Roman" w:hAnsi="Times New Roman" w:cs="Times New Roman"/>
        </w:rPr>
        <w:t>. Denote</w:t>
      </w:r>
      <w:r w:rsidR="001E5463" w:rsidRPr="003E78D5">
        <w:rPr>
          <w:rFonts w:ascii="Times New Roman" w:hAnsi="Times New Roman" w:cs="Times New Roman"/>
        </w:rPr>
        <w:t xml:space="preserve"> </w:t>
      </w:r>
      <w:r w:rsidRPr="003E78D5">
        <w:rPr>
          <w:rFonts w:ascii="Times New Roman" w:hAnsi="Times New Roman" w:cs="Times New Roman"/>
        </w:rPr>
        <w:t xml:space="preserve"> </w:t>
      </w:r>
      <m:oMath>
        <m:r>
          <w:rPr>
            <w:rFonts w:ascii="Cambria Math" w:hAnsi="Cambria Math" w:cs="Times New Roman"/>
          </w:rPr>
          <m:t>s=</m:t>
        </m:r>
        <m:nary>
          <m:naryPr>
            <m:chr m:val="∑"/>
            <m:limLoc m:val="undOvr"/>
            <m:ctrlPr>
              <w:rPr>
                <w:rFonts w:ascii="Cambria Math" w:hAnsi="Cambria Math" w:cs="Times New Roman"/>
                <w:i/>
              </w:rPr>
            </m:ctrlPr>
          </m:naryPr>
          <m:sub>
            <m:r>
              <w:rPr>
                <w:rFonts w:ascii="Cambria Math" w:hAnsi="Cambria Math" w:cs="Times New Roman"/>
              </w:rPr>
              <m:t>h</m:t>
            </m:r>
          </m:sub>
          <m:sup/>
          <m:e>
            <m:sSup>
              <m:sSupPr>
                <m:ctrlPr>
                  <w:rPr>
                    <w:rFonts w:ascii="Cambria Math" w:hAnsi="Cambria Math" w:cs="Times New Roman"/>
                    <w:i/>
                  </w:rPr>
                </m:ctrlPr>
              </m:sSupPr>
              <m:e>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r>
                              <w:rPr>
                                <w:rFonts w:ascii="Cambria Math" w:hAnsi="Cambria Math" w:cs="Times New Roman"/>
                              </w:rPr>
                              <m:t>PV</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h</m:t>
                                    </m:r>
                                  </m:sup>
                                </m:sSup>
                              </m:e>
                            </m:d>
                          </m:num>
                          <m:den>
                            <m:r>
                              <w:rPr>
                                <w:rFonts w:ascii="Cambria Math" w:hAnsi="Cambria Math" w:cs="Times New Roman"/>
                              </w:rPr>
                              <m:t>PV</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h</m:t>
                                    </m:r>
                                  </m:sup>
                                </m:sSup>
                              </m:e>
                            </m:d>
                          </m:den>
                        </m:f>
                      </m:e>
                    </m:func>
                  </m:e>
                </m:d>
              </m:e>
              <m:sup>
                <m:r>
                  <w:rPr>
                    <w:rFonts w:ascii="Cambria Math" w:hAnsi="Cambria Math" w:cs="Times New Roman"/>
                  </w:rPr>
                  <m:t>2</m:t>
                </m:r>
              </m:sup>
            </m:sSup>
          </m:e>
        </m:nary>
      </m:oMath>
      <w:r w:rsidR="001E5463" w:rsidRPr="003E78D5">
        <w:rPr>
          <w:rFonts w:ascii="Times New Roman" w:hAnsi="Times New Roman" w:cs="Times New Roman"/>
        </w:rPr>
        <w:t>.</w:t>
      </w:r>
      <w:r w:rsidRPr="003E78D5">
        <w:rPr>
          <w:rFonts w:ascii="Times New Roman" w:hAnsi="Times New Roman" w:cs="Times New Roman"/>
        </w:rPr>
        <w:tab/>
      </w:r>
    </w:p>
    <w:p w:rsidR="006C4BD5" w:rsidRPr="003E78D5" w:rsidRDefault="006C4BD5" w:rsidP="003D2A0C">
      <w:pPr>
        <w:spacing w:after="0" w:line="360"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Then the posterior distribution is </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ab/>
      </w:r>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m:t>
                </m:r>
              </m:sub>
            </m:sSub>
            <m:r>
              <w:rPr>
                <w:rFonts w:ascii="Cambria Math" w:hAnsi="Cambria Math" w:cs="Times New Roman"/>
              </w:rPr>
              <m:t>, Y</m:t>
            </m:r>
          </m:e>
        </m:d>
        <m:r>
          <w:rPr>
            <w:rFonts w:ascii="Cambria Math" w:hAnsi="Cambria Math" w:cs="Times New Roman"/>
          </w:rPr>
          <m:t>~IG</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+N</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+s</m:t>
                </m:r>
              </m:num>
              <m:den>
                <m:r>
                  <w:rPr>
                    <w:rFonts w:ascii="Cambria Math" w:hAnsi="Cambria Math" w:cs="Times New Roman"/>
                  </w:rPr>
                  <m:t>2</m:t>
                </m:r>
              </m:den>
            </m:f>
          </m:e>
        </m:d>
        <m:sSub>
          <m:sSubPr>
            <m:ctrlPr>
              <w:rPr>
                <w:rFonts w:ascii="Cambria Math" w:hAnsi="Cambria Math" w:cs="Times New Roman"/>
                <w:i/>
              </w:rPr>
            </m:ctrlPr>
          </m:sSubPr>
          <m:e>
            <m:r>
              <w:rPr>
                <w:rFonts w:ascii="Cambria Math" w:hAnsi="Cambria Math" w:cs="Times New Roman"/>
              </w:rPr>
              <m:t>1</m:t>
            </m:r>
          </m:e>
          <m:sub>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r>
                  <w:rPr>
                    <w:rFonts w:ascii="Cambria Math" w:hAnsi="Cambria Math" w:cs="Times New Roman"/>
                  </w:rPr>
                  <m:t>,1</m:t>
                </m:r>
              </m:e>
            </m:d>
          </m:sub>
        </m:sSub>
        <m:r>
          <w:rPr>
            <w:rFonts w:ascii="Cambria Math" w:hAnsi="Cambria Math" w:cs="Times New Roman"/>
          </w:rPr>
          <m:t>,</m:t>
        </m:r>
        <m:r>
          <m:rPr>
            <m:sty m:val="p"/>
          </m:rPr>
          <w:rPr>
            <w:rFonts w:ascii="Cambria Math" w:hAnsi="Cambria Math" w:cs="Times New Roman"/>
          </w:rPr>
          <m:t xml:space="preserve"> </m:t>
        </m:r>
      </m:oMath>
      <w:r w:rsidR="00D46A86" w:rsidRPr="003E78D5">
        <w:rPr>
          <w:rFonts w:ascii="Times New Roman" w:hAnsi="Times New Roman" w:cs="Times New Roman"/>
        </w:rPr>
        <w:tab/>
        <w:t>(IA.16)</w:t>
      </w:r>
    </w:p>
    <w:p w:rsidR="006C4BD5" w:rsidRPr="003E78D5" w:rsidRDefault="006C4BD5" w:rsidP="003D2A0C">
      <w:pPr>
        <w:pStyle w:val="MTDisplayEquation"/>
        <w:tabs>
          <w:tab w:val="clear" w:pos="8640"/>
          <w:tab w:val="right" w:pos="9360"/>
        </w:tabs>
        <w:spacing w:line="360" w:lineRule="auto"/>
        <w:rPr>
          <w:rFonts w:ascii="Times New Roman" w:hAnsi="Times New Roman" w:cs="Times New Roman"/>
        </w:rPr>
      </w:pPr>
      <w:r w:rsidRPr="003E78D5">
        <w:rPr>
          <w:rFonts w:ascii="Times New Roman" w:hAnsi="Times New Roman" w:cs="Times New Roman"/>
        </w:rPr>
        <w:t xml:space="preserve">where </w:t>
      </w:r>
      <m:oMath>
        <m:r>
          <w:rPr>
            <w:rFonts w:ascii="Cambria Math" w:hAnsi="Cambria Math" w:cs="Times New Roman"/>
          </w:rPr>
          <m:t>N</m:t>
        </m:r>
      </m:oMath>
      <w:r w:rsidRPr="003E78D5">
        <w:rPr>
          <w:rFonts w:ascii="Times New Roman" w:hAnsi="Times New Roman" w:cs="Times New Roman"/>
        </w:rPr>
        <w:t xml:space="preserve"> is the fund count.</w:t>
      </w:r>
      <w:r w:rsidRPr="003E78D5">
        <w:rPr>
          <w:rFonts w:ascii="Times New Roman" w:hAnsi="Times New Roman" w:cs="Times New Roman"/>
        </w:rPr>
        <w:tab/>
      </w:r>
    </w:p>
    <w:p w:rsidR="003D2A0C" w:rsidRPr="003E78D5" w:rsidRDefault="003D2A0C" w:rsidP="003D2A0C">
      <w:pPr>
        <w:spacing w:after="0" w:line="360" w:lineRule="auto"/>
        <w:rPr>
          <w:rFonts w:ascii="Times New Roman" w:hAnsi="Times New Roman" w:cs="Times New Roman"/>
          <w:i/>
          <w:sz w:val="24"/>
          <w:szCs w:val="24"/>
          <w:lang w:val="en-US"/>
        </w:rPr>
      </w:pPr>
    </w:p>
    <w:p w:rsidR="006C4BD5" w:rsidRPr="003E78D5" w:rsidRDefault="006C4BD5" w:rsidP="003D2A0C">
      <w:pPr>
        <w:spacing w:after="0" w:line="360" w:lineRule="auto"/>
        <w:rPr>
          <w:rFonts w:ascii="Times New Roman" w:hAnsi="Times New Roman" w:cs="Times New Roman"/>
          <w:i/>
          <w:sz w:val="24"/>
          <w:szCs w:val="24"/>
          <w:lang w:val="en-US"/>
        </w:rPr>
      </w:pPr>
      <w:r w:rsidRPr="003E78D5">
        <w:rPr>
          <w:rFonts w:ascii="Times New Roman" w:hAnsi="Times New Roman" w:cs="Times New Roman"/>
          <w:i/>
          <w:sz w:val="24"/>
          <w:szCs w:val="24"/>
          <w:lang w:val="en-US"/>
        </w:rPr>
        <w:t>Priors</w:t>
      </w:r>
    </w:p>
    <w:p w:rsidR="006C4BD5"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Like any Bayesian procedure, the estimation requires assumptions on the prior distributions of </w:t>
      </w:r>
      <w:r w:rsidR="001E5463" w:rsidRPr="003E78D5">
        <w:rPr>
          <w:rFonts w:ascii="Times New Roman" w:hAnsi="Times New Roman" w:cs="Times New Roman"/>
          <w:sz w:val="24"/>
          <w:szCs w:val="24"/>
          <w:lang w:val="en-US"/>
        </w:rPr>
        <w:t xml:space="preserve">the </w:t>
      </w:r>
      <w:r w:rsidRPr="003E78D5">
        <w:rPr>
          <w:rFonts w:ascii="Times New Roman" w:hAnsi="Times New Roman" w:cs="Times New Roman"/>
          <w:sz w:val="24"/>
          <w:szCs w:val="24"/>
          <w:lang w:val="en-US"/>
        </w:rPr>
        <w:t>parameters. The prior</w:t>
      </w:r>
      <w:r w:rsidR="001E5463" w:rsidRPr="003E78D5">
        <w:rPr>
          <w:rFonts w:ascii="Times New Roman" w:hAnsi="Times New Roman" w:cs="Times New Roman"/>
          <w:sz w:val="24"/>
          <w:szCs w:val="24"/>
          <w:lang w:val="en-US"/>
        </w:rPr>
        <w:t>s</w:t>
      </w:r>
      <w:r w:rsidRPr="003E78D5">
        <w:rPr>
          <w:rFonts w:ascii="Times New Roman" w:hAnsi="Times New Roman" w:cs="Times New Roman"/>
          <w:sz w:val="24"/>
          <w:szCs w:val="24"/>
          <w:lang w:val="en-US"/>
        </w:rPr>
        <w:t xml:space="preserve"> on betas are taken from the current literature on </w:t>
      </w:r>
      <w:r w:rsidR="001E5463"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 xml:space="preserve"> as listed in Appendix Table </w:t>
      </w:r>
      <w:r w:rsidR="001E5463"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A</w:t>
      </w:r>
      <w:r w:rsidR="001E5463" w:rsidRPr="003E78D5">
        <w:rPr>
          <w:rFonts w:ascii="Times New Roman" w:hAnsi="Times New Roman" w:cs="Times New Roman"/>
          <w:sz w:val="24"/>
          <w:szCs w:val="24"/>
          <w:lang w:val="en-US"/>
        </w:rPr>
        <w:t>.1</w:t>
      </w:r>
      <w:r w:rsidRPr="003E78D5">
        <w:rPr>
          <w:rFonts w:ascii="Times New Roman" w:hAnsi="Times New Roman" w:cs="Times New Roman"/>
          <w:sz w:val="24"/>
          <w:szCs w:val="24"/>
          <w:lang w:val="en-US"/>
        </w:rPr>
        <w:t xml:space="preserve"> </w:t>
      </w:r>
      <w:r w:rsidR="000F3066" w:rsidRPr="003E78D5">
        <w:rPr>
          <w:rFonts w:ascii="Times New Roman" w:hAnsi="Times New Roman" w:cs="Times New Roman"/>
          <w:sz w:val="24"/>
          <w:szCs w:val="24"/>
          <w:lang w:val="en-US"/>
        </w:rPr>
        <w:t>(</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"ISSN" : "00221082", "abstract" : "We investigate the long-run underperformance of recent initial public offering (IPO) firms in a sample of 934 venture-backed IPOs from 1972-1992 and 3,407 nonventure-backed IPOs from 1975-1992. We find that venture-hacked IPOs outperform nonventure-backed IPOs using equal weighted returns. Value weighting significantly reduces performance differences and substantially reduces underperformance for nonventure-backed IPOs. In tests using several comparable benchmarks and the Fama-French (1993) three factor asset pricing model, venture-backed companies do not significantly underperform, while the smallest nonventure-backed firms do. Underperformance, however, is not an IPO effect. Similar size and book-to-market firms that have not issued equity perform as poorly as IPOs. [ABSTRACT FROM AUTHOR]", "author" : [ { "dropping-particle" : "", "family" : "Brav", "given" : "Alon", "non-dropping-particle" : "", "parse-names" : false, "suffix" : "" }, { "dropping-particle" : "", "family" : "Gompers", "given" : "Paul A.", "non-dropping-particle" : "", "parse-names" : false, "suffix" : "" } ], "container-title" : "Journal of Finance", "id" : "ITEM-1", "issue" : "5", "issued" : { "date-parts" : [ [ "1997", "12" ] ] }, "note" : "Accession Number: 9712192001; BRAV, ALON 1,2,3; GOMPERS, PAUL A. 1,2,3,4; Affiliations: 1: Duke University; 2: Harvard University; 3: NBER; 4: Duke University and Harvard University and NBER; Issue Info: Dec1997, Vol. 52 Issue 5, p1791; Thesaurus Term: VENTURE capital; Thesaurus Term: GOING public (Securities); Thesaurus Term: BUSINESS enterprises; Thesaurus Term: BENCHMARKING (Management); Thesaurus Term: EQUITY; Thesaurus Term: PUBLIC companies; Thesaurus Term: BEHAVIORAL economics; Thesaurus Term: LONG run (Economics); Thesaurus Term: SEASONED equity offerings; Thesaurus Term: CAPITAL assets pricing model; Subject Term: PERFORMANCE; Subject Term: LOGARITHMS ; Company/Entity: NEW York Stock Exchange ; Company/Entity: AMERICAN Stock Exchange; Number of Pages: 31p; Illustrations: 8 Charts, 6 Graphs; Document Type: Article", "page" : "1791-1821", "publisher" : "Wiley-Blackwell", "title" : "Myth or reality ? The long-run underperformance of initial public offerings : Evidence from venture and nonventure capital-backed companies", "type" : "article-journal", "volume" : "52" }, "uris" : [ "http://www.mendeley.com/documents/?uuid=cfa616a8-c140-4be7-bcfa-6b07d3a3ec07" ] } ], "mendeley" : { "formattedCitation" : "Brav and Gompers (1997)", "plainTextFormattedCitation" : "Brav and Gompers (1997)", "previouslyFormattedCitation" : "Brav and Gompers (1997)"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Brav and Gompers (1997)</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"author" : [ { "dropping-particle" : "", "family" : "Derwall", "given" : "Jeroen", "non-dropping-particle" : "", "parse-names" : false, "suffix" : "" }, { "dropping-particle" : "", "family" : "Huij", "given" : "Joop", "non-dropping-particle" : "", "parse-names" : false, "suffix" : "" }, { "dropping-particle" : "", "family" : "Brounen", "given" : "Dirk", "non-dropping-particle" : "", "parse-names" : false, "suffix" : "" }, { "dropping-particle" : "", "family" : "Marquering", "given" : "Wessel", "non-dropping-particle" : "", "parse-names" : false, "suffix" : "" } ], "container-title" : "Financial Analysts Journal", "id" : "ITEM-1", "issue" : "5", "issued" : { "date-parts" : [ [ "2009" ] ] }, "page" : "1-11", "title" : "REIT momentum and the performance of real estate mutual funds", "type" : "article-journal", "volume" : "65" }, "uris" : [ "http://www.mendeley.com/documents/?uuid=3e949c56-a05a-4011-a2c2-e253071d867b" ] } ], "mendeley" : { "formattedCitation" : "Derwall et al. (2009)", "plainTextFormattedCitation" : "Derwall et al. (2009)", "previouslyFormattedCitation" : "Derwall et al. (2009)"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Derwall et al. (2009)</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"ISSN" : "08939454", "abstract" : "This paper demonstrates how the principal-agent problem between venture capitalists and their investors (limited partners) causes limited partner returns to depend on diversifiable risk. Our theory shows why the need for investors to motivate VCs alters the negotiations between VCs and entrepreneurs and changes how new firms are priced. The three-way interaction rationalizes the use of high discount rates by VCs and predicts a correlation between total risk and net of fee investor returns. We take our theory to a unique data set and find empirical support for the effect of the principal-agent problem on equilibrium private equity asset prices. [ABSTRACT FROM PUBLISHER]", "author" : [ { "dropping-particle" : "", "family" : "Ewens", "given" : "Michael", "non-dropping-particle" : "", "parse-names" : false, "suffix" : "" }, { "dropping-particle" : "", "family" : "Jones", "given" : "Charles M.", "non-dropping-particle" : "", "parse-names" : false, "suffix" : "" }, { "dropping-particle" : "", "family" : "Rhodes-Kropf", "given" : "Matthew", "non-dropping-particle" : "", "parse-names" : false, "suffix" : "" } ], "container-title" : "Review of Financial Studies", "id" : "ITEM-1", "issue" : "8", "issued" : { "date-parts" : [ [ "2013", "8" ] ] }, "note" : "Accession Number: 89102515; Ewens, Michael 1; Jones, Charles M. 2; Rhodes-Kropf, Matthew 3; Affiliations: 1: Carnegie Mellon University; 2: Columbia University; 3: Harvard University and NBER; Issue Info: Aug2013, Vol. 26 Issue 8, p1854; Thesaurus Term: VENTURE capital; Thesaurus Term: RESEARCH; Thesaurus Term: PRIVATE equity; Thesaurus Term: DIVERSIFICATION (Finance); Thesaurus Term: FINANCIAL risk management; Thesaurus Term: PORTFOLIO management (Investments); Thesaurus Term: HEDGING (Finance); Thesaurus Term: RATE of return; NAICS/Industry Codes: 523920 Portfolio Management; Number of Pages: 36p; Document Type: Article", "page" : "1854-1889", "title" : "The price of diversifiable risk in venture capital and private equity", "type" : "article-journal", "volume" : "26" }, "uris" : [ "http://www.mendeley.com/documents/?uuid=a9850c8f-1edf-4606-99e5-44f8ca792cb3" ] } ], "mendeley" : { "formattedCitation" : "Ewens, Jones, and Rhodes-Kropf (2013)", "plainTextFormattedCitation" : "Ewens, Jones, and Rhodes-Kropf (2013)", "previouslyFormattedCitation" : "Ewens, Jones, and Rhodes-Kropf (2013)"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Ewens, Jones, and Rhodes-Kropf (2013)</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"ISSN" : "0304405X", "abstract" : "Abstract: Reverse leveraged buyouts (RLBOs) have received increased public scrutiny but attracted little systematic study. We collect a comprehensive sample of 526 RLBOs between 1981 and 2003 and examine the three-year and five-year stock performance of these offerings. RLBOs appear to perform as well as or better than other initial public offerings and the stock market as a whole, depending on the specification. Evidence exists of a deterioration of returns over time. [Copyright &amp;y&amp; Elsevier]", "author" : [ { "dropping-particle" : "", "family" : "Cao", "given" : "Jerry", "non-dropping-particle" : "", "parse-names" : false, "suffix" : "" }, { "dropping-particle" : "", "family" : "Lerner", "given" : "Josh", "non-dropping-particle" : "", "parse-names" : false, "suffix" : "" } ], "container-title" : "Journal of Financial Economics", "id" : "ITEM-1", "issue" : "2", "issued" : { "date-parts" : [ [ "2009", "2" ] ] }, "note" : "Accession Number: 36392267; Cao, Jerry 1; Lerner, Josh 2; Email Address: josh@hbs.edu; Affiliations: 1: Singapore Management University, Singapore 178899, Singapore; 2: Harvard Business School, Boston, MA 02163, USA; Issue Info: Feb2009, Vol. 91 Issue 2, p139; Thesaurus Term: PERFORMANCE evaluation; Thesaurus Term: LEVERAGED buyouts; Thesaurus Term: RATE of return; Thesaurus Term: STOCKS (Finance); Thesaurus Term: GOING public (Securities); Thesaurus Term: INVESTMENT analysis; Subject Term: HISTORY; Author-Supplied Keyword: G24; Number of Pages: 19p; Document Type: Article", "page" : "139-157", "title" : "The performance of reverse leveraged buyouts", "type" : "article-journal", "volume" : "91" }, "uris" : [ "http://www.mendeley.com/documents/?uuid=e97e3951-aef9-45dc-82de-cdf9cc4a741a" ] } ], "mendeley" : { "formattedCitation" : "Cao and Lerner (2009)", "plainTextFormattedCitation" : "Cao and Lerner (2009)", "previouslyFormattedCitation" : "Cao and Lerner (2009)"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Cao and Lerner (2009)</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"author" : [ { "dropping-particle" : "", "family" : "Jegadeesh", "given" : "Narasimhan", "non-dropping-particle" : "", "parse-names" : false, "suffix" : "" }, { "dropping-particle" : "", "family" : "Kr\u00e4ussl", "given" : "Roman", "non-dropping-particle" : "", "parse-names" : false, "suffix" : "" }, { "dropping-particle" : "", "family" : "Pollet", "given" : "Joshua M.", "non-dropping-particle" : "", "parse-names" : false, "suffix" : "" } ], "container-title" : "Review of Financial Studies", "id" : "ITEM-1", "issued" : { "date-parts" : [ [ "2015" ] ] }, "page" : "3269-3302", "title" : "Risk and expected returns of private equity investments: Evidence based on market prices", "type" : "article-journal", "volume" : "28" }, "uris" : [ "http://www.mendeley.com/documents/?uuid=f6efdad5-14f2-40a1-a99f-d0cd95dc8b0f" ] } ], "mendeley" : { "formattedCitation" : "Jegadeesh, Kr\u00e4ussl, and Pollet (2015)", "plainTextFormattedCitation" : "Jegadeesh, Kr\u00e4ussl, and Pollet (2015)", "previouslyFormattedCitation" : "Jegadeesh, Kr\u00e4ussl, and Pollet (2015)"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Jegadeesh, Kräussl, and Pollet (2015)</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"author" : [ { "dropping-particle" : "", "family" : "Chiang", "given" : "Kevin C.H.", "non-dropping-particle" : "", "parse-names" : false, "suffix" : "" }, { "dropping-particle" : "", "family" : "Lee", "given" : "Ming-long", "non-dropping-particle" : "", "parse-names" : false, "suffix" : "" }, { "dropping-particle" : "", "family" : "Wisen", "given" : "Craig H.", "non-dropping-particle" : "", "parse-names" : false, "suffix" : "" } ], "container-title" : "Real Estate Economics", "id" : "ITEM-1", "issued" : { "date-parts" : [ [ "2005" ] ] }, "page" : "381-396", "title" : "On the time series properties of real estate investment trust betas", "type" : "article-journal", "volume" : "33" }, "uris" : [ "http://www.mendeley.com/documents/?uuid=b5671525-fda4-4c67-91a9-079b40028533" ] } ], "mendeley" : { "formattedCitation" : "Chiang, Lee, and Wisen (2005)", "plainTextFormattedCitation" : "Chiang, Lee, and Wisen (2005)", "previouslyFormattedCitation" : "Chiang, Lee, and Wisen (2005)"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Chiang, Lee, and Wisen (2005)</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"ISSN" : "08965803", "abstract" : "This study analyses the performance of real estate mutual funds for 1993 through 2001 period. The results indicate that real estate mutual funds do not provide positive abnormal performance on average. Fund performance to a large extent is determined by the performance of the real estate sector as a whole. Impacts of risk factors such as size, book-to-market ratio and market momentum become immaterial when the real estate market index is also included in the evaluation model. The results also show that fund performance persists in the short term. In addition, risk-adjusted real estate fund returns are affected by fund size, but unrelated to expense ratio, management tenure and turnover. [ABSTRACT FROM AUTHOR]", "author" : [ { "dropping-particle" : "", "family" : "Lin", "given" : "Crystal Y.", "non-dropping-particle" : "", "parse-names" : false, "suffix" : "" }, { "dropping-particle" : "", "family" : "Yung", "given" : "Kenneth", "non-dropping-particle" : "", "parse-names" : false, "suffix" : "" } ], "container-title" : "Journal of Real Estate Research", "id" : "ITEM-1", "issue" : "1", "issued" : { "date-parts" : [ [ "2004", "1" ] ] }, "page" : "69-93", "publisher" : "American Real Estate Society", "title" : "Real estate mutual funds: Performance and persistence", "type" : "article-journal", "volume" : "26" }, "uris" : [ "http://www.mendeley.com/documents/?uuid=d4b4db7f-e0f0-4c81-9aed-e1e690218335" ] } ], "mendeley" : { "formattedCitation" : "Lin and Yung (2004)", "plainTextFormattedCitation" : "Lin and Yung (2004)", "previouslyFormattedCitation" : "Lin and Yung (2004)"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Lin and Yung (2004)</w:t>
      </w:r>
      <w:r w:rsidR="007C0F5F" w:rsidRPr="003E78D5">
        <w:rPr>
          <w:rFonts w:ascii="Times New Roman" w:hAnsi="Times New Roman" w:cs="Times New Roman"/>
          <w:sz w:val="24"/>
          <w:szCs w:val="24"/>
          <w:lang w:val="en-US"/>
        </w:rPr>
        <w:fldChar w:fldCharType="end"/>
      </w:r>
      <w:r w:rsidR="007C0F5F" w:rsidRPr="003E78D5">
        <w:rPr>
          <w:rFonts w:ascii="Times New Roman" w:hAnsi="Times New Roman" w:cs="Times New Roman"/>
          <w:sz w:val="24"/>
          <w:szCs w:val="24"/>
          <w:lang w:val="en-US"/>
        </w:rPr>
        <w:t xml:space="preserve">, </w:t>
      </w:r>
      <w:r w:rsidR="007C0F5F" w:rsidRPr="003E78D5">
        <w:rPr>
          <w:rFonts w:ascii="Times New Roman" w:hAnsi="Times New Roman" w:cs="Times New Roman"/>
          <w:sz w:val="24"/>
          <w:szCs w:val="24"/>
          <w:lang w:val="en-US"/>
        </w:rPr>
        <w:fldChar w:fldCharType="begin" w:fldLock="1"/>
      </w:r>
      <w:r w:rsidR="007C0F5F" w:rsidRPr="003E78D5">
        <w:rPr>
          <w:rFonts w:ascii="Times New Roman" w:hAnsi="Times New Roman" w:cs="Times New Roman"/>
          <w:sz w:val="24"/>
          <w:szCs w:val="24"/>
          <w:lang w:val="en-US"/>
        </w:rPr>
        <w:instrText>ADDIN CSL_CITATION { "citationItems" : [ { "id" : "ITEM-1", "itemData" : { "author" : [ { "dropping-particle" : "", "family" : "Elton", "given" : "Edwin J.", "non-dropping-particle" : "", "parse-names" : false, "suffix" : "" }, { "dropping-particle" : "", "family" : "Gruber", "given" : "Martin J.", "non-dropping-particle" : "", "parse-names" : false, "suffix" : "" }, { "dropping-particle" : "", "family" : "Agrawal", "given" : "Deepak", "non-dropping-particle" : "", "parse-names" : false, "suffix" : "" }, { "dropping-particle" : "", "family" : "Mann", "given" : "Christopher", "non-dropping-particle" : "", "parse-names" : false, "suffix" : "" } ], "container-title" : "Journal of Finance", "id" : "ITEM-1", "issue" : "1", "issued" : { "date-parts" : [ [ "2001" ] ] }, "page" : "247-278", "title" : "Explaining the rate spread on corporate bonds", "type" : "article-journal", "volume" : "56" }, "uris" : [ "http://www.mendeley.com/documents/?uuid=69aa99ea-6a6f-4fd8-a97a-bd33c285ddb0" ] } ], "mendeley" : { "formattedCitation" : "Elton et al. (2001)", "plainTextFormattedCitation" : "Elton et al. (2001)", "previouslyFormattedCitation" : "Elton et al. (2001)" }, "properties" : {  }, "schema" : "https://github.com/citation-style-language/schema/raw/master/csl-citation.json" }</w:instrText>
      </w:r>
      <w:r w:rsidR="007C0F5F" w:rsidRPr="003E78D5">
        <w:rPr>
          <w:rFonts w:ascii="Times New Roman" w:hAnsi="Times New Roman" w:cs="Times New Roman"/>
          <w:sz w:val="24"/>
          <w:szCs w:val="24"/>
          <w:lang w:val="en-US"/>
        </w:rPr>
        <w:fldChar w:fldCharType="separate"/>
      </w:r>
      <w:r w:rsidR="007C0F5F" w:rsidRPr="003E78D5">
        <w:rPr>
          <w:rFonts w:ascii="Times New Roman" w:hAnsi="Times New Roman" w:cs="Times New Roman"/>
          <w:noProof/>
          <w:sz w:val="24"/>
          <w:szCs w:val="24"/>
          <w:lang w:val="en-US"/>
        </w:rPr>
        <w:t>Elton et al. (2001)</w:t>
      </w:r>
      <w:r w:rsidR="007C0F5F"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004A6FA4" w:rsidRPr="003E78D5">
        <w:rPr>
          <w:rFonts w:ascii="Times New Roman" w:hAnsi="Times New Roman" w:cs="Times New Roman"/>
          <w:sz w:val="24"/>
          <w:szCs w:val="24"/>
          <w:lang w:val="en-US"/>
        </w:rPr>
        <w:fldChar w:fldCharType="begin" w:fldLock="1"/>
      </w:r>
      <w:r w:rsidR="004A6FA4" w:rsidRPr="003E78D5">
        <w:rPr>
          <w:rFonts w:ascii="Times New Roman" w:hAnsi="Times New Roman" w:cs="Times New Roman"/>
          <w:sz w:val="24"/>
          <w:szCs w:val="24"/>
          <w:lang w:val="en-US"/>
        </w:rPr>
        <w:instrText>ADDIN CSL_CITATION { "citationItems" : [ { "id" : "ITEM-1", "itemData" : { "DOI" : "10.1093/rfs/hhq050", "ISSN" : "0893-9454", "author" : [ { "dropping-particle" : "", "family" : "Korteweg", "given" : "Arthur", "non-dropping-particle" : "", "parse-names" : false, "suffix" : "" }, { "dropping-particle" : "", "family" : "Sorensen", "given" : "Morten", "non-dropping-particle" : "", "parse-names" : false, "suffix" : "" } ], "container-title" : "Review of Financial Studies", "id" : "ITEM-1", "issue" : "10", "issued" : { "date-parts" : [ [ "2010", "9", "3" ] ] }, "page" : "3738-3772", "title" : "Risk and return characteristics of venture capital-backed entrepreneurial companies", "type" : "article-journal", "volume" : "23" }, "uris" : [ "http://www.mendeley.com/documents/?uuid=772d907c-c509-4ff1-9b30-e332179543b4" ] } ], "mendeley" : { "formattedCitation" : "Korteweg and Sorensen (2010)", "plainTextFormattedCitation" : "Korteweg and Sorensen (2010)", "previouslyFormattedCitation" : "Korteweg and Sorensen (2010)"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Korteweg and Sorensen (2010)</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004A6FA4" w:rsidRPr="003E78D5">
        <w:rPr>
          <w:rFonts w:ascii="Times New Roman" w:hAnsi="Times New Roman" w:cs="Times New Roman"/>
          <w:sz w:val="24"/>
          <w:szCs w:val="24"/>
          <w:lang w:val="en-US"/>
        </w:rPr>
        <w:fldChar w:fldCharType="begin" w:fldLock="1"/>
      </w:r>
      <w:r w:rsidR="004A6FA4" w:rsidRPr="003E78D5">
        <w:rPr>
          <w:rFonts w:ascii="Times New Roman" w:hAnsi="Times New Roman" w:cs="Times New Roman"/>
          <w:sz w:val="24"/>
          <w:szCs w:val="24"/>
          <w:lang w:val="en-US"/>
        </w:rPr>
        <w:instrText>ADDIN CSL_CITATION { "citationItems" : [ { "id" : "ITEM-1", "itemData" : { "DOI" : "10.1111/j.1540-6261.2012.01788.x", "ISSN" : "00221082", "abstract" : "Private equity has traditionally been thought to provide diversification benefits. However, these benefits may be lower than anticipated as we find that private equity suffers from significant exposure to the same liquidity risk factor as public equity and other alternative asset classes. The unconditional liquidity risk premium is about 3% annually and, in a four-factor model, the inclusion of this liquidity risk premium reduces alpha to zero. In addition, we provide evidence that the link between private equity returns and overall market liquidity occurs via a funding liquidity channel. [ABSTRACT FROM AUTHOR]", "author" : [ { "dropping-particle" : "", "family" : "Franzoni", "given" : "Francesco", "non-dropping-particle" : "", "parse-names" : false, "suffix" : "" }, { "dropping-particle" : "", "family" : "Nowak", "given" : "Eric", "non-dropping-particle" : "", "parse-names" : false, "suffix" : "" }, { "dropping-particle" : "", "family" : "Phalippou", "given" : "Ludovic", "non-dropping-particle" : "", "parse-names" : false, "suffix" : "" } ], "container-title" : "Journal of Finance", "id" : "ITEM-1", "issue" : "6", "issued" : { "date-parts" : [ [ "2012", "12" ] ] }, "note" : "From Duplicate 2 ( \n\n\nPrivate Equity Performance and Liquidity Risk.\n\n\n- FRANZONI, FRANCESCO; NOWAK, ERIC; PHALIPPOU, LUDOVIC )\n\n\n\nAccession Number: 83485974; FRANZONI, FRANCESCO; NOWAK, ERIC; PHALIPPOU, LUDOVIC; Issue Info: Dec2012, Vol. 67 Issue 6, p2341; Thesaurus Term: FINANCIAL performance; Thesaurus Term: LIQUIDITY (Economics); Thesaurus Term: PORTFOLIO management (Investments); Thesaurus Term: PRIVATE equity; Thesaurus Term: PRIVATE equity funds; Thesaurus Term: INVESTMENT policy; Thesaurus Term: FINANCIAL risk management; Thesaurus Term: DIVERSIFICATION (Finance); Thesaurus Term: ASSET allocation; Thesaurus Term: CASH flow; Thesaurus Term: INVESTMENT analysis; Thesaurus Term: INVESTMENTS; Subject Term: EVALUATION; Author-Supplied Keyword: C51; Author-Supplied Keyword: G12; Author-Supplied Keyword: G23; NAICS/Industry Codes: 526917 Balanced funds / asset allocation funds; NAICS/Industry Codes: 522321 Central credit unions; NAICS/Industry Codes: 522320 Financial Transactions Processing, Reserve, and Clearinghouse Activities; NAICS/Industry Codes: 523920 Portfolio Management; Number of Pages: 33p; Illustrations: 10 Charts, 4 Graphs; Document Type: Article", "page" : "2341-2373", "title" : "Private equity performance and liquidity risk", "type" : "article-journal", "volume" : "67" }, "uris" : [ "http://www.mendeley.com/documents/?uuid=a0d67f79-e29f-4594-9a92-5c724d9abbc5" ] } ], "mendeley" : { "formattedCitation" : "Franzoni, Nowak, and Phalippou (2012)", "plainTextFormattedCitation" : "Franzoni, Nowak, and Phalippou (2012)", "previouslyFormattedCitation" : "Franzoni, Nowak, and Phalippou (2012)"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Franzoni, Nowak, and Phalippou (2012)</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004A6FA4"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"DOI" : "10.1017/S0022109012000221", "ISSN" : "00221090 17566916", "abstract" : "We develop a new methodology to estimate abnormal performance and risk exposure of nontraded assets from cash flows. Our methodology extends the standard internal rate of return approach to a dynamic setting. The small-sample properties are validated using a simulation study. We apply the method to a sample of 958 private equity funds. For venture capital funds, we find a high market beta and underperformance before and after fees. For buyout funds, we find a relatively low market beta and no evidence for outperformance. We find that self-reported net asset values significantly overstate fund values for mature and inactive funds. \u00a9 Copyright 2012 Michael G. Foster School of Business, University of Washington.", "author" : [ { "dropping-particle" : "", "family" : "Driessen", "given" : "Joost", "non-dropping-particle" : "", "parse-names" : false, "suffix" : "" }, { "dropping-particle" : "", "family" : "Lin", "given" : "Tse-Chun", "non-dropping-particle" : "", "parse-names" : false, "suffix" : "" }, { "dropping-particle" : "", "family" : "Phalippou", "given" : "Ludovic", "non-dropping-particle" : "", "parse-names" : false, "suffix" : "" } ], "container-title" : "Journal of Financial and Quantitative Analysis", "id" : "ITEM-1", "issue" : "3", "issued" : { "date-parts" : [ [ "2012" ] ] }, "page" : "511-535", "title" : "A new method to estimate risk and return of nontraded assets from cash flows: The case of private equity funds", "type" : "article-journal", "volume" : "47" }, "uris" : [ "http://www.mendeley.com/documents/?uuid=967d3618-6a04-3d3b-9bb7-d2b8ae136016" ] } ], "mendeley" : { "formattedCitation" : "Driessen, Lin, and Phalippou (2012)", "plainTextFormattedCitation" : "Driessen, Lin, and Phalippou (2012)", "previouslyFormattedCitation" : "Driessen, Lin, and Phalippou (2012)"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Driessen, Lin, and Phalippou (2012)</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004A6FA4" w:rsidRPr="003E78D5">
        <w:rPr>
          <w:rFonts w:ascii="Times New Roman" w:hAnsi="Times New Roman" w:cs="Times New Roman"/>
          <w:sz w:val="24"/>
          <w:szCs w:val="24"/>
          <w:lang w:val="en-US"/>
        </w:rPr>
        <w:fldChar w:fldCharType="begin" w:fldLock="1"/>
      </w:r>
      <w:r w:rsidR="00407671" w:rsidRPr="003E78D5">
        <w:rPr>
          <w:rFonts w:ascii="Times New Roman" w:hAnsi="Times New Roman" w:cs="Times New Roman"/>
          <w:sz w:val="24"/>
          <w:szCs w:val="24"/>
          <w:lang w:val="en-US"/>
        </w:rPr>
        <w:instrText>ADDIN CSL_CITATION { "citationItems" : [ { "id" : "ITEM-1", "itemData" : { "DOI" : "10.1017/S0022109012000221", "ISSN" : "00221090 17566916", "abstract" : "We develop a new methodology to estimate abnormal performance and risk exposure of nontraded assets from cash flows. Our methodology extends the standard internal rate of return approach to a dynamic setting. The small-sample properties are validated using a simulation study. We apply the method to a sample of 958 private equity funds. For venture capital funds, we find a high market beta and underperformance before and after fees. For buyout funds, we find a relatively low market beta and no evidence for outperformance. We find that self-reported net asset values significantly overstate fund values for mature and inactive funds. \u00a9 Copyright 2012 Michael G. Foster School of Business, University of Washington.", "author" : [ { "dropping-particle" : "", "family" : "Driessen", "given" : "Joost", "non-dropping-particle" : "", "parse-names" : false, "suffix" : "" }, { "dropping-particle" : "", "family" : "Lin", "given" : "Tse-Chun", "non-dropping-particle" : "", "parse-names" : false, "suffix" : "" }, { "dropping-particle" : "", "family" : "Phalippou", "given" : "Ludovic", "non-dropping-particle" : "", "parse-names" : false, "suffix" : "" } ], "container-title" : "Journal of Financial and Quantitative Analysis", "id" : "ITEM-1", "issue" : "3", "issued" : { "date-parts" : [ [ "2012" ] ] }, "page" : "511-535", "title" : "A new method to estimate risk and return of nontraded assets from cash flows: The case of private equity funds", "type" : "article-journal", "volume" : "47" }, "uris" : [ "http://www.mendeley.com/documents/?uuid=967d3618-6a04-3d3b-9bb7-d2b8ae136016" ] } ], "mendeley" : { "formattedCitation" : "Driessen, Lin, and Phalippou (2012)", "plainTextFormattedCitation" : "Driessen, Lin, and Phalippou (2012)", "previouslyFormattedCitation" : "Driessen, Lin, and Phalippou (2012)"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Driessen, Lin, and Phalippou (2012)</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These studies estimate a three</w:t>
      </w:r>
      <w:r w:rsidR="001E5463"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factor Fama-French model for venture capital, buyout, real estate</w:t>
      </w:r>
      <w:r w:rsidR="001E5463"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or high yield bonds.</w:t>
      </w:r>
      <w:r w:rsidRPr="003E78D5">
        <w:rPr>
          <w:rStyle w:val="FootnoteReference"/>
          <w:rFonts w:ascii="Times New Roman" w:hAnsi="Times New Roman" w:cs="Times New Roman"/>
          <w:sz w:val="24"/>
          <w:szCs w:val="24"/>
          <w:lang w:val="en-US"/>
        </w:rPr>
        <w:footnoteReference w:id="2"/>
      </w:r>
      <w:r w:rsidRPr="003E78D5">
        <w:rPr>
          <w:rFonts w:ascii="Times New Roman" w:hAnsi="Times New Roman" w:cs="Times New Roman"/>
          <w:sz w:val="24"/>
          <w:szCs w:val="24"/>
          <w:lang w:val="en-US"/>
        </w:rPr>
        <w:t xml:space="preserve"> Real estate estimates are derived from REITs, and credit estimates are derived from </w:t>
      </w:r>
      <w:r w:rsidR="001E5463"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ndustrial BBB-rated bonds of 10-year maturities. The weighted average across sub</w:t>
      </w:r>
      <w:r w:rsidR="001E5463" w:rsidRPr="003E78D5">
        <w:rPr>
          <w:rFonts w:ascii="Times New Roman" w:hAnsi="Times New Roman" w:cs="Times New Roman"/>
          <w:sz w:val="24"/>
          <w:szCs w:val="24"/>
          <w:lang w:val="en-US"/>
        </w:rPr>
        <w:t>classes takes the four sub</w:t>
      </w:r>
      <w:r w:rsidRPr="003E78D5">
        <w:rPr>
          <w:rFonts w:ascii="Times New Roman" w:hAnsi="Times New Roman" w:cs="Times New Roman"/>
          <w:sz w:val="24"/>
          <w:szCs w:val="24"/>
          <w:lang w:val="en-US"/>
        </w:rPr>
        <w:t xml:space="preserve">classes averages and weights them by </w:t>
      </w:r>
      <w:r w:rsidR="001E5463" w:rsidRPr="003E78D5">
        <w:rPr>
          <w:rFonts w:ascii="Times New Roman" w:hAnsi="Times New Roman" w:cs="Times New Roman"/>
          <w:sz w:val="24"/>
          <w:szCs w:val="24"/>
          <w:lang w:val="en-US"/>
        </w:rPr>
        <w:t>the number of funds in each subclass</w:t>
      </w:r>
      <w:r w:rsidRPr="003E78D5">
        <w:rPr>
          <w:rFonts w:ascii="Times New Roman" w:hAnsi="Times New Roman" w:cs="Times New Roman"/>
          <w:sz w:val="24"/>
          <w:szCs w:val="24"/>
          <w:lang w:val="en-US"/>
        </w:rPr>
        <w:t xml:space="preserve">. The loadings are rounded at 0.05. The average loading in each category is used as </w:t>
      </w:r>
      <w:r w:rsidR="001E5463" w:rsidRPr="003E78D5">
        <w:rPr>
          <w:rFonts w:ascii="Times New Roman" w:hAnsi="Times New Roman" w:cs="Times New Roman"/>
          <w:sz w:val="24"/>
          <w:szCs w:val="24"/>
          <w:lang w:val="en-US"/>
        </w:rPr>
        <w:t xml:space="preserve">the </w:t>
      </w:r>
      <w:r w:rsidRPr="003E78D5">
        <w:rPr>
          <w:rFonts w:ascii="Times New Roman" w:hAnsi="Times New Roman" w:cs="Times New Roman"/>
          <w:sz w:val="24"/>
          <w:szCs w:val="24"/>
          <w:lang w:val="en-US"/>
        </w:rPr>
        <w:t>prior.</w:t>
      </w:r>
    </w:p>
    <w:p w:rsidR="006C4BD5"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For the loading on the liquidity factor, there is only the </w:t>
      </w:r>
      <w:r w:rsidR="004A6FA4" w:rsidRPr="003E78D5">
        <w:rPr>
          <w:rFonts w:ascii="Times New Roman" w:hAnsi="Times New Roman" w:cs="Times New Roman"/>
          <w:sz w:val="24"/>
          <w:szCs w:val="24"/>
          <w:lang w:val="en-US"/>
        </w:rPr>
        <w:fldChar w:fldCharType="begin" w:fldLock="1"/>
      </w:r>
      <w:r w:rsidR="004A6FA4" w:rsidRPr="003E78D5">
        <w:rPr>
          <w:rFonts w:ascii="Times New Roman" w:hAnsi="Times New Roman" w:cs="Times New Roman"/>
          <w:sz w:val="24"/>
          <w:szCs w:val="24"/>
          <w:lang w:val="en-US"/>
        </w:rPr>
        <w:instrText>ADDIN CSL_CITATION { "citationItems" : [ { "id" : "ITEM-1", "itemData" : { "DOI" : "10.1111/j.1540-6261.2012.01788.x", "ISSN" : "00221082", "abstract" : "Private equity has traditionally been thought to provide diversification benefits. However, these benefits may be lower than anticipated as we find that private equity suffers from significant exposure to the same liquidity risk factor as public equity and other alternative asset classes. The unconditional liquidity risk premium is about 3% annually and, in a four-factor model, the inclusion of this liquidity risk premium reduces alpha to zero. In addition, we provide evidence that the link between private equity returns and overall market liquidity occurs via a funding liquidity channel. [ABSTRACT FROM AUTHOR]", "author" : [ { "dropping-particle" : "", "family" : "Franzoni", "given" : "Francesco", "non-dropping-particle" : "", "parse-names" : false, "suffix" : "" }, { "dropping-particle" : "", "family" : "Nowak", "given" : "Eric", "non-dropping-particle" : "", "parse-names" : false, "suffix" : "" }, { "dropping-particle" : "", "family" : "Phalippou", "given" : "Ludovic", "non-dropping-particle" : "", "parse-names" : false, "suffix" : "" } ], "container-title" : "Journal of Finance", "id" : "ITEM-1", "issue" : "6", "issued" : { "date-parts" : [ [ "2012", "12" ] ] }, "note" : "From Duplicate 2 ( \n\n\nPrivate Equity Performance and Liquidity Risk.\n\n\n- FRANZONI, FRANCESCO; NOWAK, ERIC; PHALIPPOU, LUDOVIC )\n\n\n\nAccession Number: 83485974; FRANZONI, FRANCESCO; NOWAK, ERIC; PHALIPPOU, LUDOVIC; Issue Info: Dec2012, Vol. 67 Issue 6, p2341; Thesaurus Term: FINANCIAL performance; Thesaurus Term: LIQUIDITY (Economics); Thesaurus Term: PORTFOLIO management (Investments); Thesaurus Term: PRIVATE equity; Thesaurus Term: PRIVATE equity funds; Thesaurus Term: INVESTMENT policy; Thesaurus Term: FINANCIAL risk management; Thesaurus Term: DIVERSIFICATION (Finance); Thesaurus Term: ASSET allocation; Thesaurus Term: CASH flow; Thesaurus Term: INVESTMENT analysis; Thesaurus Term: INVESTMENTS; Subject Term: EVALUATION; Author-Supplied Keyword: C51; Author-Supplied Keyword: G12; Author-Supplied Keyword: G23; NAICS/Industry Codes: 526917 Balanced funds / asset allocation funds; NAICS/Industry Codes: 522321 Central credit unions; NAICS/Industry Codes: 522320 Financial Transactions Processing, Reserve, and Clearinghouse Activities; NAICS/Industry Codes: 523920 Portfolio Management; Number of Pages: 33p; Illustrations: 10 Charts, 4 Graphs; Document Type: Article", "page" : "2341-2373", "title" : "Private equity performance and liquidity risk", "type" : "article-journal", "volume" : "67" }, "uris" : [ "http://www.mendeley.com/documents/?uuid=a0d67f79-e29f-4594-9a92-5c724d9abbc5" ] } ], "mendeley" : { "formattedCitation" : "Franzoni, Nowak, and Phalippou (2012)", "plainTextFormattedCitation" : "Franzoni, Nowak, and Phalippou (2012)", "previouslyFormattedCitation" : "Franzoni, Nowak, and Phalippou (2012)"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Franzoni, Nowak, and Phalippou (2012)</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estimate available in the literature and it is available only for buyout</w:t>
      </w:r>
      <w:r w:rsidR="001E5463" w:rsidRPr="003E78D5">
        <w:rPr>
          <w:rFonts w:ascii="Times New Roman" w:hAnsi="Times New Roman" w:cs="Times New Roman"/>
          <w:sz w:val="24"/>
          <w:szCs w:val="24"/>
          <w:lang w:val="en-US"/>
        </w:rPr>
        <w:t>s. The authors</w:t>
      </w:r>
      <w:r w:rsidRPr="003E78D5">
        <w:rPr>
          <w:rFonts w:ascii="Times New Roman" w:hAnsi="Times New Roman" w:cs="Times New Roman"/>
          <w:sz w:val="24"/>
          <w:szCs w:val="24"/>
          <w:lang w:val="en-US"/>
        </w:rPr>
        <w:t xml:space="preserve"> report a beta of 0.7, which we then use as a prior for buyout funds. For the other subsamples and the pooled </w:t>
      </w:r>
      <w:r w:rsidR="001E5463"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 xml:space="preserve"> fund samples</w:t>
      </w:r>
      <w:r w:rsidR="001E5463"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we use a prior of 0.5.</w:t>
      </w:r>
    </w:p>
    <w:p w:rsidR="006C4BD5"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From the estimates in Table </w:t>
      </w:r>
      <w:r w:rsidR="001E5463" w:rsidRPr="003E78D5">
        <w:rPr>
          <w:rFonts w:ascii="Times New Roman" w:hAnsi="Times New Roman" w:cs="Times New Roman"/>
          <w:sz w:val="24"/>
          <w:szCs w:val="24"/>
          <w:lang w:val="en-US"/>
        </w:rPr>
        <w:t>I</w:t>
      </w:r>
      <w:r w:rsidR="00D46A86" w:rsidRPr="003E78D5">
        <w:rPr>
          <w:rFonts w:ascii="Times New Roman" w:hAnsi="Times New Roman" w:cs="Times New Roman"/>
          <w:sz w:val="24"/>
          <w:szCs w:val="24"/>
          <w:lang w:val="en-US"/>
        </w:rPr>
        <w:t>A</w:t>
      </w:r>
      <w:r w:rsidR="001E5463" w:rsidRPr="003E78D5">
        <w:rPr>
          <w:rFonts w:ascii="Times New Roman" w:hAnsi="Times New Roman" w:cs="Times New Roman"/>
          <w:sz w:val="24"/>
          <w:szCs w:val="24"/>
          <w:lang w:val="en-US"/>
        </w:rPr>
        <w:t>.1</w:t>
      </w:r>
      <w:r w:rsidRPr="003E78D5">
        <w:rPr>
          <w:rFonts w:ascii="Times New Roman" w:hAnsi="Times New Roman" w:cs="Times New Roman"/>
          <w:sz w:val="24"/>
          <w:szCs w:val="24"/>
          <w:lang w:val="en-US"/>
        </w:rPr>
        <w:t xml:space="preserve">, we set prior means for </w:t>
      </w:r>
      <w:r w:rsidR="003D2A0C" w:rsidRPr="003E78D5">
        <w:rPr>
          <w:rFonts w:ascii="Times New Roman" w:hAnsi="Times New Roman" w:cs="Times New Roman"/>
          <w:sz w:val="24"/>
          <w:szCs w:val="24"/>
          <w:lang w:val="en-US"/>
        </w:rPr>
        <w:t xml:space="preserve">the </w:t>
      </w:r>
      <w:r w:rsidRPr="003E78D5">
        <w:rPr>
          <w:rFonts w:ascii="Times New Roman" w:hAnsi="Times New Roman" w:cs="Times New Roman"/>
          <w:sz w:val="24"/>
          <w:szCs w:val="24"/>
          <w:lang w:val="en-US"/>
        </w:rPr>
        <w:t xml:space="preserve">market, size, value, and liquidity factors at 1.30, 0.55, 0.05, and 0.50, respectively, for the </w:t>
      </w:r>
      <w:r w:rsidR="003D2A0C"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 xml:space="preserve"> sample. When we estimate factor loadings per fund category (venture capital, buyout</w:t>
      </w:r>
      <w:r w:rsidR="004A6FA4" w:rsidRPr="003E78D5">
        <w:rPr>
          <w:rFonts w:ascii="Times New Roman" w:hAnsi="Times New Roman" w:cs="Times New Roman"/>
          <w:sz w:val="24"/>
          <w:szCs w:val="24"/>
          <w:lang w:val="en-US"/>
        </w:rPr>
        <w:t>s,</w:t>
      </w:r>
      <w:r w:rsidRPr="003E78D5">
        <w:rPr>
          <w:rFonts w:ascii="Times New Roman" w:hAnsi="Times New Roman" w:cs="Times New Roman"/>
          <w:sz w:val="24"/>
          <w:szCs w:val="24"/>
          <w:lang w:val="en-US"/>
        </w:rPr>
        <w:t xml:space="preserve"> etc.)</w:t>
      </w:r>
      <w:r w:rsidR="003D2A0C"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we use the average estimate in the literature in the corresponding category. The prior for alpha is set at zero for simplicity. The estimation is insensitive to the alpha priors. </w:t>
      </w:r>
    </w:p>
    <w:p w:rsidR="006C4BD5"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To comput</w:t>
      </w:r>
      <w:r w:rsidR="003D2A0C" w:rsidRPr="003E78D5">
        <w:rPr>
          <w:rFonts w:ascii="Times New Roman" w:hAnsi="Times New Roman" w:cs="Times New Roman"/>
          <w:sz w:val="24"/>
          <w:szCs w:val="24"/>
          <w:lang w:val="en-US"/>
        </w:rPr>
        <w:t xml:space="preserve">e the prior for </w:t>
      </w:r>
      <w:r w:rsidRPr="003E78D5">
        <w:rPr>
          <w:rFonts w:ascii="Times New Roman" w:hAnsi="Times New Roman" w:cs="Times New Roman"/>
          <w:sz w:val="24"/>
          <w:szCs w:val="24"/>
          <w:lang w:val="en-US"/>
        </w:rPr>
        <w:t xml:space="preserve">premium persistence, we use the individual buyout investment return database of </w:t>
      </w:r>
      <w:r w:rsidRPr="003E78D5">
        <w:rPr>
          <w:rFonts w:ascii="Times New Roman" w:hAnsi="Times New Roman" w:cs="Times New Roman"/>
          <w:sz w:val="24"/>
          <w:szCs w:val="24"/>
          <w:lang w:val="en-US"/>
        </w:rPr>
        <w:fldChar w:fldCharType="begin" w:fldLock="1"/>
      </w:r>
      <w:r w:rsidR="007C0DDB" w:rsidRPr="003E78D5">
        <w:rPr>
          <w:rFonts w:ascii="Times New Roman" w:hAnsi="Times New Roman" w:cs="Times New Roman"/>
          <w:sz w:val="24"/>
          <w:szCs w:val="24"/>
          <w:lang w:val="en-US"/>
        </w:rPr>
        <w:instrText>ADDIN CSL_CITATION { "citationItems" : [ { "id" : "ITEM-1", "itemData" : { "abstract" : "We examine the determinants of private equity returns using a newly constructed database of 7,500 investments worldwide over forty years. The median investment IRR (PME) is 21{%} (1.3), gross of fees. One in ten investments goes bankrupt, whereas one in four has an IRR above 50{%}. Only one in eight investments is held for less than 2 years, but such investments have the highest returns. The scale of private equity firms is a significant driver of returns: investments held at times of a high number of simultaneous investments underperform substantially. The median IRR is 36{%} in the lowest scale decile and 16{%} in the highest. Results survive robustness tests. Diseconomies of scale are linked to firm structure: independent firms, less hierarchical firms, and those with managers of similar professional backgrounds exhibit smaller diseconomies of scale.", "author" : [ { "dropping-particle" : "", "family" : "Lopez-de-Silanes", "given" : "Florencio", "non-dropping-particle" : "", "parse-names" : false, "suffix" : "" }, { "dropping-particle" : "", "family" : "Phalippou", "given" : "Ludovic", "non-dropping-particle" : "", "parse-names" : false, "suffix" : "" }, { "dropping-particle" : "", "family" : "Gottschalg", "given" : "Oliver", "non-dropping-particle" : "", "parse-names" : false, "suffix" : "" } ], "container-title" : "Journal of Financial &amp; Quantitative Analysis", "id" : "ITEM-1", "issue" : "3", "issued" : { "date-parts" : [ [ "2015" ] ] }, "page" : "377-411", "title" : "Giants at the gate: On the cross section of private equity investment returns", "type" : "article-journal", "volume" : "50" }, "uris" : [ "http://www.mendeley.com/documents/?uuid=a99f52a6-274b-492a-9bd9-c32c4daf0867", "http://www.mendeley.com/documents/?uuid=10f0e82a-d664-49dd-9104-8e60abf0e620" ] } ], "mendeley" : { "formattedCitation" : "Lopez-de-Silanes, Phalippou, and Gottschalg (2015)", "plainTextFormattedCitation" : "Lopez-de-Silanes, Phalippou, and Gottschalg (2015)", "previouslyFormattedCitation" : "Lopez-de-Silanes, Phalippou, and Gottschalg (2015)" }, "properties" : {  }, "schema" : "https://github.com/citation-style-language/schema/raw/master/csl-citation.json" }</w:instrText>
      </w:r>
      <w:r w:rsidRPr="003E78D5">
        <w:rPr>
          <w:rFonts w:ascii="Times New Roman" w:hAnsi="Times New Roman" w:cs="Times New Roman"/>
          <w:sz w:val="24"/>
          <w:szCs w:val="24"/>
          <w:lang w:val="en-US"/>
        </w:rPr>
        <w:fldChar w:fldCharType="separate"/>
      </w:r>
      <w:r w:rsidRPr="003E78D5">
        <w:rPr>
          <w:rFonts w:ascii="Times New Roman" w:hAnsi="Times New Roman" w:cs="Times New Roman"/>
          <w:noProof/>
          <w:sz w:val="24"/>
          <w:szCs w:val="24"/>
          <w:lang w:val="en-US"/>
        </w:rPr>
        <w:t>Lopez-de-Silanes, Phalippou, and Gottschalg (2015)</w:t>
      </w:r>
      <w:r w:rsidRPr="003E78D5">
        <w:rPr>
          <w:rFonts w:ascii="Times New Roman" w:hAnsi="Times New Roman" w:cs="Times New Roman"/>
          <w:sz w:val="24"/>
          <w:szCs w:val="24"/>
          <w:lang w:val="en-US"/>
        </w:rPr>
        <w:fldChar w:fldCharType="end"/>
      </w:r>
      <w:r w:rsidRPr="003E78D5">
        <w:rPr>
          <w:rFonts w:ascii="Times New Roman" w:hAnsi="Times New Roman" w:cs="Times New Roman"/>
          <w:sz w:val="24"/>
          <w:szCs w:val="24"/>
          <w:lang w:val="en-US"/>
        </w:rPr>
        <w:t xml:space="preserve">. We compute the correlation between successive investment IRRs of the same </w:t>
      </w:r>
      <w:r w:rsidR="003D2A0C" w:rsidRPr="003E78D5">
        <w:rPr>
          <w:rFonts w:ascii="Times New Roman" w:hAnsi="Times New Roman" w:cs="Times New Roman"/>
          <w:sz w:val="24"/>
          <w:szCs w:val="24"/>
          <w:lang w:val="en-US"/>
        </w:rPr>
        <w:t>PE</w:t>
      </w:r>
      <w:r w:rsidRPr="003E78D5">
        <w:rPr>
          <w:rFonts w:ascii="Times New Roman" w:hAnsi="Times New Roman" w:cs="Times New Roman"/>
          <w:sz w:val="24"/>
          <w:szCs w:val="24"/>
          <w:lang w:val="en-US"/>
        </w:rPr>
        <w:t xml:space="preserve"> firm (IRR of investment </w:t>
      </w:r>
      <w:r w:rsidRPr="003E78D5">
        <w:rPr>
          <w:rFonts w:ascii="Times New Roman" w:hAnsi="Times New Roman" w:cs="Times New Roman"/>
          <w:i/>
          <w:sz w:val="24"/>
          <w:szCs w:val="24"/>
          <w:lang w:val="en-US"/>
        </w:rPr>
        <w:t>i</w:t>
      </w:r>
      <w:r w:rsidRPr="003E78D5">
        <w:rPr>
          <w:rFonts w:ascii="Times New Roman" w:hAnsi="Times New Roman" w:cs="Times New Roman"/>
          <w:sz w:val="24"/>
          <w:szCs w:val="24"/>
          <w:lang w:val="en-US"/>
        </w:rPr>
        <w:t xml:space="preserve"> and IRR of investment </w:t>
      </w:r>
      <w:r w:rsidR="003D2A0C" w:rsidRPr="003E78D5">
        <w:rPr>
          <w:rFonts w:ascii="Times New Roman" w:hAnsi="Times New Roman" w:cs="Times New Roman"/>
          <w:i/>
          <w:sz w:val="24"/>
          <w:szCs w:val="24"/>
          <w:lang w:val="en-US"/>
        </w:rPr>
        <w:t>i+1</w:t>
      </w:r>
      <w:r w:rsidRPr="003E78D5">
        <w:rPr>
          <w:rFonts w:ascii="Times New Roman" w:hAnsi="Times New Roman" w:cs="Times New Roman"/>
          <w:sz w:val="24"/>
          <w:szCs w:val="24"/>
          <w:lang w:val="en-US"/>
        </w:rPr>
        <w:t xml:space="preserve">) and find </w:t>
      </w:r>
      <w:r w:rsidR="003D2A0C" w:rsidRPr="003E78D5">
        <w:rPr>
          <w:rFonts w:ascii="Times New Roman" w:hAnsi="Times New Roman" w:cs="Times New Roman"/>
          <w:sz w:val="24"/>
          <w:szCs w:val="24"/>
          <w:lang w:val="en-US"/>
        </w:rPr>
        <w:t xml:space="preserve">that it is equal </w:t>
      </w:r>
      <w:r w:rsidRPr="003E78D5">
        <w:rPr>
          <w:rFonts w:ascii="Times New Roman" w:hAnsi="Times New Roman" w:cs="Times New Roman"/>
          <w:sz w:val="24"/>
          <w:szCs w:val="24"/>
          <w:lang w:val="en-US"/>
        </w:rPr>
        <w:t xml:space="preserve">to 0.25. The average spread in starting dates is around six months and investments last for four years. If the process is assumed to be AR(1), this </w:t>
      </w:r>
      <w:r w:rsidR="009248A6" w:rsidRPr="003E78D5">
        <w:rPr>
          <w:rFonts w:ascii="Times New Roman" w:hAnsi="Times New Roman" w:cs="Times New Roman"/>
          <w:sz w:val="24"/>
          <w:szCs w:val="24"/>
          <w:lang w:val="en-US"/>
        </w:rPr>
        <w:t>implies</w:t>
      </w:r>
      <w:r w:rsidRPr="003E78D5">
        <w:rPr>
          <w:rFonts w:ascii="Times New Roman" w:hAnsi="Times New Roman" w:cs="Times New Roman"/>
          <w:sz w:val="24"/>
          <w:szCs w:val="24"/>
          <w:lang w:val="en-US"/>
        </w:rPr>
        <w:t xml:space="preserve"> an autocorrelation coefficient of 0.5 at yearly frequency, which is what we use as a prior. </w:t>
      </w:r>
    </w:p>
    <w:p w:rsidR="006C4BD5"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lastRenderedPageBreak/>
        <w:t xml:space="preserve">We set bounds of </w:t>
      </w:r>
      <w:r w:rsidRPr="003E78D5">
        <w:rPr>
          <w:rFonts w:ascii="Times New Roman" w:hAnsi="Times New Roman" w:cs="Times New Roman"/>
          <w:position w:val="-4"/>
          <w:sz w:val="24"/>
          <w:szCs w:val="24"/>
          <w:lang w:val="en-US"/>
        </w:rPr>
        <w:object w:dxaOrig="300" w:dyaOrig="260">
          <v:shape id="_x0000_i1071" type="#_x0000_t75" style="width:14.25pt;height:14.25pt" o:ole="">
            <v:imagedata r:id="rId94" o:title=""/>
          </v:shape>
          <o:OLEObject Type="Embed" ProgID="Equation.DSMT4" ShapeID="_x0000_i1071" DrawAspect="Content" ObjectID="_1583745882" r:id="rId95"/>
        </w:object>
      </w:r>
      <w:r w:rsidRPr="003E78D5">
        <w:rPr>
          <w:rFonts w:ascii="Times New Roman" w:hAnsi="Times New Roman" w:cs="Times New Roman"/>
          <w:sz w:val="24"/>
          <w:szCs w:val="24"/>
          <w:lang w:val="en-US"/>
        </w:rPr>
        <w:t xml:space="preserve"> around the prior mean for betas. We impose no bounds on the alpha.</w:t>
      </w:r>
      <w:r w:rsidR="004A6FA4" w:rsidRPr="003E78D5">
        <w:rPr>
          <w:rFonts w:ascii="Times New Roman" w:hAnsi="Times New Roman" w:cs="Times New Roman"/>
          <w:sz w:val="24"/>
          <w:szCs w:val="24"/>
          <w:lang w:val="en-US"/>
        </w:rPr>
        <w:t xml:space="preserve"> The autocorrelation parameter,</w:t>
      </w:r>
      <w:r w:rsidR="001E5463" w:rsidRPr="003E78D5">
        <w:rPr>
          <w:rFonts w:ascii="Times New Roman" w:hAnsi="Times New Roman" w:cs="Times New Roman"/>
          <w:sz w:val="24"/>
          <w:szCs w:val="24"/>
          <w:lang w:val="en-US"/>
        </w:rPr>
        <w:t xml:space="preserve"> φ</w:t>
      </w:r>
      <w:r w:rsidRPr="003E78D5">
        <w:rPr>
          <w:rFonts w:ascii="Times New Roman" w:hAnsi="Times New Roman" w:cs="Times New Roman"/>
          <w:sz w:val="24"/>
          <w:szCs w:val="24"/>
          <w:lang w:val="en-US"/>
        </w:rPr>
        <w:t xml:space="preserve">, is restricted to lie between 0 and 0.9 and the latent return is restricted to lie in between -0.50 and 1.00 per quarter.  </w:t>
      </w:r>
    </w:p>
    <w:p w:rsidR="008751E1" w:rsidRPr="003E78D5" w:rsidRDefault="006C4BD5" w:rsidP="00364F1B">
      <w:pPr>
        <w:spacing w:line="360" w:lineRule="auto"/>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The standard deviation of the prior captures how diffuse the priors are. We choose a large standard deviation for the priors equal to 10. This would represent an extremely diffuse prior in most contexts. We find, however, that the posterior distributions depend on the volatility of the latent factors more than the priors of the parameters. The volatility of the latent factor is equivalent to determining the</w:t>
      </w:r>
      <w:r w:rsidR="009248A6" w:rsidRPr="003E78D5">
        <w:rPr>
          <w:rFonts w:ascii="Times New Roman" w:hAnsi="Times New Roman" w:cs="Times New Roman"/>
          <w:sz w:val="24"/>
          <w:szCs w:val="24"/>
          <w:lang w:val="en-US"/>
        </w:rPr>
        <w:t xml:space="preserve"> </w:t>
      </w:r>
      <w:r w:rsidR="009248A6" w:rsidRPr="003E78D5">
        <w:rPr>
          <w:rFonts w:ascii="Times New Roman" w:hAnsi="Times New Roman" w:cs="Times New Roman"/>
          <w:i/>
          <w:sz w:val="24"/>
          <w:szCs w:val="24"/>
          <w:lang w:val="en-US"/>
        </w:rPr>
        <w:t>R</w:t>
      </w:r>
      <w:r w:rsidR="009248A6" w:rsidRPr="003E78D5">
        <w:rPr>
          <w:rFonts w:ascii="Times New Roman" w:hAnsi="Times New Roman" w:cs="Times New Roman"/>
          <w:i/>
          <w:sz w:val="24"/>
          <w:szCs w:val="24"/>
          <w:vertAlign w:val="superscript"/>
          <w:lang w:val="en-US"/>
        </w:rPr>
        <w:t>2</w:t>
      </w:r>
      <w:r w:rsidR="009248A6"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that is</w:t>
      </w:r>
      <w:r w:rsidR="009248A6"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how much of the private equity return is attributable to systematic factors. Since</w:t>
      </w:r>
      <w:r w:rsidR="009248A6" w:rsidRPr="003E78D5">
        <w:rPr>
          <w:rFonts w:ascii="Times New Roman" w:hAnsi="Times New Roman" w:cs="Times New Roman"/>
          <w:sz w:val="24"/>
          <w:szCs w:val="24"/>
          <w:lang w:val="en-US"/>
        </w:rPr>
        <w:t xml:space="preserve"> </w:t>
      </w:r>
      <w:r w:rsidR="009248A6" w:rsidRPr="003E78D5">
        <w:rPr>
          <w:rFonts w:ascii="Times New Roman" w:hAnsi="Times New Roman" w:cs="Times New Roman"/>
          <w:i/>
          <w:sz w:val="24"/>
          <w:szCs w:val="24"/>
          <w:lang w:val="en-US"/>
        </w:rPr>
        <w:t>f</w:t>
      </w:r>
      <w:r w:rsidR="009248A6" w:rsidRPr="003E78D5">
        <w:rPr>
          <w:rFonts w:ascii="Times New Roman" w:hAnsi="Times New Roman" w:cs="Times New Roman"/>
          <w:i/>
          <w:sz w:val="24"/>
          <w:szCs w:val="24"/>
          <w:vertAlign w:val="subscript"/>
          <w:lang w:val="en-US"/>
        </w:rPr>
        <w:t>t</w:t>
      </w:r>
      <w:r w:rsidR="009248A6" w:rsidRPr="003E78D5">
        <w:rPr>
          <w:rFonts w:ascii="Times New Roman" w:hAnsi="Times New Roman" w:cs="Times New Roman"/>
          <w:sz w:val="24"/>
          <w:szCs w:val="24"/>
          <w:lang w:val="en-US"/>
        </w:rPr>
        <w:t xml:space="preserve"> </w:t>
      </w:r>
      <w:r w:rsid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is latent, we could exactly match any private equity return process if there were no restrictions. This can be clearly seen in a traditional linear context, but also occurs in the likelihood for our private equity cash flows. Thus, as expected, the volatility of the latent process influences the informativeness of the priors. We cap the volatility of the latent returns at a large 100% per quarter. For the prior for the volatility of the latent return, we use a mean of 20% per quarter.</w:t>
      </w:r>
    </w:p>
    <w:p w:rsidR="008751E1" w:rsidRPr="003E78D5" w:rsidRDefault="008751E1" w:rsidP="008751E1">
      <w:pPr>
        <w:spacing w:after="0" w:line="360" w:lineRule="auto"/>
        <w:jc w:val="center"/>
        <w:rPr>
          <w:rFonts w:ascii="Times New Roman" w:hAnsi="Times New Roman" w:cs="Times New Roman"/>
          <w:sz w:val="24"/>
          <w:szCs w:val="24"/>
          <w:lang w:val="en-US"/>
        </w:rPr>
      </w:pPr>
    </w:p>
    <w:p w:rsidR="00D46A86" w:rsidRPr="003E78D5" w:rsidRDefault="006C4BD5" w:rsidP="008751E1">
      <w:pPr>
        <w:spacing w:after="0" w:line="36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br w:type="page"/>
      </w:r>
      <w:r w:rsidR="00D46A86" w:rsidRPr="003E78D5">
        <w:rPr>
          <w:rFonts w:ascii="Times New Roman" w:hAnsi="Times New Roman" w:cs="Times New Roman"/>
          <w:b/>
          <w:sz w:val="24"/>
          <w:szCs w:val="24"/>
          <w:lang w:val="en-US"/>
        </w:rPr>
        <w:lastRenderedPageBreak/>
        <w:t xml:space="preserve">Table </w:t>
      </w:r>
      <w:r w:rsidR="004A6FA4" w:rsidRPr="003E78D5">
        <w:rPr>
          <w:rFonts w:ascii="Times New Roman" w:hAnsi="Times New Roman" w:cs="Times New Roman"/>
          <w:b/>
          <w:sz w:val="24"/>
          <w:szCs w:val="24"/>
          <w:lang w:val="en-US"/>
        </w:rPr>
        <w:t>I</w:t>
      </w:r>
      <w:r w:rsidR="00D46A86" w:rsidRPr="003E78D5">
        <w:rPr>
          <w:rFonts w:ascii="Times New Roman" w:hAnsi="Times New Roman" w:cs="Times New Roman"/>
          <w:b/>
          <w:sz w:val="24"/>
          <w:szCs w:val="24"/>
          <w:lang w:val="en-US"/>
        </w:rPr>
        <w:t>A</w:t>
      </w:r>
      <w:r w:rsidR="004A6FA4" w:rsidRPr="003E78D5">
        <w:rPr>
          <w:rFonts w:ascii="Times New Roman" w:hAnsi="Times New Roman" w:cs="Times New Roman"/>
          <w:b/>
          <w:sz w:val="24"/>
          <w:szCs w:val="24"/>
          <w:lang w:val="en-US"/>
        </w:rPr>
        <w:t>.</w:t>
      </w:r>
      <w:r w:rsidR="00D46A86" w:rsidRPr="003E78D5">
        <w:rPr>
          <w:rFonts w:ascii="Times New Roman" w:hAnsi="Times New Roman" w:cs="Times New Roman"/>
          <w:b/>
          <w:sz w:val="24"/>
          <w:szCs w:val="24"/>
          <w:lang w:val="en-US"/>
        </w:rPr>
        <w:t>I</w:t>
      </w:r>
    </w:p>
    <w:p w:rsidR="006C4BD5" w:rsidRPr="003E78D5" w:rsidRDefault="00D46A86" w:rsidP="008751E1">
      <w:pPr>
        <w:spacing w:after="0" w:line="36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 xml:space="preserve">Prior </w:t>
      </w:r>
      <w:r w:rsidR="006C4BD5" w:rsidRPr="003E78D5">
        <w:rPr>
          <w:rFonts w:ascii="Times New Roman" w:hAnsi="Times New Roman" w:cs="Times New Roman"/>
          <w:b/>
          <w:sz w:val="24"/>
          <w:szCs w:val="24"/>
          <w:lang w:val="en-US"/>
        </w:rPr>
        <w:t>Estimates of the Risk Exposures of Private Equity Funds</w:t>
      </w:r>
    </w:p>
    <w:p w:rsidR="00775A57" w:rsidRDefault="006C4BD5" w:rsidP="006C4BD5">
      <w:pPr>
        <w:jc w:val="both"/>
        <w:rPr>
          <w:rFonts w:ascii="Times New Roman" w:eastAsia="Verdana" w:hAnsi="Times New Roman" w:cs="Times New Roman"/>
          <w:spacing w:val="-13"/>
          <w:sz w:val="24"/>
          <w:szCs w:val="24"/>
          <w:lang w:val="en-US"/>
        </w:rPr>
      </w:pPr>
      <w:r w:rsidRPr="003E78D5">
        <w:rPr>
          <w:rFonts w:ascii="Times New Roman" w:hAnsi="Times New Roman" w:cs="Times New Roman"/>
          <w:sz w:val="24"/>
          <w:szCs w:val="24"/>
          <w:lang w:val="en-US"/>
        </w:rPr>
        <w:t>This table shows the factor loading estimates shown in the literature. Selected papers a</w:t>
      </w:r>
      <w:r w:rsidR="00D46A86" w:rsidRPr="003E78D5">
        <w:rPr>
          <w:rFonts w:ascii="Times New Roman" w:hAnsi="Times New Roman" w:cs="Times New Roman"/>
          <w:sz w:val="24"/>
          <w:szCs w:val="24"/>
          <w:lang w:val="en-US"/>
        </w:rPr>
        <w:t>re those that estimate a three-</w:t>
      </w:r>
      <w:r w:rsidRPr="003E78D5">
        <w:rPr>
          <w:rFonts w:ascii="Times New Roman" w:hAnsi="Times New Roman" w:cs="Times New Roman"/>
          <w:sz w:val="24"/>
          <w:szCs w:val="24"/>
          <w:lang w:val="en-US"/>
        </w:rPr>
        <w:t>factor model for venture capital, buyout</w:t>
      </w:r>
      <w:r w:rsidR="00CF01D8" w:rsidRPr="003E78D5">
        <w:rPr>
          <w:rFonts w:ascii="Times New Roman" w:hAnsi="Times New Roman" w:cs="Times New Roman"/>
          <w:sz w:val="24"/>
          <w:szCs w:val="24"/>
          <w:lang w:val="en-US"/>
        </w:rPr>
        <w:t>s</w:t>
      </w:r>
      <w:r w:rsidRPr="003E78D5">
        <w:rPr>
          <w:rFonts w:ascii="Times New Roman" w:hAnsi="Times New Roman" w:cs="Times New Roman"/>
          <w:sz w:val="24"/>
          <w:szCs w:val="24"/>
          <w:lang w:val="en-US"/>
        </w:rPr>
        <w:t>, real estate</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or high yield bonds. </w:t>
      </w:r>
      <w:r w:rsidR="004A6FA4" w:rsidRPr="003E78D5">
        <w:rPr>
          <w:rFonts w:ascii="Times New Roman" w:hAnsi="Times New Roman" w:cs="Times New Roman"/>
          <w:sz w:val="24"/>
          <w:szCs w:val="24"/>
          <w:lang w:val="en-US"/>
        </w:rPr>
        <w:fldChar w:fldCharType="begin" w:fldLock="1"/>
      </w:r>
      <w:r w:rsidR="004A6FA4" w:rsidRPr="003E78D5">
        <w:rPr>
          <w:rFonts w:ascii="Times New Roman" w:hAnsi="Times New Roman" w:cs="Times New Roman"/>
          <w:sz w:val="24"/>
          <w:szCs w:val="24"/>
          <w:lang w:val="en-US"/>
        </w:rPr>
        <w:instrText>ADDIN CSL_CITATION { "citationItems" : [ { "id" : "ITEM-1", "itemData" : { "author" : [ { "dropping-particle" : "", "family" : "Jegadeesh", "given" : "Narasimhan", "non-dropping-particle" : "", "parse-names" : false, "suffix" : "" }, { "dropping-particle" : "", "family" : "Kr\u00e4ussl", "given" : "Roman", "non-dropping-particle" : "", "parse-names" : false, "suffix" : "" }, { "dropping-particle" : "", "family" : "Pollet", "given" : "Joshua M.", "non-dropping-particle" : "", "parse-names" : false, "suffix" : "" } ], "container-title" : "Review of Financial Studies", "id" : "ITEM-1", "issued" : { "date-parts" : [ [ "2015" ] ] }, "page" : "3269-3302", "title" : "Risk and expected returns of private equity investments: Evidence based on market prices", "type" : "article-journal", "volume" : "28" }, "uris" : [ "http://www.mendeley.com/documents/?uuid=f6efdad5-14f2-40a1-a99f-d0cd95dc8b0f" ] } ], "mendeley" : { "formattedCitation" : "Jegadeesh, Kr\u00e4ussl, and Pollet (2015)", "plainTextFormattedCitation" : "Jegadeesh, Kr\u00e4ussl, and Pollet (2015)", "previouslyFormattedCitation" : "Jegadeesh, Kr\u00e4ussl, and Pollet (2015)" }, "properties" : {  }, "schema" : "https://github.com/citation-style-language/schema/raw/master/csl-citation.json" }</w:instrText>
      </w:r>
      <w:r w:rsidR="004A6FA4" w:rsidRPr="003E78D5">
        <w:rPr>
          <w:rFonts w:ascii="Times New Roman" w:hAnsi="Times New Roman" w:cs="Times New Roman"/>
          <w:sz w:val="24"/>
          <w:szCs w:val="24"/>
          <w:lang w:val="en-US"/>
        </w:rPr>
        <w:fldChar w:fldCharType="separate"/>
      </w:r>
      <w:r w:rsidR="004A6FA4" w:rsidRPr="003E78D5">
        <w:rPr>
          <w:rFonts w:ascii="Times New Roman" w:hAnsi="Times New Roman" w:cs="Times New Roman"/>
          <w:noProof/>
          <w:sz w:val="24"/>
          <w:szCs w:val="24"/>
          <w:lang w:val="en-US"/>
        </w:rPr>
        <w:t>Jegadeesh, Kräussl, and Pollet (2015)</w:t>
      </w:r>
      <w:r w:rsidR="004A6FA4" w:rsidRPr="003E78D5">
        <w:rPr>
          <w:rFonts w:ascii="Times New Roman" w:hAnsi="Times New Roman" w:cs="Times New Roman"/>
          <w:sz w:val="24"/>
          <w:szCs w:val="24"/>
          <w:lang w:val="en-US"/>
        </w:rPr>
        <w:fldChar w:fldCharType="end"/>
      </w:r>
      <w:r w:rsidR="004A6FA4"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use a data</w:t>
      </w:r>
      <w:r w:rsidR="00CF01D8"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 xml:space="preserve">set that contains predominantly but not exclusively buyout related vehicles (the rest of their sample is venture capital related). Real estate estimates are derived from </w:t>
      </w:r>
      <w:r w:rsidR="00D46A86" w:rsidRPr="003E78D5">
        <w:rPr>
          <w:rFonts w:ascii="Times New Roman" w:hAnsi="Times New Roman" w:cs="Times New Roman"/>
          <w:sz w:val="24"/>
          <w:szCs w:val="24"/>
          <w:lang w:val="en-US"/>
        </w:rPr>
        <w:t>REITs</w:t>
      </w:r>
      <w:r w:rsidRPr="003E78D5">
        <w:rPr>
          <w:rFonts w:ascii="Times New Roman" w:hAnsi="Times New Roman" w:cs="Times New Roman"/>
          <w:sz w:val="24"/>
          <w:szCs w:val="24"/>
          <w:lang w:val="en-US"/>
        </w:rPr>
        <w:t xml:space="preserve">, and credit estimates are derived from </w:t>
      </w:r>
      <w:r w:rsidR="00CF01D8" w:rsidRPr="003E78D5">
        <w:rPr>
          <w:rFonts w:ascii="Times New Roman" w:hAnsi="Times New Roman" w:cs="Times New Roman"/>
          <w:sz w:val="24"/>
          <w:szCs w:val="24"/>
          <w:lang w:val="en-US"/>
        </w:rPr>
        <w:t>i</w:t>
      </w:r>
      <w:r w:rsidRPr="003E78D5">
        <w:rPr>
          <w:rFonts w:ascii="Times New Roman" w:hAnsi="Times New Roman" w:cs="Times New Roman"/>
          <w:sz w:val="24"/>
          <w:szCs w:val="24"/>
          <w:lang w:val="en-US"/>
        </w:rPr>
        <w:t xml:space="preserve">ndustrial BBB-rated bonds of 10-year maturities. </w:t>
      </w:r>
      <w:r w:rsidR="00CF01D8" w:rsidRPr="003E78D5">
        <w:rPr>
          <w:rFonts w:ascii="Times New Roman" w:hAnsi="Times New Roman" w:cs="Times New Roman"/>
          <w:sz w:val="24"/>
          <w:szCs w:val="24"/>
          <w:lang w:val="en-US"/>
        </w:rPr>
        <w:t>The weighted average across sub</w:t>
      </w:r>
      <w:r w:rsidRPr="003E78D5">
        <w:rPr>
          <w:rFonts w:ascii="Times New Roman" w:hAnsi="Times New Roman" w:cs="Times New Roman"/>
          <w:sz w:val="24"/>
          <w:szCs w:val="24"/>
          <w:lang w:val="en-US"/>
        </w:rPr>
        <w:t>classes takes the four sub</w:t>
      </w:r>
      <w:r w:rsidR="00CF01D8" w:rsidRPr="003E78D5">
        <w:rPr>
          <w:rFonts w:ascii="Times New Roman" w:hAnsi="Times New Roman" w:cs="Times New Roman"/>
          <w:sz w:val="24"/>
          <w:szCs w:val="24"/>
          <w:lang w:val="en-US"/>
        </w:rPr>
        <w:t>class</w:t>
      </w:r>
      <w:r w:rsidRPr="003E78D5">
        <w:rPr>
          <w:rFonts w:ascii="Times New Roman" w:hAnsi="Times New Roman" w:cs="Times New Roman"/>
          <w:sz w:val="24"/>
          <w:szCs w:val="24"/>
          <w:lang w:val="en-US"/>
        </w:rPr>
        <w:t xml:space="preserve"> averages and weights them by </w:t>
      </w:r>
      <w:r w:rsidR="00CF01D8" w:rsidRPr="003E78D5">
        <w:rPr>
          <w:rFonts w:ascii="Times New Roman" w:hAnsi="Times New Roman" w:cs="Times New Roman"/>
          <w:sz w:val="24"/>
          <w:szCs w:val="24"/>
          <w:lang w:val="en-US"/>
        </w:rPr>
        <w:t>the number of funds in each sub</w:t>
      </w:r>
      <w:r w:rsidRPr="003E78D5">
        <w:rPr>
          <w:rFonts w:ascii="Times New Roman" w:hAnsi="Times New Roman" w:cs="Times New Roman"/>
          <w:sz w:val="24"/>
          <w:szCs w:val="24"/>
          <w:lang w:val="en-US"/>
        </w:rPr>
        <w:t>class. The loadings are rounded to increments of 0.05. The average loading in each category is used as priors in our Bayesian estimations.</w:t>
      </w:r>
      <w:r w:rsidR="00775A57" w:rsidRPr="00775A57">
        <w:rPr>
          <w:rFonts w:ascii="Times New Roman" w:eastAsia="Verdana" w:hAnsi="Times New Roman" w:cs="Times New Roman"/>
          <w:spacing w:val="-13"/>
          <w:sz w:val="24"/>
          <w:szCs w:val="24"/>
          <w:lang w:val="en-US"/>
        </w:rPr>
        <w:t xml:space="preserve"> </w:t>
      </w:r>
    </w:p>
    <w:p w:rsidR="006C4BD5" w:rsidRPr="003E78D5" w:rsidRDefault="006C4BD5" w:rsidP="006C4BD5">
      <w:pPr>
        <w:spacing w:after="0" w:line="240" w:lineRule="auto"/>
        <w:jc w:val="center"/>
        <w:rPr>
          <w:rFonts w:ascii="Times New Roman" w:hAnsi="Times New Roman" w:cs="Times New Roman"/>
          <w:b/>
          <w:sz w:val="24"/>
          <w:szCs w:val="24"/>
          <w:lang w:val="en-US"/>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1500"/>
        <w:gridCol w:w="1255"/>
        <w:gridCol w:w="1301"/>
        <w:gridCol w:w="1251"/>
      </w:tblGrid>
      <w:tr w:rsidR="006C4BD5" w:rsidRPr="003E78D5" w:rsidTr="00CF01D8">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1932" w:type="pct"/>
            <w:gridSpan w:val="3"/>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Venture capital funds</w:t>
            </w:r>
          </w:p>
        </w:tc>
      </w:tr>
      <w:tr w:rsidR="006C4BD5" w:rsidRPr="003E78D5" w:rsidTr="00CF01D8">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Authors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Year</w:t>
            </w: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mkt</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smb</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hml</w:t>
            </w:r>
          </w:p>
        </w:tc>
      </w:tr>
      <w:tr w:rsidR="006C4BD5" w:rsidRPr="003E78D5" w:rsidTr="00CF01D8">
        <w:tc>
          <w:tcPr>
            <w:tcW w:w="2307" w:type="pct"/>
            <w:tcBorders>
              <w:top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Brav, and Gompers</w:t>
            </w:r>
          </w:p>
        </w:tc>
        <w:tc>
          <w:tcPr>
            <w:tcW w:w="761"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1997</w:t>
            </w:r>
          </w:p>
        </w:tc>
        <w:tc>
          <w:tcPr>
            <w:tcW w:w="637"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1.10</w:t>
            </w:r>
          </w:p>
        </w:tc>
        <w:tc>
          <w:tcPr>
            <w:tcW w:w="660"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1.30</w:t>
            </w:r>
          </w:p>
        </w:tc>
        <w:tc>
          <w:tcPr>
            <w:tcW w:w="635"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-0.70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Driessen, Lin</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Phalippou</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2012</w:t>
            </w: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2.40</w:t>
            </w: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0.90</w:t>
            </w: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-0.25</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Ewens, Jones</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Rhodes-Kropf</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2013</w:t>
            </w: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1.05</w:t>
            </w: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-0.10</w:t>
            </w: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-0.90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Korteweg, and Sorensen</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2009</w:t>
            </w:r>
          </w:p>
        </w:tc>
        <w:tc>
          <w:tcPr>
            <w:tcW w:w="637"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2.30</w:t>
            </w:r>
          </w:p>
        </w:tc>
        <w:tc>
          <w:tcPr>
            <w:tcW w:w="660"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1.00</w:t>
            </w:r>
          </w:p>
        </w:tc>
        <w:tc>
          <w:tcPr>
            <w:tcW w:w="635"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-1.55</w:t>
            </w:r>
          </w:p>
        </w:tc>
      </w:tr>
      <w:tr w:rsidR="006C4BD5" w:rsidRPr="003E78D5" w:rsidTr="00EE60A6">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b/>
                <w:sz w:val="24"/>
                <w:szCs w:val="24"/>
                <w:lang w:val="en-US"/>
              </w:rPr>
            </w:pPr>
            <w:r w:rsidRPr="003E78D5">
              <w:rPr>
                <w:rFonts w:ascii="Times New Roman" w:hAnsi="Times New Roman" w:cs="Times New Roman"/>
                <w:b/>
                <w:sz w:val="24"/>
                <w:szCs w:val="24"/>
                <w:lang w:val="en-US"/>
              </w:rPr>
              <w:t>Average venture capital funds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1.70</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0.80</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-0.85</w:t>
            </w:r>
          </w:p>
        </w:tc>
      </w:tr>
      <w:tr w:rsidR="006C4BD5" w:rsidRPr="003E78D5" w:rsidTr="00CF01D8">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1932" w:type="pct"/>
            <w:gridSpan w:val="3"/>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Buyout funds</w:t>
            </w:r>
          </w:p>
        </w:tc>
      </w:tr>
      <w:tr w:rsidR="006C4BD5" w:rsidRPr="003E78D5" w:rsidTr="00CF01D8">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Authors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Year</w:t>
            </w: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mkt</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smb</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hml</w:t>
            </w:r>
          </w:p>
        </w:tc>
      </w:tr>
      <w:tr w:rsidR="006C4BD5" w:rsidRPr="003E78D5" w:rsidTr="00CF01D8">
        <w:tc>
          <w:tcPr>
            <w:tcW w:w="2307" w:type="pct"/>
            <w:tcBorders>
              <w:top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Cao, and Lerner</w:t>
            </w:r>
          </w:p>
        </w:tc>
        <w:tc>
          <w:tcPr>
            <w:tcW w:w="761"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2007</w:t>
            </w:r>
          </w:p>
        </w:tc>
        <w:tc>
          <w:tcPr>
            <w:tcW w:w="637"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1.30</w:t>
            </w:r>
          </w:p>
        </w:tc>
        <w:tc>
          <w:tcPr>
            <w:tcW w:w="660"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0.75</w:t>
            </w:r>
          </w:p>
        </w:tc>
        <w:tc>
          <w:tcPr>
            <w:tcW w:w="635"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0.20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Driessen, Lin</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Phalippou</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2012</w:t>
            </w: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1.70</w:t>
            </w: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-0.90</w:t>
            </w: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1.40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Ewens, Jones</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Rhodes-Kropf</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2013</w:t>
            </w: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0.80</w:t>
            </w: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0.10</w:t>
            </w: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0.25</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Franzoni, Nowak</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Phalippou</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2012</w:t>
            </w:r>
          </w:p>
        </w:tc>
        <w:tc>
          <w:tcPr>
            <w:tcW w:w="637"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1.40</w:t>
            </w:r>
          </w:p>
        </w:tc>
        <w:tc>
          <w:tcPr>
            <w:tcW w:w="660"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-0.10</w:t>
            </w:r>
          </w:p>
        </w:tc>
        <w:tc>
          <w:tcPr>
            <w:tcW w:w="635" w:type="pct"/>
            <w:tcBorders>
              <w:top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0.70</w:t>
            </w:r>
          </w:p>
        </w:tc>
      </w:tr>
      <w:tr w:rsidR="006C4BD5" w:rsidRPr="003E78D5" w:rsidTr="00EE60A6">
        <w:tc>
          <w:tcPr>
            <w:tcW w:w="2307" w:type="pct"/>
          </w:tcPr>
          <w:p w:rsidR="006C4BD5" w:rsidRPr="003E78D5" w:rsidRDefault="006C4BD5" w:rsidP="00EE60A6">
            <w:pPr>
              <w:rPr>
                <w:rFonts w:ascii="Times New Roman" w:hAnsi="Times New Roman" w:cs="Times New Roman"/>
                <w:b/>
                <w:sz w:val="24"/>
                <w:szCs w:val="24"/>
                <w:lang w:val="en-US"/>
              </w:rPr>
            </w:pPr>
            <w:r w:rsidRPr="003E78D5">
              <w:rPr>
                <w:rFonts w:ascii="Times New Roman" w:hAnsi="Times New Roman" w:cs="Times New Roman"/>
                <w:sz w:val="24"/>
                <w:szCs w:val="24"/>
                <w:lang w:val="en-US"/>
              </w:rPr>
              <w:t xml:space="preserve">Jegadeesh, </w:t>
            </w:r>
            <w:r w:rsidRPr="003E78D5">
              <w:rPr>
                <w:rStyle w:val="st"/>
                <w:rFonts w:ascii="Times New Roman" w:hAnsi="Times New Roman" w:cs="Times New Roman"/>
                <w:sz w:val="24"/>
                <w:szCs w:val="24"/>
                <w:lang w:val="en-US"/>
              </w:rPr>
              <w:t>Kräussl and Pollet</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2010</w:t>
            </w:r>
          </w:p>
        </w:tc>
        <w:tc>
          <w:tcPr>
            <w:tcW w:w="637"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1.05</w:t>
            </w:r>
          </w:p>
        </w:tc>
        <w:tc>
          <w:tcPr>
            <w:tcW w:w="660"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0.60</w:t>
            </w:r>
          </w:p>
        </w:tc>
        <w:tc>
          <w:tcPr>
            <w:tcW w:w="635"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0.35</w:t>
            </w:r>
          </w:p>
        </w:tc>
      </w:tr>
      <w:tr w:rsidR="006C4BD5" w:rsidRPr="003E78D5" w:rsidTr="00EE60A6">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b/>
                <w:sz w:val="24"/>
                <w:szCs w:val="24"/>
                <w:lang w:val="en-US"/>
              </w:rPr>
            </w:pPr>
            <w:r w:rsidRPr="003E78D5">
              <w:rPr>
                <w:rFonts w:ascii="Times New Roman" w:hAnsi="Times New Roman" w:cs="Times New Roman"/>
                <w:b/>
                <w:sz w:val="24"/>
                <w:szCs w:val="24"/>
                <w:lang w:val="en-US"/>
              </w:rPr>
              <w:t>Average buyout funds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1.25</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0.10</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0.60</w:t>
            </w:r>
          </w:p>
        </w:tc>
      </w:tr>
      <w:tr w:rsidR="006C4BD5" w:rsidRPr="003E78D5" w:rsidTr="00CF01D8">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1932" w:type="pct"/>
            <w:gridSpan w:val="3"/>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Real estate</w:t>
            </w:r>
          </w:p>
        </w:tc>
      </w:tr>
      <w:tr w:rsidR="006C4BD5" w:rsidRPr="003E78D5" w:rsidTr="00CF01D8">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Authors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Year</w:t>
            </w: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mkt</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smb</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hml</w:t>
            </w:r>
          </w:p>
        </w:tc>
      </w:tr>
      <w:tr w:rsidR="006C4BD5" w:rsidRPr="003E78D5" w:rsidTr="00CF01D8">
        <w:tc>
          <w:tcPr>
            <w:tcW w:w="2307" w:type="pct"/>
            <w:tcBorders>
              <w:top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Chiang, Lee</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Wisen</w:t>
            </w:r>
          </w:p>
        </w:tc>
        <w:tc>
          <w:tcPr>
            <w:tcW w:w="761"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2005</w:t>
            </w:r>
          </w:p>
        </w:tc>
        <w:tc>
          <w:tcPr>
            <w:tcW w:w="637"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0.55</w:t>
            </w:r>
          </w:p>
        </w:tc>
        <w:tc>
          <w:tcPr>
            <w:tcW w:w="660"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0.40</w:t>
            </w:r>
          </w:p>
        </w:tc>
        <w:tc>
          <w:tcPr>
            <w:tcW w:w="635"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Derwall, Huij, Brounen, and Marquering</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2009</w:t>
            </w: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0.65</w:t>
            </w: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0.40</w:t>
            </w: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0.60</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Lin</w:t>
            </w:r>
            <w:r w:rsidR="00CF01D8" w:rsidRPr="003E78D5">
              <w:rPr>
                <w:rFonts w:ascii="Times New Roman" w:hAnsi="Times New Roman" w:cs="Times New Roman"/>
                <w:sz w:val="24"/>
                <w:szCs w:val="24"/>
                <w:lang w:val="en-US"/>
              </w:rPr>
              <w:t>,</w:t>
            </w:r>
            <w:r w:rsidRPr="003E78D5">
              <w:rPr>
                <w:rFonts w:ascii="Times New Roman" w:hAnsi="Times New Roman" w:cs="Times New Roman"/>
                <w:sz w:val="24"/>
                <w:szCs w:val="24"/>
                <w:lang w:val="en-US"/>
              </w:rPr>
              <w:t xml:space="preserve"> and Yung</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2004</w:t>
            </w:r>
          </w:p>
        </w:tc>
        <w:tc>
          <w:tcPr>
            <w:tcW w:w="637"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0.55</w:t>
            </w:r>
          </w:p>
        </w:tc>
        <w:tc>
          <w:tcPr>
            <w:tcW w:w="660"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0.40</w:t>
            </w:r>
          </w:p>
        </w:tc>
        <w:tc>
          <w:tcPr>
            <w:tcW w:w="635"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0.70</w:t>
            </w:r>
          </w:p>
        </w:tc>
      </w:tr>
      <w:tr w:rsidR="006C4BD5" w:rsidRPr="003E78D5" w:rsidTr="00CF01D8">
        <w:tc>
          <w:tcPr>
            <w:tcW w:w="2307" w:type="pct"/>
            <w:tcBorders>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b/>
                <w:sz w:val="24"/>
                <w:szCs w:val="24"/>
                <w:lang w:val="en-US"/>
              </w:rPr>
            </w:pPr>
            <w:r w:rsidRPr="003E78D5">
              <w:rPr>
                <w:rFonts w:ascii="Times New Roman" w:hAnsi="Times New Roman" w:cs="Times New Roman"/>
                <w:b/>
                <w:sz w:val="24"/>
                <w:szCs w:val="24"/>
                <w:lang w:val="en-US"/>
              </w:rPr>
              <w:t>Average real estate</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0.60</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0.40</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0.60</w:t>
            </w:r>
          </w:p>
        </w:tc>
      </w:tr>
      <w:tr w:rsidR="006C4BD5" w:rsidRPr="003E78D5" w:rsidTr="00CF01D8">
        <w:tc>
          <w:tcPr>
            <w:tcW w:w="2307" w:type="pct"/>
            <w:tcBorders>
              <w:top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761"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1932" w:type="pct"/>
            <w:gridSpan w:val="3"/>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Credit</w:t>
            </w:r>
          </w:p>
        </w:tc>
      </w:tr>
      <w:tr w:rsidR="006C4BD5" w:rsidRPr="003E78D5" w:rsidTr="00CF01D8">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Authors</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Year</w:t>
            </w:r>
          </w:p>
        </w:tc>
        <w:tc>
          <w:tcPr>
            <w:tcW w:w="637"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mkt</w:t>
            </w:r>
          </w:p>
        </w:tc>
        <w:tc>
          <w:tcPr>
            <w:tcW w:w="660"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smb</w:t>
            </w:r>
          </w:p>
        </w:tc>
        <w:tc>
          <w:tcPr>
            <w:tcW w:w="635" w:type="pct"/>
            <w:tcBorders>
              <w:top w:val="single" w:sz="4" w:space="0" w:color="auto"/>
              <w:bottom w:val="single" w:sz="4" w:space="0" w:color="auto"/>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hml</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Elton, Gruber, Agrawal, and Mann</w:t>
            </w:r>
          </w:p>
        </w:tc>
        <w:tc>
          <w:tcPr>
            <w:tcW w:w="761" w:type="pct"/>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2001</w:t>
            </w:r>
          </w:p>
        </w:tc>
        <w:tc>
          <w:tcPr>
            <w:tcW w:w="637"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0.70</w:t>
            </w:r>
          </w:p>
        </w:tc>
        <w:tc>
          <w:tcPr>
            <w:tcW w:w="660"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1.30</w:t>
            </w:r>
          </w:p>
        </w:tc>
        <w:tc>
          <w:tcPr>
            <w:tcW w:w="635" w:type="pct"/>
            <w:tcBorders>
              <w:top w:val="single" w:sz="4" w:space="0" w:color="auto"/>
              <w:bottom w:val="nil"/>
            </w:tcBorders>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1.45</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b/>
                <w:sz w:val="24"/>
                <w:szCs w:val="24"/>
                <w:lang w:val="en-US"/>
              </w:rPr>
            </w:pPr>
            <w:r w:rsidRPr="003E78D5">
              <w:rPr>
                <w:rFonts w:ascii="Times New Roman" w:hAnsi="Times New Roman" w:cs="Times New Roman"/>
                <w:b/>
                <w:sz w:val="24"/>
                <w:szCs w:val="24"/>
                <w:lang w:val="en-US"/>
              </w:rPr>
              <w:t>Average high yield debt</w:t>
            </w:r>
          </w:p>
        </w:tc>
        <w:tc>
          <w:tcPr>
            <w:tcW w:w="761" w:type="pct"/>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0.70</w:t>
            </w:r>
          </w:p>
        </w:tc>
        <w:tc>
          <w:tcPr>
            <w:tcW w:w="660"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1.30</w:t>
            </w:r>
          </w:p>
        </w:tc>
        <w:tc>
          <w:tcPr>
            <w:tcW w:w="635" w:type="pct"/>
            <w:tcBorders>
              <w:top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1.45</w:t>
            </w:r>
          </w:p>
        </w:tc>
      </w:tr>
      <w:tr w:rsidR="006C4BD5" w:rsidRPr="003E78D5" w:rsidTr="00EE60A6">
        <w:tc>
          <w:tcPr>
            <w:tcW w:w="2307" w:type="pct"/>
          </w:tcPr>
          <w:p w:rsidR="006C4BD5" w:rsidRPr="003E78D5" w:rsidRDefault="006C4BD5" w:rsidP="00EE60A6">
            <w:pPr>
              <w:pStyle w:val="NoSpacing"/>
              <w:spacing w:line="276" w:lineRule="auto"/>
              <w:jc w:val="left"/>
              <w:rPr>
                <w:rFonts w:ascii="Times New Roman" w:hAnsi="Times New Roman" w:cs="Times New Roman"/>
                <w:b/>
                <w:sz w:val="24"/>
                <w:szCs w:val="24"/>
                <w:lang w:val="en-US"/>
              </w:rPr>
            </w:pPr>
          </w:p>
        </w:tc>
        <w:tc>
          <w:tcPr>
            <w:tcW w:w="761" w:type="pct"/>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nil"/>
              <w:bottom w:val="nil"/>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60" w:type="pct"/>
            <w:tcBorders>
              <w:top w:val="nil"/>
              <w:bottom w:val="nil"/>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5" w:type="pct"/>
            <w:tcBorders>
              <w:top w:val="nil"/>
              <w:bottom w:val="nil"/>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r>
      <w:tr w:rsidR="006C4BD5" w:rsidRPr="003E78D5" w:rsidTr="00EE60A6">
        <w:tc>
          <w:tcPr>
            <w:tcW w:w="2307" w:type="pct"/>
            <w:tcBorders>
              <w:bottom w:val="single" w:sz="4" w:space="0" w:color="auto"/>
            </w:tcBorders>
          </w:tcPr>
          <w:p w:rsidR="006C4BD5" w:rsidRPr="003E78D5" w:rsidRDefault="00CF01D8" w:rsidP="00EE60A6">
            <w:pPr>
              <w:pStyle w:val="NoSpacing"/>
              <w:spacing w:line="276" w:lineRule="auto"/>
              <w:jc w:val="left"/>
              <w:rPr>
                <w:rFonts w:ascii="Times New Roman" w:hAnsi="Times New Roman" w:cs="Times New Roman"/>
                <w:b/>
                <w:sz w:val="24"/>
                <w:szCs w:val="24"/>
                <w:lang w:val="en-US"/>
              </w:rPr>
            </w:pPr>
            <w:r w:rsidRPr="003E78D5">
              <w:rPr>
                <w:rFonts w:ascii="Times New Roman" w:hAnsi="Times New Roman" w:cs="Times New Roman"/>
                <w:b/>
                <w:sz w:val="24"/>
                <w:szCs w:val="24"/>
                <w:lang w:val="en-US"/>
              </w:rPr>
              <w:t>Weighted average across sub</w:t>
            </w:r>
            <w:r w:rsidR="006C4BD5" w:rsidRPr="003E78D5">
              <w:rPr>
                <w:rFonts w:ascii="Times New Roman" w:hAnsi="Times New Roman" w:cs="Times New Roman"/>
                <w:b/>
                <w:sz w:val="24"/>
                <w:szCs w:val="24"/>
                <w:lang w:val="en-US"/>
              </w:rPr>
              <w:t>classes</w:t>
            </w:r>
          </w:p>
        </w:tc>
        <w:tc>
          <w:tcPr>
            <w:tcW w:w="761" w:type="pct"/>
            <w:tcBorders>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p>
        </w:tc>
        <w:tc>
          <w:tcPr>
            <w:tcW w:w="637"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1.30</w:t>
            </w:r>
          </w:p>
        </w:tc>
        <w:tc>
          <w:tcPr>
            <w:tcW w:w="660"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0.55</w:t>
            </w:r>
          </w:p>
        </w:tc>
        <w:tc>
          <w:tcPr>
            <w:tcW w:w="635" w:type="pct"/>
            <w:tcBorders>
              <w:top w:val="nil"/>
              <w:bottom w:val="single" w:sz="4" w:space="0" w:color="auto"/>
            </w:tcBorders>
          </w:tcPr>
          <w:p w:rsidR="006C4BD5" w:rsidRPr="003E78D5" w:rsidRDefault="006C4BD5" w:rsidP="00EE60A6">
            <w:pPr>
              <w:pStyle w:val="NoSpacing"/>
              <w:spacing w:line="276" w:lineRule="auto"/>
              <w:rPr>
                <w:rFonts w:ascii="Times New Roman" w:hAnsi="Times New Roman" w:cs="Times New Roman"/>
                <w:b/>
                <w:sz w:val="24"/>
                <w:szCs w:val="24"/>
                <w:lang w:val="en-US"/>
              </w:rPr>
            </w:pPr>
            <w:r w:rsidRPr="003E78D5">
              <w:rPr>
                <w:rFonts w:ascii="Times New Roman" w:hAnsi="Times New Roman" w:cs="Times New Roman"/>
                <w:b/>
                <w:sz w:val="24"/>
                <w:szCs w:val="24"/>
                <w:lang w:val="en-US"/>
              </w:rPr>
              <w:t>0.05</w:t>
            </w:r>
          </w:p>
        </w:tc>
      </w:tr>
    </w:tbl>
    <w:p w:rsidR="006C4BD5" w:rsidRPr="003E78D5" w:rsidRDefault="006C4BD5" w:rsidP="006C4BD5">
      <w:pPr>
        <w:spacing w:line="24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br w:type="page"/>
      </w:r>
    </w:p>
    <w:p w:rsidR="003D2A0C" w:rsidRPr="003E78D5" w:rsidRDefault="003D2A0C" w:rsidP="006C4BD5">
      <w:pPr>
        <w:spacing w:line="240" w:lineRule="auto"/>
        <w:jc w:val="center"/>
        <w:rPr>
          <w:rFonts w:ascii="Times New Roman" w:hAnsi="Times New Roman" w:cs="Times New Roman"/>
          <w:b/>
          <w:sz w:val="24"/>
          <w:szCs w:val="24"/>
          <w:lang w:val="en-US"/>
        </w:rPr>
      </w:pPr>
    </w:p>
    <w:p w:rsidR="00D46A86" w:rsidRPr="003E78D5" w:rsidRDefault="006C4BD5" w:rsidP="006C4BD5">
      <w:pPr>
        <w:spacing w:line="24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 xml:space="preserve">Table </w:t>
      </w:r>
      <w:r w:rsidR="001D3B5A" w:rsidRPr="003E78D5">
        <w:rPr>
          <w:rFonts w:ascii="Times New Roman" w:hAnsi="Times New Roman" w:cs="Times New Roman"/>
          <w:b/>
          <w:sz w:val="24"/>
          <w:szCs w:val="24"/>
          <w:lang w:val="en-US"/>
        </w:rPr>
        <w:t>I</w:t>
      </w:r>
      <w:r w:rsidRPr="003E78D5">
        <w:rPr>
          <w:rFonts w:ascii="Times New Roman" w:hAnsi="Times New Roman" w:cs="Times New Roman"/>
          <w:b/>
          <w:sz w:val="24"/>
          <w:szCs w:val="24"/>
          <w:lang w:val="en-US"/>
        </w:rPr>
        <w:t>A.</w:t>
      </w:r>
      <w:r w:rsidR="00D46A86" w:rsidRPr="003E78D5">
        <w:rPr>
          <w:rFonts w:ascii="Times New Roman" w:hAnsi="Times New Roman" w:cs="Times New Roman"/>
          <w:b/>
          <w:sz w:val="24"/>
          <w:szCs w:val="24"/>
          <w:lang w:val="en-US"/>
        </w:rPr>
        <w:t>II</w:t>
      </w:r>
    </w:p>
    <w:p w:rsidR="006C4BD5" w:rsidRPr="003E78D5" w:rsidRDefault="006C4BD5" w:rsidP="006C4BD5">
      <w:pPr>
        <w:spacing w:line="240" w:lineRule="auto"/>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 xml:space="preserve">Risk and </w:t>
      </w:r>
      <w:r w:rsidR="003E78D5" w:rsidRPr="003E78D5">
        <w:rPr>
          <w:rFonts w:ascii="Times New Roman" w:hAnsi="Times New Roman" w:cs="Times New Roman"/>
          <w:b/>
          <w:sz w:val="24"/>
          <w:szCs w:val="24"/>
          <w:lang w:val="en-US"/>
        </w:rPr>
        <w:t>Return of O</w:t>
      </w:r>
      <w:r w:rsidRPr="003E78D5">
        <w:rPr>
          <w:rFonts w:ascii="Times New Roman" w:hAnsi="Times New Roman" w:cs="Times New Roman"/>
          <w:b/>
          <w:sz w:val="24"/>
          <w:szCs w:val="24"/>
          <w:lang w:val="en-US"/>
        </w:rPr>
        <w:t xml:space="preserve">ther </w:t>
      </w:r>
      <w:r w:rsidR="003E78D5" w:rsidRPr="003E78D5">
        <w:rPr>
          <w:rFonts w:ascii="Times New Roman" w:hAnsi="Times New Roman" w:cs="Times New Roman"/>
          <w:b/>
          <w:sz w:val="24"/>
          <w:szCs w:val="24"/>
          <w:lang w:val="en-US"/>
        </w:rPr>
        <w:t>Types of Private Equity F</w:t>
      </w:r>
      <w:r w:rsidRPr="003E78D5">
        <w:rPr>
          <w:rFonts w:ascii="Times New Roman" w:hAnsi="Times New Roman" w:cs="Times New Roman"/>
          <w:b/>
          <w:sz w:val="24"/>
          <w:szCs w:val="24"/>
          <w:lang w:val="en-US"/>
        </w:rPr>
        <w:t>unds</w:t>
      </w:r>
    </w:p>
    <w:p w:rsidR="006C4BD5" w:rsidRPr="003E78D5" w:rsidRDefault="006C4BD5" w:rsidP="006C4BD5">
      <w:pPr>
        <w:spacing w:after="0"/>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This </w:t>
      </w:r>
      <w:r w:rsidR="002B6C06" w:rsidRPr="003E78D5">
        <w:rPr>
          <w:rFonts w:ascii="Times New Roman" w:hAnsi="Times New Roman" w:cs="Times New Roman"/>
          <w:sz w:val="24"/>
          <w:szCs w:val="24"/>
          <w:lang w:val="en-US"/>
        </w:rPr>
        <w:t>t</w:t>
      </w:r>
      <w:r w:rsidRPr="003E78D5">
        <w:rPr>
          <w:rFonts w:ascii="Times New Roman" w:hAnsi="Times New Roman" w:cs="Times New Roman"/>
          <w:sz w:val="24"/>
          <w:szCs w:val="24"/>
          <w:lang w:val="en-US"/>
        </w:rPr>
        <w:t xml:space="preserve">able is the same as Table </w:t>
      </w:r>
      <w:r w:rsidR="001D3B5A" w:rsidRPr="003E78D5">
        <w:rPr>
          <w:rFonts w:ascii="Times New Roman" w:hAnsi="Times New Roman" w:cs="Times New Roman"/>
          <w:sz w:val="24"/>
          <w:szCs w:val="24"/>
          <w:lang w:val="en-US"/>
        </w:rPr>
        <w:t>V</w:t>
      </w:r>
      <w:r w:rsidR="003E78D5" w:rsidRPr="003E78D5">
        <w:rPr>
          <w:rFonts w:ascii="Times New Roman" w:hAnsi="Times New Roman" w:cs="Times New Roman"/>
          <w:sz w:val="24"/>
          <w:szCs w:val="24"/>
          <w:lang w:val="en-US"/>
        </w:rPr>
        <w:t xml:space="preserve"> in the main article</w:t>
      </w:r>
      <w:r w:rsidRPr="003E78D5">
        <w:rPr>
          <w:rFonts w:ascii="Times New Roman" w:hAnsi="Times New Roman" w:cs="Times New Roman"/>
          <w:sz w:val="24"/>
          <w:szCs w:val="24"/>
          <w:lang w:val="en-US"/>
        </w:rPr>
        <w:t>. Statistics are shown for subsample</w:t>
      </w:r>
      <w:r w:rsidR="003E78D5" w:rsidRPr="003E78D5">
        <w:rPr>
          <w:rFonts w:ascii="Times New Roman" w:hAnsi="Times New Roman" w:cs="Times New Roman"/>
          <w:sz w:val="24"/>
          <w:szCs w:val="24"/>
          <w:lang w:val="en-US"/>
        </w:rPr>
        <w:t>s</w:t>
      </w:r>
      <w:r w:rsidRPr="003E78D5">
        <w:rPr>
          <w:rFonts w:ascii="Times New Roman" w:hAnsi="Times New Roman" w:cs="Times New Roman"/>
          <w:sz w:val="24"/>
          <w:szCs w:val="24"/>
          <w:lang w:val="en-US"/>
        </w:rPr>
        <w:t xml:space="preserve"> of private equity funds.</w:t>
      </w:r>
    </w:p>
    <w:p w:rsidR="006C4BD5" w:rsidRPr="003E78D5" w:rsidRDefault="006C4BD5" w:rsidP="006C4BD5">
      <w:pPr>
        <w:spacing w:after="0"/>
        <w:rPr>
          <w:rFonts w:ascii="Times New Roman" w:hAnsi="Times New Roman" w:cs="Times New Roman"/>
          <w:sz w:val="24"/>
          <w:szCs w:val="24"/>
          <w:lang w:val="en-US"/>
        </w:rPr>
      </w:pP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347"/>
        <w:gridCol w:w="800"/>
        <w:gridCol w:w="298"/>
        <w:gridCol w:w="648"/>
        <w:gridCol w:w="345"/>
        <w:gridCol w:w="713"/>
        <w:gridCol w:w="278"/>
        <w:gridCol w:w="1139"/>
        <w:gridCol w:w="219"/>
        <w:gridCol w:w="960"/>
        <w:gridCol w:w="166"/>
        <w:gridCol w:w="1600"/>
        <w:gridCol w:w="85"/>
      </w:tblGrid>
      <w:tr w:rsidR="001D3B5A" w:rsidRPr="003E78D5" w:rsidTr="00CD359D">
        <w:trPr>
          <w:gridAfter w:val="1"/>
          <w:wAfter w:w="43" w:type="pct"/>
        </w:trPr>
        <w:tc>
          <w:tcPr>
            <w:tcW w:w="4957" w:type="pct"/>
            <w:gridSpan w:val="13"/>
            <w:tcBorders>
              <w:top w:val="single" w:sz="4" w:space="0" w:color="auto"/>
              <w:bottom w:val="single" w:sz="4" w:space="0" w:color="auto"/>
            </w:tcBorders>
          </w:tcPr>
          <w:p w:rsidR="001D3B5A" w:rsidRPr="003E78D5" w:rsidRDefault="003E78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Panel A: Real Estate F</w:t>
            </w:r>
            <w:r w:rsidR="001D3B5A" w:rsidRPr="003E78D5">
              <w:rPr>
                <w:rFonts w:ascii="Times New Roman" w:hAnsi="Times New Roman" w:cs="Times New Roman"/>
                <w:sz w:val="24"/>
                <w:szCs w:val="24"/>
                <w:lang w:val="en-US"/>
              </w:rPr>
              <w:t>unds (N = 161 funds)</w:t>
            </w:r>
          </w:p>
        </w:tc>
      </w:tr>
      <w:tr w:rsidR="006C4BD5" w:rsidRPr="003E78D5" w:rsidTr="00CD359D">
        <w:trPr>
          <w:gridAfter w:val="1"/>
          <w:wAfter w:w="43" w:type="pct"/>
        </w:trPr>
        <w:tc>
          <w:tcPr>
            <w:tcW w:w="1145" w:type="pct"/>
            <w:tcBorders>
              <w:top w:val="single" w:sz="4" w:space="0" w:color="auto"/>
              <w:bottom w:val="single" w:sz="4" w:space="0" w:color="auto"/>
            </w:tcBorders>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Model</w:t>
            </w:r>
          </w:p>
        </w:tc>
        <w:tc>
          <w:tcPr>
            <w:tcW w:w="582"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i/>
                <w:sz w:val="24"/>
                <w:szCs w:val="24"/>
                <w:lang w:val="en-US"/>
              </w:rPr>
              <w:t>β</w:t>
            </w:r>
            <w:r w:rsidRPr="003E78D5">
              <w:rPr>
                <w:rFonts w:ascii="Times New Roman" w:hAnsi="Times New Roman" w:cs="Times New Roman"/>
                <w:sz w:val="24"/>
                <w:szCs w:val="24"/>
                <w:vertAlign w:val="subscript"/>
                <w:lang w:val="en-US"/>
              </w:rPr>
              <w:t>market</w:t>
            </w:r>
          </w:p>
        </w:tc>
        <w:tc>
          <w:tcPr>
            <w:tcW w:w="480"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i/>
                <w:sz w:val="24"/>
                <w:szCs w:val="24"/>
                <w:lang w:val="en-US"/>
              </w:rPr>
              <w:t>β</w:t>
            </w:r>
            <w:r w:rsidRPr="003E78D5">
              <w:rPr>
                <w:rFonts w:ascii="Times New Roman" w:hAnsi="Times New Roman" w:cs="Times New Roman"/>
                <w:sz w:val="24"/>
                <w:szCs w:val="24"/>
                <w:vertAlign w:val="subscript"/>
                <w:lang w:val="en-US"/>
              </w:rPr>
              <w:t>size</w:t>
            </w:r>
          </w:p>
        </w:tc>
        <w:tc>
          <w:tcPr>
            <w:tcW w:w="537"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i/>
                <w:sz w:val="24"/>
                <w:szCs w:val="24"/>
                <w:lang w:val="en-US"/>
              </w:rPr>
              <w:t>β</w:t>
            </w:r>
            <w:r w:rsidRPr="003E78D5">
              <w:rPr>
                <w:rFonts w:ascii="Times New Roman" w:hAnsi="Times New Roman" w:cs="Times New Roman"/>
                <w:sz w:val="24"/>
                <w:szCs w:val="24"/>
                <w:vertAlign w:val="subscript"/>
                <w:lang w:val="en-US"/>
              </w:rPr>
              <w:t>value</w:t>
            </w:r>
          </w:p>
        </w:tc>
        <w:tc>
          <w:tcPr>
            <w:tcW w:w="719"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i/>
                <w:sz w:val="24"/>
                <w:szCs w:val="24"/>
                <w:lang w:val="en-US"/>
              </w:rPr>
              <w:t>β</w:t>
            </w:r>
            <w:r w:rsidRPr="003E78D5">
              <w:rPr>
                <w:rFonts w:ascii="Times New Roman" w:hAnsi="Times New Roman" w:cs="Times New Roman"/>
                <w:sz w:val="24"/>
                <w:szCs w:val="24"/>
                <w:vertAlign w:val="subscript"/>
                <w:lang w:val="en-US"/>
              </w:rPr>
              <w:t>illiquidity</w:t>
            </w:r>
          </w:p>
        </w:tc>
        <w:tc>
          <w:tcPr>
            <w:tcW w:w="598" w:type="pct"/>
            <w:gridSpan w:val="2"/>
            <w:tcBorders>
              <w:top w:val="single" w:sz="4" w:space="0" w:color="auto"/>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Alpha</w:t>
            </w:r>
          </w:p>
        </w:tc>
        <w:tc>
          <w:tcPr>
            <w:tcW w:w="896" w:type="pct"/>
            <w:gridSpan w:val="2"/>
            <w:tcBorders>
              <w:top w:val="single" w:sz="4" w:space="0" w:color="auto"/>
              <w:bottom w:val="single" w:sz="4" w:space="0" w:color="auto"/>
            </w:tcBorders>
            <w:vAlign w:val="bottom"/>
          </w:tcPr>
          <w:p w:rsidR="006C4BD5" w:rsidRPr="003E78D5" w:rsidRDefault="006C4BD5" w:rsidP="00CD359D">
            <w:pPr>
              <w:pStyle w:val="NoSpacing"/>
              <w:spacing w:line="276" w:lineRule="auto"/>
              <w:rPr>
                <w:rFonts w:ascii="Times New Roman" w:hAnsi="Times New Roman" w:cs="Times New Roman"/>
                <w:sz w:val="24"/>
                <w:szCs w:val="24"/>
                <w:vertAlign w:val="superscript"/>
                <w:lang w:val="en-US"/>
              </w:rPr>
            </w:pPr>
            <w:r w:rsidRPr="003E78D5">
              <w:rPr>
                <w:rFonts w:ascii="Times New Roman" w:hAnsi="Times New Roman" w:cs="Times New Roman"/>
                <w:sz w:val="24"/>
                <w:szCs w:val="24"/>
                <w:lang w:val="en-US"/>
              </w:rPr>
              <w:t>R</w:t>
            </w:r>
            <w:r w:rsidR="00CD359D" w:rsidRPr="003E78D5">
              <w:rPr>
                <w:rFonts w:ascii="Times New Roman" w:hAnsi="Times New Roman" w:cs="Times New Roman"/>
                <w:sz w:val="24"/>
                <w:szCs w:val="24"/>
                <w:vertAlign w:val="superscript"/>
                <w:lang w:val="en-US"/>
              </w:rPr>
              <w:t>2</w:t>
            </w:r>
          </w:p>
        </w:tc>
      </w:tr>
      <w:tr w:rsidR="006C4BD5" w:rsidRPr="003E78D5" w:rsidTr="00CD359D">
        <w:trPr>
          <w:gridAfter w:val="1"/>
          <w:wAfter w:w="43" w:type="pct"/>
        </w:trPr>
        <w:tc>
          <w:tcPr>
            <w:tcW w:w="1145" w:type="pct"/>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CAPM</w:t>
            </w:r>
          </w:p>
        </w:tc>
        <w:tc>
          <w:tcPr>
            <w:tcW w:w="582"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0.47</w:t>
            </w:r>
            <w:r w:rsidRPr="003E78D5">
              <w:rPr>
                <w:rFonts w:ascii="Times New Roman" w:hAnsi="Times New Roman" w:cs="Times New Roman"/>
                <w:sz w:val="24"/>
                <w:szCs w:val="24"/>
                <w:vertAlign w:val="superscript"/>
                <w:lang w:val="en-US"/>
              </w:rPr>
              <w:t>a</w:t>
            </w:r>
          </w:p>
        </w:tc>
        <w:tc>
          <w:tcPr>
            <w:tcW w:w="480"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p>
        </w:tc>
        <w:tc>
          <w:tcPr>
            <w:tcW w:w="537"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p>
        </w:tc>
        <w:tc>
          <w:tcPr>
            <w:tcW w:w="719"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p>
        </w:tc>
        <w:tc>
          <w:tcPr>
            <w:tcW w:w="598"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0.00</w:t>
            </w:r>
          </w:p>
        </w:tc>
        <w:tc>
          <w:tcPr>
            <w:tcW w:w="896" w:type="pct"/>
            <w:gridSpan w:val="2"/>
            <w:tcBorders>
              <w:top w:val="nil"/>
              <w:bottom w:val="nil"/>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8.9%</w:t>
            </w:r>
          </w:p>
        </w:tc>
      </w:tr>
      <w:tr w:rsidR="006C4BD5" w:rsidRPr="003E78D5" w:rsidTr="00CD359D">
        <w:trPr>
          <w:gridAfter w:val="1"/>
          <w:wAfter w:w="43" w:type="pct"/>
        </w:trPr>
        <w:tc>
          <w:tcPr>
            <w:tcW w:w="1145" w:type="pct"/>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82"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0.18</w:t>
            </w:r>
          </w:p>
        </w:tc>
        <w:tc>
          <w:tcPr>
            <w:tcW w:w="480"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p>
        </w:tc>
        <w:tc>
          <w:tcPr>
            <w:tcW w:w="537"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p>
        </w:tc>
        <w:tc>
          <w:tcPr>
            <w:tcW w:w="719"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p>
        </w:tc>
        <w:tc>
          <w:tcPr>
            <w:tcW w:w="598"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96" w:type="pct"/>
            <w:gridSpan w:val="2"/>
            <w:tcBorders>
              <w:top w:val="nil"/>
              <w:bottom w:val="nil"/>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p>
        </w:tc>
      </w:tr>
      <w:tr w:rsidR="006C4BD5" w:rsidRPr="003E78D5" w:rsidTr="00CD359D">
        <w:trPr>
          <w:gridAfter w:val="1"/>
          <w:wAfter w:w="43" w:type="pct"/>
        </w:trPr>
        <w:tc>
          <w:tcPr>
            <w:tcW w:w="1145" w:type="pct"/>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3 factors (FF)</w:t>
            </w:r>
          </w:p>
        </w:tc>
        <w:tc>
          <w:tcPr>
            <w:tcW w:w="582"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0.51</w:t>
            </w:r>
            <w:r w:rsidRPr="003E78D5">
              <w:rPr>
                <w:rFonts w:ascii="Times New Roman" w:hAnsi="Times New Roman" w:cs="Times New Roman"/>
                <w:sz w:val="24"/>
                <w:szCs w:val="24"/>
                <w:vertAlign w:val="superscript"/>
                <w:lang w:val="en-US"/>
              </w:rPr>
              <w:t>a</w:t>
            </w:r>
          </w:p>
        </w:tc>
        <w:tc>
          <w:tcPr>
            <w:tcW w:w="480"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0.34</w:t>
            </w:r>
          </w:p>
        </w:tc>
        <w:tc>
          <w:tcPr>
            <w:tcW w:w="537"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0.46</w:t>
            </w:r>
            <w:r w:rsidRPr="003E78D5">
              <w:rPr>
                <w:rFonts w:ascii="Times New Roman" w:hAnsi="Times New Roman" w:cs="Times New Roman"/>
                <w:sz w:val="24"/>
                <w:szCs w:val="24"/>
                <w:vertAlign w:val="superscript"/>
                <w:lang w:val="en-US"/>
              </w:rPr>
              <w:t>b</w:t>
            </w:r>
          </w:p>
        </w:tc>
        <w:tc>
          <w:tcPr>
            <w:tcW w:w="719"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p>
        </w:tc>
        <w:tc>
          <w:tcPr>
            <w:tcW w:w="598"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-0.01</w:t>
            </w:r>
            <w:r w:rsidRPr="003E78D5">
              <w:rPr>
                <w:rFonts w:ascii="Times New Roman" w:hAnsi="Times New Roman" w:cs="Times New Roman"/>
                <w:sz w:val="24"/>
                <w:szCs w:val="24"/>
                <w:vertAlign w:val="superscript"/>
                <w:lang w:val="en-US"/>
              </w:rPr>
              <w:t>c</w:t>
            </w:r>
          </w:p>
        </w:tc>
        <w:tc>
          <w:tcPr>
            <w:tcW w:w="896" w:type="pct"/>
            <w:gridSpan w:val="2"/>
            <w:tcBorders>
              <w:top w:val="nil"/>
              <w:bottom w:val="nil"/>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14.7%</w:t>
            </w:r>
          </w:p>
        </w:tc>
      </w:tr>
      <w:tr w:rsidR="006C4BD5" w:rsidRPr="003E78D5" w:rsidTr="00CD359D">
        <w:trPr>
          <w:gridAfter w:val="1"/>
          <w:wAfter w:w="43" w:type="pct"/>
        </w:trPr>
        <w:tc>
          <w:tcPr>
            <w:tcW w:w="1145" w:type="pct"/>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82"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0.19</w:t>
            </w:r>
          </w:p>
        </w:tc>
        <w:tc>
          <w:tcPr>
            <w:tcW w:w="480"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0.26</w:t>
            </w:r>
          </w:p>
        </w:tc>
        <w:tc>
          <w:tcPr>
            <w:tcW w:w="537"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0.22</w:t>
            </w:r>
          </w:p>
        </w:tc>
        <w:tc>
          <w:tcPr>
            <w:tcW w:w="719"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p>
        </w:tc>
        <w:tc>
          <w:tcPr>
            <w:tcW w:w="598" w:type="pct"/>
            <w:gridSpan w:val="2"/>
            <w:tcBorders>
              <w:top w:val="nil"/>
              <w:bottom w:val="nil"/>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96" w:type="pct"/>
            <w:gridSpan w:val="2"/>
            <w:tcBorders>
              <w:top w:val="nil"/>
              <w:bottom w:val="nil"/>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p>
        </w:tc>
      </w:tr>
      <w:tr w:rsidR="006C4BD5" w:rsidRPr="003E78D5" w:rsidTr="00CD359D">
        <w:trPr>
          <w:gridAfter w:val="1"/>
          <w:wAfter w:w="43" w:type="pct"/>
        </w:trPr>
        <w:tc>
          <w:tcPr>
            <w:tcW w:w="1145" w:type="pct"/>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4 factors (PS)</w:t>
            </w:r>
          </w:p>
        </w:tc>
        <w:tc>
          <w:tcPr>
            <w:tcW w:w="582"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0.62</w:t>
            </w:r>
            <w:r w:rsidRPr="003E78D5">
              <w:rPr>
                <w:rFonts w:ascii="Times New Roman" w:hAnsi="Times New Roman" w:cs="Times New Roman"/>
                <w:sz w:val="24"/>
                <w:szCs w:val="24"/>
                <w:vertAlign w:val="superscript"/>
                <w:lang w:val="en-US"/>
              </w:rPr>
              <w:t>a</w:t>
            </w:r>
          </w:p>
        </w:tc>
        <w:tc>
          <w:tcPr>
            <w:tcW w:w="480"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0.38</w:t>
            </w:r>
          </w:p>
        </w:tc>
        <w:tc>
          <w:tcPr>
            <w:tcW w:w="537"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0.54</w:t>
            </w:r>
            <w:r w:rsidRPr="003E78D5">
              <w:rPr>
                <w:rFonts w:ascii="Times New Roman" w:hAnsi="Times New Roman" w:cs="Times New Roman"/>
                <w:sz w:val="24"/>
                <w:szCs w:val="24"/>
                <w:vertAlign w:val="superscript"/>
                <w:lang w:val="en-US"/>
              </w:rPr>
              <w:t>b</w:t>
            </w:r>
          </w:p>
        </w:tc>
        <w:tc>
          <w:tcPr>
            <w:tcW w:w="719"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0.36</w:t>
            </w:r>
            <w:r w:rsidRPr="003E78D5">
              <w:rPr>
                <w:rFonts w:ascii="Times New Roman" w:hAnsi="Times New Roman" w:cs="Times New Roman"/>
                <w:sz w:val="24"/>
                <w:szCs w:val="24"/>
                <w:vertAlign w:val="superscript"/>
                <w:lang w:val="en-US"/>
              </w:rPr>
              <w:t>c</w:t>
            </w:r>
          </w:p>
        </w:tc>
        <w:tc>
          <w:tcPr>
            <w:tcW w:w="598" w:type="pct"/>
            <w:gridSpan w:val="2"/>
            <w:tcBorders>
              <w:top w:val="nil"/>
              <w:bottom w:val="nil"/>
            </w:tcBorders>
            <w:vAlign w:val="bottom"/>
          </w:tcPr>
          <w:p w:rsidR="006C4BD5" w:rsidRPr="003E78D5" w:rsidRDefault="006C4BD5" w:rsidP="00EE60A6">
            <w:pPr>
              <w:pStyle w:val="NoSpacing"/>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-0.03</w:t>
            </w:r>
            <w:r w:rsidRPr="003E78D5">
              <w:rPr>
                <w:rFonts w:ascii="Times New Roman" w:hAnsi="Times New Roman" w:cs="Times New Roman"/>
                <w:sz w:val="24"/>
                <w:szCs w:val="24"/>
                <w:vertAlign w:val="superscript"/>
                <w:lang w:val="en-US"/>
              </w:rPr>
              <w:t>a</w:t>
            </w:r>
          </w:p>
        </w:tc>
        <w:tc>
          <w:tcPr>
            <w:tcW w:w="896" w:type="pct"/>
            <w:gridSpan w:val="2"/>
            <w:tcBorders>
              <w:top w:val="nil"/>
              <w:bottom w:val="nil"/>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20.3%</w:t>
            </w:r>
          </w:p>
        </w:tc>
      </w:tr>
      <w:tr w:rsidR="006C4BD5" w:rsidRPr="003E78D5" w:rsidTr="00CD359D">
        <w:trPr>
          <w:gridAfter w:val="1"/>
          <w:wAfter w:w="43" w:type="pct"/>
        </w:trPr>
        <w:tc>
          <w:tcPr>
            <w:tcW w:w="1145" w:type="pct"/>
            <w:tcBorders>
              <w:top w:val="nil"/>
              <w:bottom w:val="single" w:sz="4" w:space="0" w:color="auto"/>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82"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0.20</w:t>
            </w:r>
          </w:p>
        </w:tc>
        <w:tc>
          <w:tcPr>
            <w:tcW w:w="480"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0.26</w:t>
            </w:r>
          </w:p>
        </w:tc>
        <w:tc>
          <w:tcPr>
            <w:tcW w:w="537"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0.24</w:t>
            </w:r>
          </w:p>
        </w:tc>
        <w:tc>
          <w:tcPr>
            <w:tcW w:w="719"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0.22</w:t>
            </w:r>
          </w:p>
        </w:tc>
        <w:tc>
          <w:tcPr>
            <w:tcW w:w="598"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96" w:type="pct"/>
            <w:gridSpan w:val="2"/>
            <w:tcBorders>
              <w:top w:val="nil"/>
              <w:bottom w:val="single" w:sz="4" w:space="0" w:color="auto"/>
            </w:tcBorders>
            <w:vAlign w:val="bottom"/>
          </w:tcPr>
          <w:p w:rsidR="006C4BD5" w:rsidRPr="003E78D5" w:rsidRDefault="006C4BD5" w:rsidP="00EE60A6">
            <w:pPr>
              <w:pStyle w:val="NoSpacing"/>
              <w:rPr>
                <w:rFonts w:ascii="Times New Roman" w:hAnsi="Times New Roman" w:cs="Times New Roman"/>
                <w:color w:val="000000"/>
                <w:sz w:val="24"/>
                <w:szCs w:val="24"/>
                <w:lang w:val="en-US"/>
              </w:rPr>
            </w:pPr>
          </w:p>
        </w:tc>
      </w:tr>
      <w:tr w:rsidR="001D3B5A" w:rsidRPr="003E78D5" w:rsidTr="00CD359D">
        <w:tc>
          <w:tcPr>
            <w:tcW w:w="5000" w:type="pct"/>
            <w:gridSpan w:val="14"/>
            <w:tcBorders>
              <w:top w:val="single" w:sz="4" w:space="0" w:color="auto"/>
              <w:bottom w:val="single" w:sz="4" w:space="0" w:color="auto"/>
            </w:tcBorders>
          </w:tcPr>
          <w:p w:rsidR="001D3B5A" w:rsidRPr="003E78D5" w:rsidRDefault="001D3B5A" w:rsidP="003E78D5">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Panel B: Credit </w:t>
            </w:r>
            <w:r w:rsidR="003E78D5" w:rsidRPr="003E78D5">
              <w:rPr>
                <w:rFonts w:ascii="Times New Roman" w:hAnsi="Times New Roman" w:cs="Times New Roman"/>
                <w:sz w:val="24"/>
                <w:szCs w:val="24"/>
                <w:lang w:val="en-US"/>
              </w:rPr>
              <w:t>F</w:t>
            </w:r>
            <w:r w:rsidRPr="003E78D5">
              <w:rPr>
                <w:rFonts w:ascii="Times New Roman" w:hAnsi="Times New Roman" w:cs="Times New Roman"/>
                <w:sz w:val="24"/>
                <w:szCs w:val="24"/>
                <w:lang w:val="en-US"/>
              </w:rPr>
              <w:t>unds (N = 144 funds)</w:t>
            </w:r>
          </w:p>
        </w:tc>
      </w:tr>
      <w:tr w:rsidR="006C4BD5" w:rsidRPr="003E78D5" w:rsidTr="00CD359D">
        <w:tc>
          <w:tcPr>
            <w:tcW w:w="1321" w:type="pct"/>
            <w:gridSpan w:val="2"/>
            <w:tcBorders>
              <w:top w:val="single" w:sz="4" w:space="0" w:color="auto"/>
              <w:bottom w:val="single" w:sz="4" w:space="0" w:color="auto"/>
            </w:tcBorders>
          </w:tcPr>
          <w:p w:rsidR="006C4BD5" w:rsidRPr="003E78D5" w:rsidRDefault="003E78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Model</w:t>
            </w:r>
          </w:p>
        </w:tc>
        <w:tc>
          <w:tcPr>
            <w:tcW w:w="557"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market</w:t>
            </w:r>
          </w:p>
        </w:tc>
        <w:tc>
          <w:tcPr>
            <w:tcW w:w="504"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size</w:t>
            </w:r>
          </w:p>
        </w:tc>
        <w:tc>
          <w:tcPr>
            <w:tcW w:w="503"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value</w:t>
            </w:r>
          </w:p>
        </w:tc>
        <w:tc>
          <w:tcPr>
            <w:tcW w:w="689"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illiquidity</w:t>
            </w:r>
          </w:p>
        </w:tc>
        <w:tc>
          <w:tcPr>
            <w:tcW w:w="571" w:type="pct"/>
            <w:gridSpan w:val="2"/>
            <w:tcBorders>
              <w:top w:val="single" w:sz="4" w:space="0" w:color="auto"/>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Alpha</w:t>
            </w:r>
          </w:p>
        </w:tc>
        <w:tc>
          <w:tcPr>
            <w:tcW w:w="855" w:type="pct"/>
            <w:gridSpan w:val="2"/>
            <w:tcBorders>
              <w:top w:val="single" w:sz="4" w:space="0" w:color="auto"/>
              <w:bottom w:val="single" w:sz="4" w:space="0" w:color="auto"/>
            </w:tcBorders>
            <w:vAlign w:val="bottom"/>
          </w:tcPr>
          <w:p w:rsidR="006C4BD5" w:rsidRPr="003E78D5" w:rsidRDefault="00CD359D"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R</w:t>
            </w:r>
            <w:r w:rsidRPr="003E78D5">
              <w:rPr>
                <w:rFonts w:ascii="Times New Roman" w:hAnsi="Times New Roman" w:cs="Times New Roman"/>
                <w:sz w:val="24"/>
                <w:szCs w:val="24"/>
                <w:vertAlign w:val="superscript"/>
                <w:lang w:val="en-US"/>
              </w:rPr>
              <w:t>2</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 </w:t>
            </w:r>
            <w:r w:rsidR="003E78D5" w:rsidRPr="003E78D5">
              <w:rPr>
                <w:rFonts w:ascii="Times New Roman" w:hAnsi="Times New Roman" w:cs="Times New Roman"/>
                <w:sz w:val="24"/>
                <w:szCs w:val="24"/>
                <w:lang w:val="en-US"/>
              </w:rPr>
              <w:t>CAPM</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0.51</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0.05</w:t>
            </w:r>
            <w:r w:rsidRPr="003E78D5">
              <w:rPr>
                <w:rFonts w:ascii="Times New Roman" w:hAnsi="Times New Roman" w:cs="Times New Roman"/>
                <w:sz w:val="24"/>
                <w:szCs w:val="24"/>
                <w:vertAlign w:val="superscript"/>
                <w:lang w:val="en-US"/>
              </w:rPr>
              <w:t>a</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9.0%</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0.18</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3 factors (FF)</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0.52</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1.21</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1.25</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28.7%</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0.20</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0.26</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0.21</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4 factors (PS)</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0.56</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1.20</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1.24</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0.27</w:t>
            </w: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41.3%</w:t>
            </w:r>
          </w:p>
        </w:tc>
      </w:tr>
      <w:tr w:rsidR="006C4BD5" w:rsidRPr="003E78D5" w:rsidTr="00CD359D">
        <w:tc>
          <w:tcPr>
            <w:tcW w:w="1321" w:type="pct"/>
            <w:gridSpan w:val="2"/>
            <w:tcBorders>
              <w:top w:val="nil"/>
              <w:bottom w:val="single" w:sz="4" w:space="0" w:color="auto"/>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0.19</w:t>
            </w:r>
          </w:p>
        </w:tc>
        <w:tc>
          <w:tcPr>
            <w:tcW w:w="504"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0.25</w:t>
            </w:r>
          </w:p>
        </w:tc>
        <w:tc>
          <w:tcPr>
            <w:tcW w:w="503"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0.22</w:t>
            </w:r>
          </w:p>
        </w:tc>
        <w:tc>
          <w:tcPr>
            <w:tcW w:w="689"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0.19</w:t>
            </w:r>
          </w:p>
        </w:tc>
        <w:tc>
          <w:tcPr>
            <w:tcW w:w="571"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1D3B5A" w:rsidRPr="003E78D5" w:rsidTr="00CD359D">
        <w:tc>
          <w:tcPr>
            <w:tcW w:w="5000" w:type="pct"/>
            <w:gridSpan w:val="14"/>
            <w:tcBorders>
              <w:top w:val="single" w:sz="4" w:space="0" w:color="auto"/>
              <w:bottom w:val="single" w:sz="4" w:space="0" w:color="auto"/>
            </w:tcBorders>
          </w:tcPr>
          <w:p w:rsidR="001D3B5A" w:rsidRPr="003E78D5" w:rsidRDefault="001D3B5A" w:rsidP="003E78D5">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Panel C: Infrastructure and </w:t>
            </w:r>
            <w:r w:rsidR="003E78D5" w:rsidRPr="003E78D5">
              <w:rPr>
                <w:rFonts w:ascii="Times New Roman" w:hAnsi="Times New Roman" w:cs="Times New Roman"/>
                <w:sz w:val="24"/>
                <w:szCs w:val="24"/>
                <w:lang w:val="en-US"/>
              </w:rPr>
              <w:t>N</w:t>
            </w:r>
            <w:r w:rsidRPr="003E78D5">
              <w:rPr>
                <w:rFonts w:ascii="Times New Roman" w:hAnsi="Times New Roman" w:cs="Times New Roman"/>
                <w:sz w:val="24"/>
                <w:szCs w:val="24"/>
                <w:lang w:val="en-US"/>
              </w:rPr>
              <w:t xml:space="preserve">atural Resource </w:t>
            </w:r>
            <w:r w:rsidR="003E78D5" w:rsidRPr="003E78D5">
              <w:rPr>
                <w:rFonts w:ascii="Times New Roman" w:hAnsi="Times New Roman" w:cs="Times New Roman"/>
                <w:sz w:val="24"/>
                <w:szCs w:val="24"/>
                <w:lang w:val="en-US"/>
              </w:rPr>
              <w:t>F</w:t>
            </w:r>
            <w:r w:rsidRPr="003E78D5">
              <w:rPr>
                <w:rFonts w:ascii="Times New Roman" w:hAnsi="Times New Roman" w:cs="Times New Roman"/>
                <w:sz w:val="24"/>
                <w:szCs w:val="24"/>
                <w:lang w:val="en-US"/>
              </w:rPr>
              <w:t>unds (N=81 funds)</w:t>
            </w:r>
          </w:p>
        </w:tc>
      </w:tr>
      <w:tr w:rsidR="006C4BD5" w:rsidRPr="003E78D5" w:rsidTr="00CD359D">
        <w:tc>
          <w:tcPr>
            <w:tcW w:w="1321" w:type="pct"/>
            <w:gridSpan w:val="2"/>
            <w:tcBorders>
              <w:top w:val="single" w:sz="4" w:space="0" w:color="auto"/>
              <w:bottom w:val="single" w:sz="4" w:space="0" w:color="auto"/>
            </w:tcBorders>
          </w:tcPr>
          <w:p w:rsidR="006C4BD5" w:rsidRPr="003E78D5" w:rsidRDefault="003E78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Model</w:t>
            </w:r>
          </w:p>
        </w:tc>
        <w:tc>
          <w:tcPr>
            <w:tcW w:w="557"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market</w:t>
            </w:r>
          </w:p>
        </w:tc>
        <w:tc>
          <w:tcPr>
            <w:tcW w:w="504"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size</w:t>
            </w:r>
          </w:p>
        </w:tc>
        <w:tc>
          <w:tcPr>
            <w:tcW w:w="503"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value</w:t>
            </w:r>
          </w:p>
        </w:tc>
        <w:tc>
          <w:tcPr>
            <w:tcW w:w="689"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illiquidity</w:t>
            </w:r>
          </w:p>
        </w:tc>
        <w:tc>
          <w:tcPr>
            <w:tcW w:w="571" w:type="pct"/>
            <w:gridSpan w:val="2"/>
            <w:tcBorders>
              <w:top w:val="single" w:sz="4" w:space="0" w:color="auto"/>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Alpha</w:t>
            </w:r>
          </w:p>
        </w:tc>
        <w:tc>
          <w:tcPr>
            <w:tcW w:w="855" w:type="pct"/>
            <w:gridSpan w:val="2"/>
            <w:tcBorders>
              <w:top w:val="single" w:sz="4" w:space="0" w:color="auto"/>
              <w:bottom w:val="single" w:sz="4" w:space="0" w:color="auto"/>
            </w:tcBorders>
            <w:vAlign w:val="bottom"/>
          </w:tcPr>
          <w:p w:rsidR="006C4BD5" w:rsidRPr="003E78D5" w:rsidRDefault="00CD359D"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R</w:t>
            </w:r>
            <w:r w:rsidRPr="003E78D5">
              <w:rPr>
                <w:rFonts w:ascii="Times New Roman" w:hAnsi="Times New Roman" w:cs="Times New Roman"/>
                <w:sz w:val="24"/>
                <w:szCs w:val="24"/>
                <w:vertAlign w:val="superscript"/>
                <w:lang w:val="en-US"/>
              </w:rPr>
              <w:t>2</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 </w:t>
            </w:r>
            <w:r w:rsidR="003E78D5" w:rsidRPr="003E78D5">
              <w:rPr>
                <w:rFonts w:ascii="Times New Roman" w:hAnsi="Times New Roman" w:cs="Times New Roman"/>
                <w:sz w:val="24"/>
                <w:szCs w:val="24"/>
                <w:lang w:val="en-US"/>
              </w:rPr>
              <w:t>CAPM</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0.58</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0.05</w:t>
            </w:r>
            <w:r w:rsidRPr="003E78D5">
              <w:rPr>
                <w:rFonts w:ascii="Times New Roman" w:hAnsi="Times New Roman" w:cs="Times New Roman"/>
                <w:sz w:val="24"/>
                <w:szCs w:val="24"/>
                <w:vertAlign w:val="superscript"/>
                <w:lang w:val="en-US"/>
              </w:rPr>
              <w:t>a</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9.9%</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0.20</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3 factors (FF)</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0.53</w:t>
            </w:r>
            <w:r w:rsidRPr="003E78D5">
              <w:rPr>
                <w:rFonts w:ascii="Times New Roman" w:hAnsi="Times New Roman" w:cs="Times New Roman"/>
                <w:sz w:val="24"/>
                <w:szCs w:val="24"/>
                <w:vertAlign w:val="superscript"/>
                <w:lang w:val="en-US"/>
              </w:rPr>
              <w:t>b</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1.22</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1.34</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0.03</w:t>
            </w:r>
            <w:r w:rsidRPr="003E78D5">
              <w:rPr>
                <w:rFonts w:ascii="Times New Roman" w:hAnsi="Times New Roman" w:cs="Times New Roman"/>
                <w:sz w:val="24"/>
                <w:szCs w:val="24"/>
                <w:vertAlign w:val="superscript"/>
                <w:lang w:val="en-US"/>
              </w:rPr>
              <w:t>a</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34.9%</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0.22</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0.26</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0.24</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4 factors (PS)</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0.56</w:t>
            </w:r>
            <w:r w:rsidRPr="003E78D5">
              <w:rPr>
                <w:rFonts w:ascii="Times New Roman" w:hAnsi="Times New Roman" w:cs="Times New Roman"/>
                <w:sz w:val="24"/>
                <w:szCs w:val="24"/>
                <w:vertAlign w:val="superscript"/>
                <w:lang w:val="en-US"/>
              </w:rPr>
              <w:t>b</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1.21</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1.37</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0.50</w:t>
            </w:r>
            <w:r w:rsidRPr="003E78D5">
              <w:rPr>
                <w:rFonts w:ascii="Times New Roman" w:hAnsi="Times New Roman" w:cs="Times New Roman"/>
                <w:sz w:val="24"/>
                <w:szCs w:val="24"/>
                <w:vertAlign w:val="superscript"/>
                <w:lang w:val="en-US"/>
              </w:rPr>
              <w:t>b</w:t>
            </w: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36.4%</w:t>
            </w:r>
          </w:p>
        </w:tc>
      </w:tr>
      <w:tr w:rsidR="006C4BD5" w:rsidRPr="003E78D5" w:rsidTr="00CD359D">
        <w:tc>
          <w:tcPr>
            <w:tcW w:w="1321" w:type="pct"/>
            <w:gridSpan w:val="2"/>
            <w:tcBorders>
              <w:top w:val="nil"/>
              <w:bottom w:val="single" w:sz="4" w:space="0" w:color="auto"/>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0.23</w:t>
            </w:r>
          </w:p>
        </w:tc>
        <w:tc>
          <w:tcPr>
            <w:tcW w:w="504"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0.26</w:t>
            </w:r>
          </w:p>
        </w:tc>
        <w:tc>
          <w:tcPr>
            <w:tcW w:w="503"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0.25</w:t>
            </w:r>
          </w:p>
        </w:tc>
        <w:tc>
          <w:tcPr>
            <w:tcW w:w="689"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0.24</w:t>
            </w:r>
          </w:p>
        </w:tc>
        <w:tc>
          <w:tcPr>
            <w:tcW w:w="571"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1D3B5A" w:rsidRPr="003E78D5" w:rsidTr="00CD359D">
        <w:tc>
          <w:tcPr>
            <w:tcW w:w="5000" w:type="pct"/>
            <w:gridSpan w:val="14"/>
            <w:tcBorders>
              <w:top w:val="single" w:sz="4" w:space="0" w:color="auto"/>
              <w:bottom w:val="single" w:sz="4" w:space="0" w:color="auto"/>
            </w:tcBorders>
          </w:tcPr>
          <w:p w:rsidR="001D3B5A" w:rsidRPr="003E78D5" w:rsidRDefault="001D3B5A" w:rsidP="003E78D5">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Panel D: Fund of </w:t>
            </w:r>
            <w:r w:rsidR="003E78D5" w:rsidRPr="003E78D5">
              <w:rPr>
                <w:rFonts w:ascii="Times New Roman" w:hAnsi="Times New Roman" w:cs="Times New Roman"/>
                <w:sz w:val="24"/>
                <w:szCs w:val="24"/>
                <w:lang w:val="en-US"/>
              </w:rPr>
              <w:t>F</w:t>
            </w:r>
            <w:r w:rsidRPr="003E78D5">
              <w:rPr>
                <w:rFonts w:ascii="Times New Roman" w:hAnsi="Times New Roman" w:cs="Times New Roman"/>
                <w:sz w:val="24"/>
                <w:szCs w:val="24"/>
                <w:lang w:val="en-US"/>
              </w:rPr>
              <w:t>unds (N=189 funds)</w:t>
            </w:r>
          </w:p>
        </w:tc>
      </w:tr>
      <w:tr w:rsidR="006C4BD5" w:rsidRPr="003E78D5" w:rsidTr="00CD359D">
        <w:tc>
          <w:tcPr>
            <w:tcW w:w="1321" w:type="pct"/>
            <w:gridSpan w:val="2"/>
            <w:tcBorders>
              <w:top w:val="single" w:sz="4" w:space="0" w:color="auto"/>
              <w:bottom w:val="single" w:sz="4" w:space="0" w:color="auto"/>
            </w:tcBorders>
          </w:tcPr>
          <w:p w:rsidR="006C4BD5" w:rsidRPr="003E78D5" w:rsidRDefault="003E78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Model</w:t>
            </w:r>
          </w:p>
        </w:tc>
        <w:tc>
          <w:tcPr>
            <w:tcW w:w="557"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market</w:t>
            </w:r>
          </w:p>
        </w:tc>
        <w:tc>
          <w:tcPr>
            <w:tcW w:w="504"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size</w:t>
            </w:r>
          </w:p>
        </w:tc>
        <w:tc>
          <w:tcPr>
            <w:tcW w:w="503"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value</w:t>
            </w:r>
          </w:p>
        </w:tc>
        <w:tc>
          <w:tcPr>
            <w:tcW w:w="689" w:type="pct"/>
            <w:gridSpan w:val="2"/>
            <w:tcBorders>
              <w:top w:val="single" w:sz="4" w:space="0" w:color="auto"/>
              <w:bottom w:val="single" w:sz="4" w:space="0" w:color="auto"/>
            </w:tcBorders>
            <w:vAlign w:val="center"/>
          </w:tcPr>
          <w:p w:rsidR="006C4BD5" w:rsidRPr="003E78D5" w:rsidRDefault="006C4BD5" w:rsidP="00EE60A6">
            <w:pPr>
              <w:pStyle w:val="NoSpacing"/>
              <w:spacing w:line="276" w:lineRule="auto"/>
              <w:rPr>
                <w:rFonts w:ascii="Times New Roman" w:hAnsi="Times New Roman" w:cs="Times New Roman"/>
                <w:sz w:val="24"/>
                <w:szCs w:val="24"/>
                <w:vertAlign w:val="subscript"/>
                <w:lang w:val="en-US"/>
              </w:rPr>
            </w:pPr>
            <w:r w:rsidRPr="003E78D5">
              <w:rPr>
                <w:rFonts w:ascii="Times New Roman" w:hAnsi="Times New Roman" w:cs="Times New Roman"/>
                <w:sz w:val="24"/>
                <w:szCs w:val="24"/>
                <w:lang w:val="en-US"/>
              </w:rPr>
              <w:t>β</w:t>
            </w:r>
            <w:r w:rsidRPr="003E78D5">
              <w:rPr>
                <w:rFonts w:ascii="Times New Roman" w:hAnsi="Times New Roman" w:cs="Times New Roman"/>
                <w:sz w:val="24"/>
                <w:szCs w:val="24"/>
                <w:vertAlign w:val="subscript"/>
                <w:lang w:val="en-US"/>
              </w:rPr>
              <w:t>illiquidity</w:t>
            </w:r>
          </w:p>
        </w:tc>
        <w:tc>
          <w:tcPr>
            <w:tcW w:w="571" w:type="pct"/>
            <w:gridSpan w:val="2"/>
            <w:tcBorders>
              <w:top w:val="single" w:sz="4" w:space="0" w:color="auto"/>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Alpha</w:t>
            </w:r>
          </w:p>
        </w:tc>
        <w:tc>
          <w:tcPr>
            <w:tcW w:w="855" w:type="pct"/>
            <w:gridSpan w:val="2"/>
            <w:tcBorders>
              <w:top w:val="single" w:sz="4" w:space="0" w:color="auto"/>
              <w:bottom w:val="single" w:sz="4" w:space="0" w:color="auto"/>
            </w:tcBorders>
            <w:vAlign w:val="bottom"/>
          </w:tcPr>
          <w:p w:rsidR="006C4BD5" w:rsidRPr="003E78D5" w:rsidRDefault="00CD359D"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R</w:t>
            </w:r>
            <w:r w:rsidRPr="003E78D5">
              <w:rPr>
                <w:rFonts w:ascii="Times New Roman" w:hAnsi="Times New Roman" w:cs="Times New Roman"/>
                <w:sz w:val="24"/>
                <w:szCs w:val="24"/>
                <w:vertAlign w:val="superscript"/>
                <w:lang w:val="en-US"/>
              </w:rPr>
              <w:t>2</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 </w:t>
            </w:r>
            <w:r w:rsidR="003E78D5" w:rsidRPr="003E78D5">
              <w:rPr>
                <w:rFonts w:ascii="Times New Roman" w:hAnsi="Times New Roman" w:cs="Times New Roman"/>
                <w:sz w:val="24"/>
                <w:szCs w:val="24"/>
                <w:lang w:val="en-US"/>
              </w:rPr>
              <w:t>CAPM</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0.84</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0.00</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25.7%</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0.19</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3 factors (FF)</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0.88</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1.11</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1.25</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0.00</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43.8%</w:t>
            </w: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0.21</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0.23</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0.21</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r w:rsidR="006C4BD5" w:rsidRPr="003E78D5" w:rsidTr="00CD359D">
        <w:tc>
          <w:tcPr>
            <w:tcW w:w="1321" w:type="pct"/>
            <w:gridSpan w:val="2"/>
            <w:tcBorders>
              <w:top w:val="nil"/>
              <w:bottom w:val="nil"/>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r w:rsidRPr="003E78D5">
              <w:rPr>
                <w:rFonts w:ascii="Times New Roman" w:hAnsi="Times New Roman" w:cs="Times New Roman"/>
                <w:sz w:val="24"/>
                <w:szCs w:val="24"/>
                <w:lang w:val="en-US"/>
              </w:rPr>
              <w:t>4 factors (PS)</w:t>
            </w:r>
          </w:p>
        </w:tc>
        <w:tc>
          <w:tcPr>
            <w:tcW w:w="557"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0.84</w:t>
            </w:r>
            <w:r w:rsidRPr="003E78D5">
              <w:rPr>
                <w:rFonts w:ascii="Times New Roman" w:hAnsi="Times New Roman" w:cs="Times New Roman"/>
                <w:sz w:val="24"/>
                <w:szCs w:val="24"/>
                <w:vertAlign w:val="superscript"/>
                <w:lang w:val="en-US"/>
              </w:rPr>
              <w:t>a</w:t>
            </w:r>
          </w:p>
        </w:tc>
        <w:tc>
          <w:tcPr>
            <w:tcW w:w="504"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1.13</w:t>
            </w:r>
            <w:r w:rsidRPr="003E78D5">
              <w:rPr>
                <w:rFonts w:ascii="Times New Roman" w:hAnsi="Times New Roman" w:cs="Times New Roman"/>
                <w:sz w:val="24"/>
                <w:szCs w:val="24"/>
                <w:vertAlign w:val="superscript"/>
                <w:lang w:val="en-US"/>
              </w:rPr>
              <w:t>a</w:t>
            </w:r>
          </w:p>
        </w:tc>
        <w:tc>
          <w:tcPr>
            <w:tcW w:w="503"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1.28</w:t>
            </w:r>
            <w:r w:rsidRPr="003E78D5">
              <w:rPr>
                <w:rFonts w:ascii="Times New Roman" w:hAnsi="Times New Roman" w:cs="Times New Roman"/>
                <w:sz w:val="24"/>
                <w:szCs w:val="24"/>
                <w:vertAlign w:val="superscript"/>
                <w:lang w:val="en-US"/>
              </w:rPr>
              <w:t>a</w:t>
            </w:r>
          </w:p>
        </w:tc>
        <w:tc>
          <w:tcPr>
            <w:tcW w:w="689"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0.40</w:t>
            </w:r>
            <w:r w:rsidRPr="003E78D5">
              <w:rPr>
                <w:rFonts w:ascii="Times New Roman" w:hAnsi="Times New Roman" w:cs="Times New Roman"/>
                <w:sz w:val="24"/>
                <w:szCs w:val="24"/>
                <w:vertAlign w:val="superscript"/>
                <w:lang w:val="en-US"/>
              </w:rPr>
              <w:t>c</w:t>
            </w:r>
          </w:p>
        </w:tc>
        <w:tc>
          <w:tcPr>
            <w:tcW w:w="571"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0.00</w:t>
            </w:r>
          </w:p>
        </w:tc>
        <w:tc>
          <w:tcPr>
            <w:tcW w:w="855" w:type="pct"/>
            <w:gridSpan w:val="2"/>
            <w:tcBorders>
              <w:top w:val="nil"/>
              <w:bottom w:val="nil"/>
            </w:tcBorders>
            <w:vAlign w:val="bottom"/>
          </w:tcPr>
          <w:p w:rsidR="006C4BD5" w:rsidRPr="003E78D5" w:rsidRDefault="006C4BD5"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color w:val="000000"/>
                <w:sz w:val="24"/>
                <w:szCs w:val="24"/>
                <w:lang w:val="en-US"/>
              </w:rPr>
              <w:t>47.4%</w:t>
            </w:r>
          </w:p>
        </w:tc>
      </w:tr>
      <w:tr w:rsidR="006C4BD5" w:rsidRPr="003E78D5" w:rsidTr="00CD359D">
        <w:tc>
          <w:tcPr>
            <w:tcW w:w="1321" w:type="pct"/>
            <w:gridSpan w:val="2"/>
            <w:tcBorders>
              <w:top w:val="nil"/>
              <w:bottom w:val="single" w:sz="4" w:space="0" w:color="auto"/>
            </w:tcBorders>
            <w:vAlign w:val="bottom"/>
          </w:tcPr>
          <w:p w:rsidR="006C4BD5" w:rsidRPr="003E78D5" w:rsidRDefault="006C4BD5" w:rsidP="00EE60A6">
            <w:pPr>
              <w:pStyle w:val="NoSpacing"/>
              <w:spacing w:line="276" w:lineRule="auto"/>
              <w:jc w:val="left"/>
              <w:rPr>
                <w:rFonts w:ascii="Times New Roman" w:hAnsi="Times New Roman" w:cs="Times New Roman"/>
                <w:sz w:val="24"/>
                <w:szCs w:val="24"/>
                <w:lang w:val="en-US"/>
              </w:rPr>
            </w:pPr>
          </w:p>
        </w:tc>
        <w:tc>
          <w:tcPr>
            <w:tcW w:w="557"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0.19</w:t>
            </w:r>
          </w:p>
        </w:tc>
        <w:tc>
          <w:tcPr>
            <w:tcW w:w="504"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0.24</w:t>
            </w:r>
          </w:p>
        </w:tc>
        <w:tc>
          <w:tcPr>
            <w:tcW w:w="503"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0.22</w:t>
            </w:r>
          </w:p>
        </w:tc>
        <w:tc>
          <w:tcPr>
            <w:tcW w:w="689"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sz w:val="24"/>
                <w:szCs w:val="24"/>
                <w:lang w:val="en-US"/>
              </w:rPr>
              <w:t>0.23</w:t>
            </w:r>
          </w:p>
        </w:tc>
        <w:tc>
          <w:tcPr>
            <w:tcW w:w="571"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r w:rsidRPr="003E78D5">
              <w:rPr>
                <w:rFonts w:ascii="Times New Roman" w:hAnsi="Times New Roman" w:cs="Times New Roman"/>
                <w:i/>
                <w:iCs/>
                <w:color w:val="000000"/>
                <w:sz w:val="24"/>
                <w:szCs w:val="24"/>
                <w:lang w:val="en-US"/>
              </w:rPr>
              <w:t>0.01</w:t>
            </w:r>
          </w:p>
        </w:tc>
        <w:tc>
          <w:tcPr>
            <w:tcW w:w="855" w:type="pct"/>
            <w:gridSpan w:val="2"/>
            <w:tcBorders>
              <w:top w:val="nil"/>
              <w:bottom w:val="single" w:sz="4" w:space="0" w:color="auto"/>
            </w:tcBorders>
            <w:vAlign w:val="bottom"/>
          </w:tcPr>
          <w:p w:rsidR="006C4BD5" w:rsidRPr="003E78D5" w:rsidRDefault="006C4BD5" w:rsidP="00EE60A6">
            <w:pPr>
              <w:pStyle w:val="NoSpacing"/>
              <w:spacing w:line="276" w:lineRule="auto"/>
              <w:rPr>
                <w:rFonts w:ascii="Times New Roman" w:hAnsi="Times New Roman" w:cs="Times New Roman"/>
                <w:i/>
                <w:iCs/>
                <w:sz w:val="24"/>
                <w:szCs w:val="24"/>
                <w:lang w:val="en-US"/>
              </w:rPr>
            </w:pPr>
          </w:p>
        </w:tc>
      </w:tr>
    </w:tbl>
    <w:p w:rsidR="006C4BD5" w:rsidRPr="003E78D5" w:rsidRDefault="006C4BD5" w:rsidP="006C4BD5">
      <w:pPr>
        <w:spacing w:after="0" w:line="240" w:lineRule="auto"/>
        <w:rPr>
          <w:rFonts w:ascii="Times New Roman" w:hAnsi="Times New Roman" w:cs="Times New Roman"/>
          <w:b/>
          <w:sz w:val="24"/>
          <w:szCs w:val="24"/>
          <w:lang w:val="en-US"/>
        </w:rPr>
      </w:pPr>
    </w:p>
    <w:p w:rsidR="00D46A86" w:rsidRPr="003E78D5" w:rsidRDefault="006C4BD5" w:rsidP="00D46A86">
      <w:pPr>
        <w:jc w:val="center"/>
        <w:rPr>
          <w:rFonts w:ascii="Times New Roman" w:eastAsia="Verdana" w:hAnsi="Times New Roman" w:cs="Times New Roman"/>
          <w:b/>
          <w:color w:val="000000"/>
          <w:spacing w:val="-9"/>
          <w:sz w:val="24"/>
          <w:szCs w:val="24"/>
          <w:lang w:val="en-US"/>
        </w:rPr>
      </w:pPr>
      <w:r w:rsidRPr="003E78D5">
        <w:rPr>
          <w:rFonts w:ascii="Times New Roman" w:hAnsi="Times New Roman" w:cs="Times New Roman"/>
          <w:b/>
          <w:sz w:val="24"/>
          <w:szCs w:val="24"/>
          <w:lang w:val="en-US"/>
        </w:rPr>
        <w:br w:type="page"/>
      </w:r>
      <w:r w:rsidR="008751E1" w:rsidRPr="003E78D5">
        <w:rPr>
          <w:rFonts w:ascii="Times New Roman" w:eastAsia="Verdana" w:hAnsi="Times New Roman" w:cs="Times New Roman"/>
          <w:b/>
          <w:color w:val="000000"/>
          <w:spacing w:val="-9"/>
          <w:sz w:val="24"/>
          <w:szCs w:val="24"/>
          <w:lang w:val="en-US"/>
        </w:rPr>
        <w:lastRenderedPageBreak/>
        <w:t xml:space="preserve">Table </w:t>
      </w:r>
      <w:r w:rsidR="001D3B5A" w:rsidRPr="003E78D5">
        <w:rPr>
          <w:rFonts w:ascii="Times New Roman" w:eastAsia="Verdana" w:hAnsi="Times New Roman" w:cs="Times New Roman"/>
          <w:b/>
          <w:color w:val="000000"/>
          <w:spacing w:val="-9"/>
          <w:sz w:val="24"/>
          <w:szCs w:val="24"/>
          <w:lang w:val="en-US"/>
        </w:rPr>
        <w:t>I</w:t>
      </w:r>
      <w:r w:rsidR="008751E1" w:rsidRPr="003E78D5">
        <w:rPr>
          <w:rFonts w:ascii="Times New Roman" w:eastAsia="Verdana" w:hAnsi="Times New Roman" w:cs="Times New Roman"/>
          <w:b/>
          <w:color w:val="000000"/>
          <w:spacing w:val="-9"/>
          <w:sz w:val="24"/>
          <w:szCs w:val="24"/>
          <w:lang w:val="en-US"/>
        </w:rPr>
        <w:t>A.</w:t>
      </w:r>
      <w:r w:rsidR="00D46A86" w:rsidRPr="003E78D5">
        <w:rPr>
          <w:rFonts w:ascii="Times New Roman" w:eastAsia="Verdana" w:hAnsi="Times New Roman" w:cs="Times New Roman"/>
          <w:b/>
          <w:color w:val="000000"/>
          <w:spacing w:val="-9"/>
          <w:sz w:val="24"/>
          <w:szCs w:val="24"/>
          <w:lang w:val="en-US"/>
        </w:rPr>
        <w:t>III</w:t>
      </w:r>
    </w:p>
    <w:p w:rsidR="008751E1" w:rsidRPr="003E78D5" w:rsidRDefault="008751E1" w:rsidP="00D46A86">
      <w:pPr>
        <w:jc w:val="center"/>
        <w:rPr>
          <w:rFonts w:ascii="Times New Roman" w:eastAsia="Verdana" w:hAnsi="Times New Roman" w:cs="Times New Roman"/>
          <w:b/>
          <w:color w:val="000000"/>
          <w:spacing w:val="-9"/>
          <w:sz w:val="24"/>
          <w:szCs w:val="24"/>
          <w:lang w:val="en-US"/>
        </w:rPr>
      </w:pPr>
      <w:r w:rsidRPr="003E78D5">
        <w:rPr>
          <w:rFonts w:ascii="Times New Roman" w:eastAsia="Verdana" w:hAnsi="Times New Roman" w:cs="Times New Roman"/>
          <w:b/>
          <w:color w:val="000000"/>
          <w:spacing w:val="-9"/>
          <w:sz w:val="24"/>
          <w:szCs w:val="24"/>
          <w:lang w:val="en-US"/>
        </w:rPr>
        <w:t>Precision of Key Estimated Parameters</w:t>
      </w:r>
    </w:p>
    <w:p w:rsidR="008751E1" w:rsidRPr="00364F1B" w:rsidRDefault="00775A57" w:rsidP="004A6FA4">
      <w:pPr>
        <w:jc w:val="both"/>
        <w:rPr>
          <w:rFonts w:ascii="Times New Roman" w:hAnsi="Times New Roman" w:cs="Times New Roman"/>
          <w:sz w:val="24"/>
          <w:szCs w:val="24"/>
          <w:lang w:val="en-US"/>
        </w:rPr>
      </w:pPr>
      <w:r w:rsidRPr="00775A57">
        <w:rPr>
          <w:rFonts w:ascii="Times New Roman" w:hAnsi="Times New Roman" w:cs="Times New Roman"/>
          <w:sz w:val="24"/>
          <w:szCs w:val="24"/>
          <w:lang w:val="en-US"/>
        </w:rPr>
        <w:t>This table compares the estimation of beta and total volatility to the true value of these two parameters in different simulated datasets. A quarterly error term is added to investment quarterly returns (idiosyncratic volatility; I_vol), but this is not modelled by the econometrician; instead the error term in the econometrics model is on the Net Present Value of funds. By default, returns are generated with a one factor model with a true beta of 1.5, alpha of 4% p.a., plus a mean zero PE-specific return with 20% annual volatility (sigma_f), plus 20% idiosyncratic volatility. There is no autocorrelation is residuals; average holding period (duration) is 4 years, and the prior on beta is correct. The sample contains 600 funds that make 20 investments each. Panel A shows results from simulations with different fee structures. Cases with discrete fee structures are when fees are subtracted from investment value only in the quarter they are charged. Cases with continuous fee structures are when carried interest is computed each quarter as the value of a call option that reflects the current value of the carried interest that will be paid at exit. Panel B shows results from several simulations. Incorrect priors are on beta and 0.50 too low, sigma_f can be low (10%) or high (30%), true beta can be low (0.75) or high (1.50) and idiosyncratic volatility can be low (10%) or high (100%).</w:t>
      </w:r>
      <w:r w:rsidRPr="00775A57">
        <w:rPr>
          <w:rFonts w:ascii="Times New Roman" w:eastAsia="Verdana" w:hAnsi="Times New Roman" w:cs="Times New Roman"/>
          <w:color w:val="000000"/>
          <w:spacing w:val="-11"/>
          <w:sz w:val="24"/>
          <w:szCs w:val="24"/>
          <w:lang w:val="en-US"/>
        </w:rPr>
        <w:t xml:space="preserve"> </w:t>
      </w:r>
    </w:p>
    <w:tbl>
      <w:tblPr>
        <w:tblW w:w="5000" w:type="pct"/>
        <w:tblBorders>
          <w:top w:val="single" w:sz="4" w:space="0" w:color="auto"/>
          <w:bottom w:val="single" w:sz="4" w:space="0" w:color="auto"/>
        </w:tblBorders>
        <w:tblLook w:val="04A0" w:firstRow="1" w:lastRow="0" w:firstColumn="1" w:lastColumn="0" w:noHBand="0" w:noVBand="1"/>
      </w:tblPr>
      <w:tblGrid>
        <w:gridCol w:w="1124"/>
        <w:gridCol w:w="320"/>
        <w:gridCol w:w="733"/>
        <w:gridCol w:w="646"/>
        <w:gridCol w:w="404"/>
        <w:gridCol w:w="711"/>
        <w:gridCol w:w="339"/>
        <w:gridCol w:w="1117"/>
        <w:gridCol w:w="254"/>
        <w:gridCol w:w="1202"/>
        <w:gridCol w:w="169"/>
        <w:gridCol w:w="89"/>
        <w:gridCol w:w="154"/>
        <w:gridCol w:w="1303"/>
        <w:gridCol w:w="69"/>
        <w:gridCol w:w="1220"/>
      </w:tblGrid>
      <w:tr w:rsidR="004A6FA4" w:rsidRPr="003E78D5" w:rsidTr="004A6FA4">
        <w:trPr>
          <w:trHeight w:val="300"/>
        </w:trPr>
        <w:tc>
          <w:tcPr>
            <w:tcW w:w="5000" w:type="pct"/>
            <w:gridSpan w:val="16"/>
            <w:tcBorders>
              <w:bottom w:val="single" w:sz="4" w:space="0" w:color="auto"/>
            </w:tcBorders>
            <w:shd w:val="clear" w:color="auto" w:fill="auto"/>
            <w:noWrap/>
            <w:vAlign w:val="bottom"/>
          </w:tcPr>
          <w:p w:rsidR="004A6FA4" w:rsidRPr="003E78D5" w:rsidRDefault="004A6FA4" w:rsidP="008751E1">
            <w:pPr>
              <w:pStyle w:val="NoSpacing"/>
              <w:rPr>
                <w:rFonts w:ascii="Times New Roman" w:eastAsia="Times New Roman" w:hAnsi="Times New Roman" w:cs="Times New Roman"/>
                <w:sz w:val="24"/>
                <w:szCs w:val="24"/>
                <w:lang w:val="en-US" w:eastAsia="en-GB"/>
              </w:rPr>
            </w:pPr>
            <w:r w:rsidRPr="003E78D5">
              <w:rPr>
                <w:rFonts w:ascii="Times New Roman" w:eastAsia="Verdana" w:hAnsi="Times New Roman" w:cs="Times New Roman"/>
                <w:sz w:val="24"/>
                <w:szCs w:val="24"/>
                <w:lang w:val="en-US"/>
              </w:rPr>
              <w:t>Panel A: Different fee structures</w:t>
            </w:r>
          </w:p>
        </w:tc>
      </w:tr>
      <w:tr w:rsidR="008751E1" w:rsidRPr="003E78D5" w:rsidTr="004A6FA4">
        <w:trPr>
          <w:trHeight w:val="300"/>
        </w:trPr>
        <w:tc>
          <w:tcPr>
            <w:tcW w:w="732"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00"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66"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3003" w:type="pct"/>
            <w:gridSpan w:val="10"/>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True value over Estimated value</w:t>
            </w:r>
          </w:p>
        </w:tc>
      </w:tr>
      <w:tr w:rsidR="008751E1" w:rsidRPr="003E78D5" w:rsidTr="004A6FA4">
        <w:trPr>
          <w:trHeight w:val="300"/>
        </w:trPr>
        <w:tc>
          <w:tcPr>
            <w:tcW w:w="732"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00"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66"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1478" w:type="pct"/>
            <w:gridSpan w:val="4"/>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Beta</w:t>
            </w:r>
          </w:p>
        </w:tc>
        <w:tc>
          <w:tcPr>
            <w:tcW w:w="131" w:type="pct"/>
            <w:gridSpan w:val="2"/>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1394" w:type="pct"/>
            <w:gridSpan w:val="4"/>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Total volatility</w:t>
            </w:r>
          </w:p>
        </w:tc>
      </w:tr>
      <w:tr w:rsidR="008751E1" w:rsidRPr="003E78D5" w:rsidTr="001D3B5A">
        <w:trPr>
          <w:trHeight w:val="300"/>
        </w:trPr>
        <w:tc>
          <w:tcPr>
            <w:tcW w:w="732"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Fee type</w:t>
            </w:r>
          </w:p>
        </w:tc>
        <w:tc>
          <w:tcPr>
            <w:tcW w:w="700"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Mngt fees</w:t>
            </w:r>
          </w:p>
        </w:tc>
        <w:tc>
          <w:tcPr>
            <w:tcW w:w="566"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Carry</w:t>
            </w:r>
          </w:p>
        </w:tc>
        <w:tc>
          <w:tcPr>
            <w:tcW w:w="739"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Mean</w:t>
            </w:r>
          </w:p>
        </w:tc>
        <w:tc>
          <w:tcPr>
            <w:tcW w:w="739"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StDev</w:t>
            </w:r>
          </w:p>
        </w:tc>
        <w:tc>
          <w:tcPr>
            <w:tcW w:w="131"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Mean</w:t>
            </w:r>
          </w:p>
        </w:tc>
        <w:tc>
          <w:tcPr>
            <w:tcW w:w="655"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StDev</w:t>
            </w:r>
          </w:p>
        </w:tc>
      </w:tr>
      <w:tr w:rsidR="008751E1" w:rsidRPr="003E78D5" w:rsidTr="001D3B5A">
        <w:trPr>
          <w:trHeight w:val="300"/>
        </w:trPr>
        <w:tc>
          <w:tcPr>
            <w:tcW w:w="732"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Discrete</w:t>
            </w:r>
          </w:p>
        </w:tc>
        <w:tc>
          <w:tcPr>
            <w:tcW w:w="700"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566"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739"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1.01</w:t>
            </w:r>
          </w:p>
        </w:tc>
        <w:tc>
          <w:tcPr>
            <w:tcW w:w="739"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0.07</w:t>
            </w:r>
          </w:p>
        </w:tc>
        <w:tc>
          <w:tcPr>
            <w:tcW w:w="131"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1.12</w:t>
            </w:r>
          </w:p>
        </w:tc>
        <w:tc>
          <w:tcPr>
            <w:tcW w:w="655" w:type="pct"/>
            <w:gridSpan w:val="2"/>
            <w:tcBorders>
              <w:top w:val="single" w:sz="4" w:space="0" w:color="auto"/>
              <w:bottom w:val="nil"/>
            </w:tcBorders>
            <w:shd w:val="clear" w:color="auto" w:fill="auto"/>
            <w:noWrap/>
            <w:vAlign w:val="bottom"/>
          </w:tcPr>
          <w:p w:rsidR="008751E1" w:rsidRPr="003E78D5" w:rsidRDefault="008751E1" w:rsidP="008751E1">
            <w:pPr>
              <w:pStyle w:val="NoSpacing"/>
              <w:rPr>
                <w:rFonts w:ascii="Times New Roman" w:hAnsi="Times New Roman" w:cs="Times New Roman"/>
                <w:sz w:val="24"/>
                <w:szCs w:val="24"/>
                <w:lang w:val="en-US"/>
              </w:rPr>
            </w:pPr>
            <w:r w:rsidRPr="003E78D5">
              <w:rPr>
                <w:rFonts w:ascii="Times New Roman" w:hAnsi="Times New Roman" w:cs="Times New Roman"/>
                <w:sz w:val="24"/>
                <w:szCs w:val="24"/>
                <w:lang w:val="en-US"/>
              </w:rPr>
              <w:t>0.05</w:t>
            </w:r>
          </w:p>
        </w:tc>
      </w:tr>
      <w:tr w:rsidR="008751E1" w:rsidRPr="003E78D5" w:rsidTr="001D3B5A">
        <w:trPr>
          <w:trHeight w:val="300"/>
        </w:trPr>
        <w:tc>
          <w:tcPr>
            <w:tcW w:w="732"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Discrete</w:t>
            </w:r>
          </w:p>
        </w:tc>
        <w:tc>
          <w:tcPr>
            <w:tcW w:w="700"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566"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0.20</w:t>
            </w:r>
          </w:p>
        </w:tc>
        <w:tc>
          <w:tcPr>
            <w:tcW w:w="739"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1.01</w:t>
            </w:r>
          </w:p>
        </w:tc>
        <w:tc>
          <w:tcPr>
            <w:tcW w:w="739"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0.07</w:t>
            </w:r>
          </w:p>
        </w:tc>
        <w:tc>
          <w:tcPr>
            <w:tcW w:w="131"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1.14</w:t>
            </w:r>
          </w:p>
        </w:tc>
        <w:tc>
          <w:tcPr>
            <w:tcW w:w="655"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0.06</w:t>
            </w:r>
          </w:p>
        </w:tc>
      </w:tr>
      <w:tr w:rsidR="008751E1" w:rsidRPr="003E78D5" w:rsidTr="004A6FA4">
        <w:trPr>
          <w:trHeight w:val="300"/>
        </w:trPr>
        <w:tc>
          <w:tcPr>
            <w:tcW w:w="732"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Discrete</w:t>
            </w:r>
          </w:p>
        </w:tc>
        <w:tc>
          <w:tcPr>
            <w:tcW w:w="700"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0.02</w:t>
            </w:r>
          </w:p>
        </w:tc>
        <w:tc>
          <w:tcPr>
            <w:tcW w:w="56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0.07</w:t>
            </w:r>
          </w:p>
        </w:tc>
        <w:tc>
          <w:tcPr>
            <w:tcW w:w="131"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1.15</w:t>
            </w:r>
          </w:p>
        </w:tc>
        <w:tc>
          <w:tcPr>
            <w:tcW w:w="655"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r>
      <w:tr w:rsidR="008751E1" w:rsidRPr="003E78D5" w:rsidTr="004A6FA4">
        <w:trPr>
          <w:trHeight w:val="300"/>
        </w:trPr>
        <w:tc>
          <w:tcPr>
            <w:tcW w:w="732"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Discrete</w:t>
            </w:r>
          </w:p>
        </w:tc>
        <w:tc>
          <w:tcPr>
            <w:tcW w:w="700"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0.02</w:t>
            </w:r>
          </w:p>
        </w:tc>
        <w:tc>
          <w:tcPr>
            <w:tcW w:w="56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0.20</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1.11</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c>
          <w:tcPr>
            <w:tcW w:w="131"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1.22</w:t>
            </w:r>
          </w:p>
        </w:tc>
        <w:tc>
          <w:tcPr>
            <w:tcW w:w="655"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r>
      <w:tr w:rsidR="008751E1" w:rsidRPr="003E78D5" w:rsidTr="004A6FA4">
        <w:trPr>
          <w:trHeight w:val="300"/>
        </w:trPr>
        <w:tc>
          <w:tcPr>
            <w:tcW w:w="732"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Continuous</w:t>
            </w:r>
          </w:p>
        </w:tc>
        <w:tc>
          <w:tcPr>
            <w:tcW w:w="700"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56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0.10</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0.99</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c>
          <w:tcPr>
            <w:tcW w:w="131"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55"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0.06</w:t>
            </w:r>
          </w:p>
        </w:tc>
      </w:tr>
      <w:tr w:rsidR="008751E1" w:rsidRPr="003E78D5" w:rsidTr="004A6FA4">
        <w:trPr>
          <w:trHeight w:val="300"/>
        </w:trPr>
        <w:tc>
          <w:tcPr>
            <w:tcW w:w="732"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Continuous</w:t>
            </w:r>
          </w:p>
        </w:tc>
        <w:tc>
          <w:tcPr>
            <w:tcW w:w="700"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56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0.20</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0.91</w:t>
            </w: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c>
          <w:tcPr>
            <w:tcW w:w="131"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55"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0.07</w:t>
            </w:r>
          </w:p>
        </w:tc>
      </w:tr>
      <w:tr w:rsidR="008751E1" w:rsidRPr="003E78D5" w:rsidTr="004A6FA4">
        <w:trPr>
          <w:trHeight w:val="300"/>
        </w:trPr>
        <w:tc>
          <w:tcPr>
            <w:tcW w:w="732"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Continuous</w:t>
            </w:r>
          </w:p>
        </w:tc>
        <w:tc>
          <w:tcPr>
            <w:tcW w:w="700" w:type="pct"/>
            <w:gridSpan w:val="2"/>
            <w:tcBorders>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0.00</w:t>
            </w:r>
          </w:p>
        </w:tc>
        <w:tc>
          <w:tcPr>
            <w:tcW w:w="566"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0.30</w:t>
            </w:r>
          </w:p>
        </w:tc>
        <w:tc>
          <w:tcPr>
            <w:tcW w:w="739"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0.89</w:t>
            </w:r>
          </w:p>
        </w:tc>
        <w:tc>
          <w:tcPr>
            <w:tcW w:w="739"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0.13</w:t>
            </w:r>
          </w:p>
        </w:tc>
        <w:tc>
          <w:tcPr>
            <w:tcW w:w="131"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739"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55"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r>
      <w:tr w:rsidR="004A6FA4" w:rsidRPr="003E78D5" w:rsidTr="004A6FA4">
        <w:trPr>
          <w:trHeight w:val="300"/>
        </w:trPr>
        <w:tc>
          <w:tcPr>
            <w:tcW w:w="5000" w:type="pct"/>
            <w:gridSpan w:val="16"/>
            <w:tcBorders>
              <w:top w:val="single" w:sz="4" w:space="0" w:color="auto"/>
              <w:bottom w:val="single" w:sz="4" w:space="0" w:color="auto"/>
            </w:tcBorders>
            <w:shd w:val="clear" w:color="auto" w:fill="auto"/>
            <w:noWrap/>
            <w:vAlign w:val="bottom"/>
          </w:tcPr>
          <w:p w:rsidR="004A6FA4" w:rsidRPr="003E78D5" w:rsidRDefault="004A6FA4" w:rsidP="008751E1">
            <w:pPr>
              <w:pStyle w:val="NoSpacing"/>
              <w:rPr>
                <w:rFonts w:ascii="Times New Roman" w:eastAsia="Times New Roman" w:hAnsi="Times New Roman" w:cs="Times New Roman"/>
                <w:sz w:val="24"/>
                <w:szCs w:val="24"/>
                <w:lang w:val="en-US" w:eastAsia="en-GB"/>
              </w:rPr>
            </w:pPr>
            <w:r w:rsidRPr="003E78D5">
              <w:rPr>
                <w:rFonts w:ascii="Times New Roman" w:eastAsia="Verdana" w:hAnsi="Times New Roman" w:cs="Times New Roman"/>
                <w:sz w:val="24"/>
                <w:szCs w:val="24"/>
                <w:lang w:val="en-US"/>
              </w:rPr>
              <w:t>Panel B: Varying priors, beta and volatilities</w:t>
            </w:r>
          </w:p>
        </w:tc>
      </w:tr>
      <w:tr w:rsidR="008751E1" w:rsidRPr="003E78D5" w:rsidTr="004A6FA4">
        <w:trPr>
          <w:trHeight w:val="300"/>
        </w:trPr>
        <w:tc>
          <w:tcPr>
            <w:tcW w:w="570" w:type="pct"/>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4"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3"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3" w:type="pct"/>
            <w:gridSpan w:val="2"/>
            <w:tcBorders>
              <w:top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2830" w:type="pct"/>
            <w:gridSpan w:val="9"/>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True value over Estimated value</w:t>
            </w:r>
          </w:p>
        </w:tc>
      </w:tr>
      <w:tr w:rsidR="008751E1" w:rsidRPr="003E78D5" w:rsidTr="004A6FA4">
        <w:trPr>
          <w:trHeight w:val="300"/>
        </w:trPr>
        <w:tc>
          <w:tcPr>
            <w:tcW w:w="570" w:type="pct"/>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4"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3"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533" w:type="pct"/>
            <w:gridSpan w:val="2"/>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1391" w:type="pct"/>
            <w:gridSpan w:val="4"/>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Beta</w:t>
            </w:r>
          </w:p>
        </w:tc>
        <w:tc>
          <w:tcPr>
            <w:tcW w:w="123" w:type="pct"/>
            <w:gridSpan w:val="2"/>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1315" w:type="pct"/>
            <w:gridSpan w:val="3"/>
            <w:tcBorders>
              <w:top w:val="single" w:sz="4" w:space="0" w:color="auto"/>
              <w:bottom w:val="single" w:sz="4" w:space="0" w:color="auto"/>
            </w:tcBorders>
            <w:shd w:val="clear" w:color="auto" w:fill="auto"/>
            <w:noWrap/>
            <w:vAlign w:val="bottom"/>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Total volatility</w:t>
            </w:r>
          </w:p>
        </w:tc>
      </w:tr>
      <w:tr w:rsidR="008751E1" w:rsidRPr="003E78D5" w:rsidTr="001D3B5A">
        <w:trPr>
          <w:trHeight w:val="300"/>
        </w:trPr>
        <w:tc>
          <w:tcPr>
            <w:tcW w:w="570" w:type="pct"/>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Priors</w:t>
            </w:r>
          </w:p>
        </w:tc>
        <w:tc>
          <w:tcPr>
            <w:tcW w:w="534"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Sigma_f</w:t>
            </w:r>
          </w:p>
        </w:tc>
        <w:tc>
          <w:tcPr>
            <w:tcW w:w="533"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Beta</w:t>
            </w:r>
          </w:p>
        </w:tc>
        <w:tc>
          <w:tcPr>
            <w:tcW w:w="533" w:type="pct"/>
            <w:gridSpan w:val="2"/>
            <w:tcBorders>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I_vol</w:t>
            </w:r>
          </w:p>
        </w:tc>
        <w:tc>
          <w:tcPr>
            <w:tcW w:w="696"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Mean</w:t>
            </w:r>
          </w:p>
        </w:tc>
        <w:tc>
          <w:tcPr>
            <w:tcW w:w="696"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StDev</w:t>
            </w:r>
          </w:p>
        </w:tc>
        <w:tc>
          <w:tcPr>
            <w:tcW w:w="123"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Mean</w:t>
            </w:r>
          </w:p>
        </w:tc>
        <w:tc>
          <w:tcPr>
            <w:tcW w:w="619" w:type="pct"/>
            <w:tcBorders>
              <w:top w:val="single" w:sz="4" w:space="0" w:color="auto"/>
              <w:bottom w:val="single" w:sz="4" w:space="0" w:color="auto"/>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StDev</w:t>
            </w:r>
          </w:p>
        </w:tc>
      </w:tr>
      <w:tr w:rsidR="008751E1" w:rsidRPr="003E78D5" w:rsidTr="001D3B5A">
        <w:trPr>
          <w:trHeight w:val="300"/>
        </w:trPr>
        <w:tc>
          <w:tcPr>
            <w:tcW w:w="570" w:type="pct"/>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1.00</w:t>
            </w:r>
          </w:p>
        </w:tc>
        <w:tc>
          <w:tcPr>
            <w:tcW w:w="696"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0.20</w:t>
            </w:r>
          </w:p>
        </w:tc>
        <w:tc>
          <w:tcPr>
            <w:tcW w:w="123"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1.00</w:t>
            </w:r>
          </w:p>
        </w:tc>
        <w:tc>
          <w:tcPr>
            <w:tcW w:w="619" w:type="pct"/>
            <w:tcBorders>
              <w:top w:val="single" w:sz="4" w:space="0" w:color="auto"/>
              <w:bottom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r>
      <w:tr w:rsidR="008751E1" w:rsidRPr="003E78D5" w:rsidTr="001D3B5A">
        <w:trPr>
          <w:trHeight w:val="300"/>
        </w:trPr>
        <w:tc>
          <w:tcPr>
            <w:tcW w:w="570" w:type="pct"/>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1.00</w:t>
            </w:r>
          </w:p>
        </w:tc>
        <w:tc>
          <w:tcPr>
            <w:tcW w:w="696"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0.05</w:t>
            </w:r>
          </w:p>
        </w:tc>
        <w:tc>
          <w:tcPr>
            <w:tcW w:w="123"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1.01</w:t>
            </w:r>
          </w:p>
        </w:tc>
        <w:tc>
          <w:tcPr>
            <w:tcW w:w="619" w:type="pct"/>
            <w:tcBorders>
              <w:top w:val="nil"/>
            </w:tcBorders>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0.05</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0.11</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1.05</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0.12</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1.01</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0.15</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1.27</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0.12</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1.02</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0.24</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1.29</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0.16</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1.01</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0.07</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1.12</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0.05</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0.11</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1.15</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0.12</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1.04</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0.17</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1.50</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0.15</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1.05</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0.33</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1.58</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0.31</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1.01</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0.09</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1.23</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1.06</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0.12</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1.37</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0.15</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1.42</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0.27</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1.10</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0.11</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lastRenderedPageBreak/>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1.51</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0.62</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1.13</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0.19</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1.15</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1.12</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1.29</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0.21</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1.26</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0.17</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1.46</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0.23</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1.45</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0.13</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1.55</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0.69</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1.53</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0.27</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1.18</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0.11</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1.24</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0.08</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1.38</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0.33</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1.47</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0.26</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Mid</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1.49</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0.33</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1.73</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0.14</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1.60</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0.76</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2.05</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0.42</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1.18</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0.17</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1.36</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Low</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1.47</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0.35</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1.80</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0.32</w:t>
            </w:r>
          </w:p>
        </w:tc>
      </w:tr>
      <w:tr w:rsidR="008751E1" w:rsidRPr="003E78D5" w:rsidTr="00EE60A6">
        <w:trPr>
          <w:trHeight w:val="300"/>
        </w:trPr>
        <w:tc>
          <w:tcPr>
            <w:tcW w:w="570"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Incorrect</w:t>
            </w:r>
          </w:p>
        </w:tc>
        <w:tc>
          <w:tcPr>
            <w:tcW w:w="534"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53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eastAsia="Times New Roman" w:hAnsi="Times New Roman" w:cs="Times New Roman"/>
                <w:sz w:val="24"/>
                <w:szCs w:val="24"/>
                <w:lang w:val="en-US" w:eastAsia="en-GB"/>
              </w:rPr>
              <w:t>High</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1.00</w:t>
            </w: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0.20</w:t>
            </w:r>
          </w:p>
        </w:tc>
        <w:tc>
          <w:tcPr>
            <w:tcW w:w="123"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p>
        </w:tc>
        <w:tc>
          <w:tcPr>
            <w:tcW w:w="696" w:type="pct"/>
            <w:gridSpan w:val="2"/>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1.00</w:t>
            </w:r>
          </w:p>
        </w:tc>
        <w:tc>
          <w:tcPr>
            <w:tcW w:w="619" w:type="pct"/>
            <w:shd w:val="clear" w:color="auto" w:fill="auto"/>
            <w:noWrap/>
            <w:vAlign w:val="bottom"/>
            <w:hideMark/>
          </w:tcPr>
          <w:p w:rsidR="008751E1" w:rsidRPr="003E78D5" w:rsidRDefault="008751E1" w:rsidP="008751E1">
            <w:pPr>
              <w:pStyle w:val="NoSpacing"/>
              <w:rPr>
                <w:rFonts w:ascii="Times New Roman" w:eastAsia="Times New Roman" w:hAnsi="Times New Roman" w:cs="Times New Roman"/>
                <w:sz w:val="24"/>
                <w:szCs w:val="24"/>
                <w:lang w:val="en-US" w:eastAsia="en-GB"/>
              </w:rPr>
            </w:pPr>
            <w:r w:rsidRPr="003E78D5">
              <w:rPr>
                <w:rFonts w:ascii="Times New Roman" w:hAnsi="Times New Roman" w:cs="Times New Roman"/>
                <w:sz w:val="24"/>
                <w:szCs w:val="24"/>
                <w:lang w:val="en-US"/>
              </w:rPr>
              <w:t>0.10</w:t>
            </w:r>
          </w:p>
        </w:tc>
      </w:tr>
    </w:tbl>
    <w:p w:rsidR="008751E1" w:rsidRPr="003E78D5" w:rsidRDefault="008751E1" w:rsidP="008751E1">
      <w:pPr>
        <w:widowControl w:val="0"/>
        <w:autoSpaceDE w:val="0"/>
        <w:autoSpaceDN w:val="0"/>
        <w:adjustRightInd w:val="0"/>
        <w:rPr>
          <w:rFonts w:ascii="Times New Roman" w:eastAsia="Verdana" w:hAnsi="Times New Roman" w:cs="Times New Roman"/>
          <w:color w:val="000000"/>
          <w:spacing w:val="-11"/>
          <w:sz w:val="24"/>
          <w:szCs w:val="24"/>
          <w:lang w:val="en-US"/>
        </w:rPr>
      </w:pPr>
    </w:p>
    <w:p w:rsidR="008751E1" w:rsidRPr="003E78D5" w:rsidRDefault="008751E1" w:rsidP="008751E1">
      <w:pPr>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color w:val="000000"/>
          <w:spacing w:val="-11"/>
          <w:sz w:val="24"/>
          <w:szCs w:val="24"/>
          <w:lang w:val="en-US"/>
        </w:rPr>
        <w:br w:type="page"/>
      </w:r>
    </w:p>
    <w:p w:rsidR="00D46A86" w:rsidRPr="003E78D5" w:rsidRDefault="008751E1" w:rsidP="008751E1">
      <w:pPr>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lastRenderedPageBreak/>
        <w:t xml:space="preserve">Table </w:t>
      </w:r>
      <w:r w:rsidR="004A6FA4" w:rsidRPr="003E78D5">
        <w:rPr>
          <w:rFonts w:ascii="Times New Roman" w:hAnsi="Times New Roman" w:cs="Times New Roman"/>
          <w:b/>
          <w:sz w:val="24"/>
          <w:szCs w:val="24"/>
          <w:lang w:val="en-US"/>
        </w:rPr>
        <w:t>I</w:t>
      </w:r>
      <w:r w:rsidRPr="003E78D5">
        <w:rPr>
          <w:rFonts w:ascii="Times New Roman" w:hAnsi="Times New Roman" w:cs="Times New Roman"/>
          <w:b/>
          <w:sz w:val="24"/>
          <w:szCs w:val="24"/>
          <w:lang w:val="en-US"/>
        </w:rPr>
        <w:t>A.</w:t>
      </w:r>
      <w:r w:rsidR="00D46A86" w:rsidRPr="003E78D5">
        <w:rPr>
          <w:rFonts w:ascii="Times New Roman" w:hAnsi="Times New Roman" w:cs="Times New Roman"/>
          <w:b/>
          <w:sz w:val="24"/>
          <w:szCs w:val="24"/>
          <w:lang w:val="en-US"/>
        </w:rPr>
        <w:t>IV</w:t>
      </w:r>
    </w:p>
    <w:p w:rsidR="008751E1" w:rsidRPr="003E78D5" w:rsidRDefault="008751E1" w:rsidP="008751E1">
      <w:pPr>
        <w:jc w:val="center"/>
        <w:rPr>
          <w:rFonts w:ascii="Times New Roman" w:hAnsi="Times New Roman" w:cs="Times New Roman"/>
          <w:b/>
          <w:sz w:val="24"/>
          <w:szCs w:val="24"/>
          <w:lang w:val="en-US"/>
        </w:rPr>
      </w:pPr>
      <w:r w:rsidRPr="003E78D5">
        <w:rPr>
          <w:rFonts w:ascii="Times New Roman" w:hAnsi="Times New Roman" w:cs="Times New Roman"/>
          <w:b/>
          <w:sz w:val="24"/>
          <w:szCs w:val="24"/>
          <w:lang w:val="en-US"/>
        </w:rPr>
        <w:t>Monte Carlo Simulations when error structure is NOT as specified in our model</w:t>
      </w:r>
    </w:p>
    <w:p w:rsidR="008751E1" w:rsidRPr="003E78D5" w:rsidRDefault="008751E1" w:rsidP="00CD359D">
      <w:pPr>
        <w:autoSpaceDE w:val="0"/>
        <w:autoSpaceDN w:val="0"/>
        <w:adjustRightInd w:val="0"/>
        <w:jc w:val="both"/>
        <w:rPr>
          <w:rFonts w:ascii="Times New Roman" w:hAnsi="Times New Roman" w:cs="Times New Roman"/>
          <w:sz w:val="24"/>
          <w:szCs w:val="24"/>
          <w:lang w:val="en-US"/>
        </w:rPr>
      </w:pPr>
      <w:r w:rsidRPr="003E78D5">
        <w:rPr>
          <w:rFonts w:ascii="Times New Roman" w:hAnsi="Times New Roman" w:cs="Times New Roman"/>
          <w:sz w:val="24"/>
          <w:szCs w:val="24"/>
          <w:lang w:val="en-US"/>
        </w:rPr>
        <w:t xml:space="preserve">We generate a set of cash flows for 500 funds over 80 quarters. The simulation setup is described in details in the text. Each case is simulated 100 times. In the default case, each fund holds five investments, for an average of 3.5 years, factor returns and idiosyncratic volatility of investment returns is 20% p.a. Each of the following cases changes one parameter compared to the default specification. In case 2, idiosyncratic volatility is decreased from 20% to 1%. In case 3, cash flows are generated according to </w:t>
      </w:r>
      <w:r w:rsidR="007C0DDB" w:rsidRPr="003E78D5">
        <w:rPr>
          <w:rFonts w:ascii="Times New Roman" w:hAnsi="Times New Roman" w:cs="Times New Roman"/>
          <w:sz w:val="24"/>
          <w:szCs w:val="24"/>
          <w:lang w:val="en-US"/>
        </w:rPr>
        <w:fldChar w:fldCharType="begin" w:fldLock="1"/>
      </w:r>
      <w:r w:rsidR="007C0DDB" w:rsidRPr="003E78D5">
        <w:rPr>
          <w:rFonts w:ascii="Times New Roman" w:hAnsi="Times New Roman" w:cs="Times New Roman"/>
          <w:sz w:val="24"/>
          <w:szCs w:val="24"/>
          <w:lang w:val="en-US"/>
        </w:rPr>
        <w:instrText>ADDIN CSL_CITATION { "citationItems" : [ { "id" : "ITEM-1", "itemData" : { "ISSN" : "08939454", "abstract" : "This article analyzes the economics of the private equity industry using a novel model and dataset. We obtain data from a large investor in private equity funds, with detailed records on 238 funds raised between 1993 and 2006. We build a model to estimate the expected revenue to managers as a function of their investor contracts, and we test how this estimated revenue varies across the characteristics of our sample funds. Among our sample funds, about two-thirds of expected revenue comes from fixed-revenue components that are not sensitive to performance. We find sharp differences between venture capital (VC) and buyout (BO) funds. BO managers build on their prior experience by increasing the size of their funds faster than VC managers do. This leads to significantly higher revenue per partner and per professional in later BO funds. The results suggest that the BO business is more scalable than the VC business and that past success has a differential impact on the terms of their future funds. [ABSTRACT FROM PUBLISHER]", "author" : [ { "dropping-particle" : "", "family" : "Metrick", "given" : "Andrew", "non-dropping-particle" : "", "parse-names" : false, "suffix" : "" }, { "dropping-particle" : "", "family" : "Yasuda", "given" : "Ayako", "non-dropping-particle" : "", "parse-names" : false, "suffix" : "" } ], "container-title" : "Review of Financial Studies", "id" : "ITEM-1", "issue" : "6", "issued" : { "date-parts" : [ [ "2010", "6" ] ] }, "note" : "Accession Number: 50361677; Metrick, Andrew; Yasuda, Ayako; Issue Info: Jun2010, Vol. 23 Issue 6, p2303; Thesaurus Term: PRIVATE equity funds; Thesaurus Term: VENTURE capital; Thesaurus Term: BUYOUTS; Thesaurus Term: FINANCIAL executives; Thesaurus Term: SUCCESS in business; Thesaurus Term: CORPORATIONS -- Finance; Subject Term: ECONOMIC aspects; Subject Term: EVALUATION; NAICS/Industry Codes: 522291 Consumer Lending; Number of Pages: 39p; Illustrations: 3 Diagrams, 6 Charts, 2 Graphs; Document Type: Article", "page" : "2303-2341", "publisher" : "Oxford University Press / USA", "title" : "The economics of private equity funds", "type" : "article-journal", "volume" : "23" }, "uris" : [ "http://www.mendeley.com/documents/?uuid=41b62939-129c-4d6f-93d3-46d556610c01" ] } ], "mendeley" : { "formattedCitation" : "Metrick and Yasuda (2010)", "plainTextFormattedCitation" : "Metrick and Yasuda (2010)", "previouslyFormattedCitation" : "Metrick and Yasuda (2010)" }, "properties" : {  }, "schema" : "https://github.com/citation-style-language/schema/raw/master/csl-citation.json" }</w:instrText>
      </w:r>
      <w:r w:rsidR="007C0DDB" w:rsidRPr="003E78D5">
        <w:rPr>
          <w:rFonts w:ascii="Times New Roman" w:hAnsi="Times New Roman" w:cs="Times New Roman"/>
          <w:sz w:val="24"/>
          <w:szCs w:val="24"/>
          <w:lang w:val="en-US"/>
        </w:rPr>
        <w:fldChar w:fldCharType="separate"/>
      </w:r>
      <w:r w:rsidR="007C0DDB" w:rsidRPr="003E78D5">
        <w:rPr>
          <w:rFonts w:ascii="Times New Roman" w:hAnsi="Times New Roman" w:cs="Times New Roman"/>
          <w:noProof/>
          <w:sz w:val="24"/>
          <w:szCs w:val="24"/>
          <w:lang w:val="en-US"/>
        </w:rPr>
        <w:t>Metrick and Yasuda (2010)</w:t>
      </w:r>
      <w:r w:rsidR="007C0DDB" w:rsidRPr="003E78D5">
        <w:rPr>
          <w:rFonts w:ascii="Times New Roman" w:hAnsi="Times New Roman" w:cs="Times New Roman"/>
          <w:sz w:val="24"/>
          <w:szCs w:val="24"/>
          <w:lang w:val="en-US"/>
        </w:rPr>
        <w:fldChar w:fldCharType="end"/>
      </w:r>
      <w:r w:rsidR="007C0DDB" w:rsidRPr="003E78D5">
        <w:rPr>
          <w:rFonts w:ascii="Times New Roman" w:hAnsi="Times New Roman" w:cs="Times New Roman"/>
          <w:sz w:val="24"/>
          <w:szCs w:val="24"/>
          <w:lang w:val="en-US"/>
        </w:rPr>
        <w:t xml:space="preserve"> </w:t>
      </w:r>
      <w:r w:rsidRPr="003E78D5">
        <w:rPr>
          <w:rFonts w:ascii="Times New Roman" w:hAnsi="Times New Roman" w:cs="Times New Roman"/>
          <w:sz w:val="24"/>
          <w:szCs w:val="24"/>
          <w:lang w:val="en-US"/>
        </w:rPr>
        <w:t>method. This means that the net of fees cash flows have lower mean (and a slightly lower volatility). In case 4, the best performing investments are those sold each quarter (funds are ‘holding on to losers’). In case 5, no factor is used in the estimation. In case 6, the number of funds is reduced from 500 to 250. In case 7, the number of investments per fund increases from 5 to 20. In case 8, the average holding period is reduced from 14 quarters to 2 quarters. In case 9, investments pay an intermediate dividend of 1% of investment value each quarter. In case 10, factor volatility is decreased from 20% to 10%. In case 11, priors are incorrect (prior on alpha is z</w:t>
      </w:r>
      <w:r w:rsidR="00CD359D" w:rsidRPr="003E78D5">
        <w:rPr>
          <w:rFonts w:ascii="Times New Roman" w:hAnsi="Times New Roman" w:cs="Times New Roman"/>
          <w:sz w:val="24"/>
          <w:szCs w:val="24"/>
          <w:lang w:val="en-US"/>
        </w:rPr>
        <w:t xml:space="preserve">ero and prior on beta is one). </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4"/>
        <w:gridCol w:w="765"/>
        <w:gridCol w:w="262"/>
        <w:gridCol w:w="877"/>
        <w:gridCol w:w="48"/>
        <w:gridCol w:w="1035"/>
        <w:gridCol w:w="97"/>
        <w:gridCol w:w="723"/>
        <w:gridCol w:w="455"/>
        <w:gridCol w:w="365"/>
        <w:gridCol w:w="844"/>
        <w:gridCol w:w="104"/>
        <w:gridCol w:w="715"/>
      </w:tblGrid>
      <w:tr w:rsidR="004A6FA4" w:rsidRPr="003E78D5" w:rsidTr="00407671">
        <w:tc>
          <w:tcPr>
            <w:tcW w:w="5000" w:type="pct"/>
            <w:gridSpan w:val="13"/>
            <w:tcBorders>
              <w:bottom w:val="single" w:sz="4" w:space="0" w:color="auto"/>
            </w:tcBorders>
          </w:tcPr>
          <w:p w:rsidR="004A6FA4" w:rsidRPr="003E78D5" w:rsidRDefault="004A6FA4"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Panel A: Recovering the full time-series of returns</w:t>
            </w:r>
          </w:p>
        </w:tc>
      </w:tr>
      <w:tr w:rsidR="008751E1" w:rsidRPr="003E78D5" w:rsidTr="00407671">
        <w:tc>
          <w:tcPr>
            <w:tcW w:w="1809" w:type="pct"/>
            <w:tcBorders>
              <w:top w:val="single" w:sz="4" w:space="0" w:color="auto"/>
            </w:tcBorders>
          </w:tcPr>
          <w:p w:rsidR="008751E1" w:rsidRPr="003E78D5" w:rsidRDefault="008751E1" w:rsidP="00EE60A6">
            <w:pPr>
              <w:pStyle w:val="NoSpacing"/>
              <w:spacing w:line="276" w:lineRule="auto"/>
              <w:jc w:val="left"/>
              <w:rPr>
                <w:rFonts w:ascii="Times New Roman" w:hAnsi="Times New Roman" w:cs="Times New Roman"/>
                <w:sz w:val="24"/>
                <w:szCs w:val="24"/>
                <w:lang w:val="en-US"/>
              </w:rPr>
            </w:pPr>
          </w:p>
        </w:tc>
        <w:tc>
          <w:tcPr>
            <w:tcW w:w="388" w:type="pct"/>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True</w:t>
            </w:r>
          </w:p>
        </w:tc>
        <w:tc>
          <w:tcPr>
            <w:tcW w:w="578" w:type="pct"/>
            <w:gridSpan w:val="2"/>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True</w:t>
            </w:r>
          </w:p>
        </w:tc>
        <w:tc>
          <w:tcPr>
            <w:tcW w:w="598" w:type="pct"/>
            <w:gridSpan w:val="3"/>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Estimated</w:t>
            </w:r>
          </w:p>
        </w:tc>
        <w:tc>
          <w:tcPr>
            <w:tcW w:w="598" w:type="pct"/>
            <w:gridSpan w:val="2"/>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Estimated</w:t>
            </w:r>
          </w:p>
        </w:tc>
        <w:tc>
          <w:tcPr>
            <w:tcW w:w="666" w:type="pct"/>
            <w:gridSpan w:val="3"/>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Correlation</w:t>
            </w:r>
          </w:p>
        </w:tc>
        <w:tc>
          <w:tcPr>
            <w:tcW w:w="362" w:type="pct"/>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MSE</w:t>
            </w:r>
          </w:p>
        </w:tc>
      </w:tr>
      <w:tr w:rsidR="008751E1" w:rsidRPr="003E78D5" w:rsidTr="00407671">
        <w:tc>
          <w:tcPr>
            <w:tcW w:w="1809" w:type="pct"/>
            <w:tcBorders>
              <w:top w:val="nil"/>
            </w:tcBorders>
          </w:tcPr>
          <w:p w:rsidR="008751E1" w:rsidRPr="003E78D5" w:rsidRDefault="008751E1" w:rsidP="00EE60A6">
            <w:pPr>
              <w:pStyle w:val="NoSpacing"/>
              <w:spacing w:line="276" w:lineRule="auto"/>
              <w:jc w:val="left"/>
              <w:rPr>
                <w:rFonts w:ascii="Times New Roman" w:hAnsi="Times New Roman" w:cs="Times New Roman"/>
                <w:sz w:val="24"/>
                <w:szCs w:val="24"/>
                <w:lang w:val="en-US"/>
              </w:rPr>
            </w:pPr>
          </w:p>
        </w:tc>
        <w:tc>
          <w:tcPr>
            <w:tcW w:w="388" w:type="pct"/>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Mean</w:t>
            </w:r>
          </w:p>
        </w:tc>
        <w:tc>
          <w:tcPr>
            <w:tcW w:w="578" w:type="pct"/>
            <w:gridSpan w:val="2"/>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Volatility</w:t>
            </w:r>
          </w:p>
        </w:tc>
        <w:tc>
          <w:tcPr>
            <w:tcW w:w="598" w:type="pct"/>
            <w:gridSpan w:val="3"/>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Mean</w:t>
            </w:r>
          </w:p>
        </w:tc>
        <w:tc>
          <w:tcPr>
            <w:tcW w:w="598" w:type="pct"/>
            <w:gridSpan w:val="2"/>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Volatility</w:t>
            </w:r>
          </w:p>
        </w:tc>
        <w:tc>
          <w:tcPr>
            <w:tcW w:w="666" w:type="pct"/>
            <w:gridSpan w:val="3"/>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p>
        </w:tc>
        <w:tc>
          <w:tcPr>
            <w:tcW w:w="362" w:type="pct"/>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sz w:val="24"/>
                <w:szCs w:val="24"/>
                <w:lang w:val="en-US"/>
              </w:rPr>
            </w:pP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 Default specification</w:t>
            </w:r>
          </w:p>
        </w:tc>
        <w:tc>
          <w:tcPr>
            <w:tcW w:w="388" w:type="pct"/>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96.3%</w:t>
            </w:r>
          </w:p>
        </w:tc>
        <w:tc>
          <w:tcPr>
            <w:tcW w:w="362" w:type="pct"/>
            <w:tcBorders>
              <w:top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0.21</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2. Decrease idiosyncratic volatility</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97.8%</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0.13</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3. Metrick-Yasuda cash flows</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0.10</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0.31</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0.10</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0.31</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95.6%</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0.24</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4. Hold on to losers</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0.17</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0.33</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91.2%</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0.55</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5. No factor structure</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0.10</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0.10</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74.5%</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0.19</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6. Decrease number of funds</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0.17</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92.9%</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0.35</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7. More investments per fund</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0.17</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92.1%</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0.42</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8. Decrease holding period</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98.1%</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0.12</w:t>
            </w:r>
          </w:p>
        </w:tc>
      </w:tr>
      <w:tr w:rsidR="008751E1" w:rsidRPr="003E78D5" w:rsidTr="00407671">
        <w:tc>
          <w:tcPr>
            <w:tcW w:w="1809" w:type="pct"/>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 Add intermediary cash flows</w:t>
            </w:r>
          </w:p>
        </w:tc>
        <w:tc>
          <w:tcPr>
            <w:tcW w:w="388"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0.33</w:t>
            </w:r>
          </w:p>
        </w:tc>
        <w:tc>
          <w:tcPr>
            <w:tcW w:w="666" w:type="pct"/>
            <w:gridSpan w:val="3"/>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96.0%</w:t>
            </w:r>
          </w:p>
        </w:tc>
        <w:tc>
          <w:tcPr>
            <w:tcW w:w="362" w:type="pct"/>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0.22</w:t>
            </w:r>
          </w:p>
        </w:tc>
      </w:tr>
      <w:tr w:rsidR="008751E1" w:rsidRPr="003E78D5" w:rsidTr="00407671">
        <w:tc>
          <w:tcPr>
            <w:tcW w:w="1809" w:type="pct"/>
            <w:tcBorders>
              <w:bottom w:val="nil"/>
            </w:tcBorders>
            <w:vAlign w:val="bottom"/>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10. Decrease factor volatility</w:t>
            </w:r>
          </w:p>
        </w:tc>
        <w:tc>
          <w:tcPr>
            <w:tcW w:w="388" w:type="pct"/>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666" w:type="pct"/>
            <w:gridSpan w:val="3"/>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96.1%</w:t>
            </w:r>
          </w:p>
        </w:tc>
        <w:tc>
          <w:tcPr>
            <w:tcW w:w="362" w:type="pct"/>
            <w:tcBorders>
              <w:bottom w:val="nil"/>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0.22</w:t>
            </w:r>
          </w:p>
        </w:tc>
      </w:tr>
      <w:tr w:rsidR="008751E1" w:rsidRPr="003E78D5" w:rsidTr="00407671">
        <w:tc>
          <w:tcPr>
            <w:tcW w:w="1809" w:type="pct"/>
            <w:tcBorders>
              <w:top w:val="nil"/>
              <w:bottom w:val="single" w:sz="4" w:space="0" w:color="auto"/>
            </w:tcBorders>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11. Wrong priors</w:t>
            </w:r>
          </w:p>
        </w:tc>
        <w:tc>
          <w:tcPr>
            <w:tcW w:w="388" w:type="pct"/>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78" w:type="pct"/>
            <w:gridSpan w:val="2"/>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0.32</w:t>
            </w:r>
          </w:p>
        </w:tc>
        <w:tc>
          <w:tcPr>
            <w:tcW w:w="598" w:type="pct"/>
            <w:gridSpan w:val="3"/>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0.16</w:t>
            </w:r>
          </w:p>
        </w:tc>
        <w:tc>
          <w:tcPr>
            <w:tcW w:w="598" w:type="pct"/>
            <w:gridSpan w:val="2"/>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0.30</w:t>
            </w:r>
          </w:p>
        </w:tc>
        <w:tc>
          <w:tcPr>
            <w:tcW w:w="666" w:type="pct"/>
            <w:gridSpan w:val="3"/>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95.9%</w:t>
            </w:r>
          </w:p>
        </w:tc>
        <w:tc>
          <w:tcPr>
            <w:tcW w:w="362" w:type="pct"/>
            <w:tcBorders>
              <w:top w:val="nil"/>
              <w:bottom w:val="single" w:sz="4" w:space="0" w:color="auto"/>
            </w:tcBorders>
            <w:vAlign w:val="center"/>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0.23</w:t>
            </w:r>
          </w:p>
        </w:tc>
      </w:tr>
      <w:tr w:rsidR="004A6FA4" w:rsidRPr="003E78D5" w:rsidTr="00407671">
        <w:tblPrEx>
          <w:tblBorders>
            <w:bottom w:val="single" w:sz="4" w:space="0" w:color="auto"/>
          </w:tblBorders>
        </w:tblPrEx>
        <w:tc>
          <w:tcPr>
            <w:tcW w:w="5000" w:type="pct"/>
            <w:gridSpan w:val="13"/>
            <w:tcBorders>
              <w:bottom w:val="single" w:sz="4" w:space="0" w:color="auto"/>
            </w:tcBorders>
          </w:tcPr>
          <w:p w:rsidR="004A6FA4" w:rsidRPr="003E78D5" w:rsidRDefault="004A6FA4"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Panel B: Recovering model parameters</w:t>
            </w:r>
          </w:p>
        </w:tc>
      </w:tr>
      <w:tr w:rsidR="008751E1" w:rsidRPr="003E78D5" w:rsidTr="00407671">
        <w:tblPrEx>
          <w:tblBorders>
            <w:bottom w:val="single" w:sz="4" w:space="0" w:color="auto"/>
          </w:tblBorders>
        </w:tblPrEx>
        <w:tc>
          <w:tcPr>
            <w:tcW w:w="2330" w:type="pct"/>
            <w:gridSpan w:val="3"/>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p>
        </w:tc>
        <w:tc>
          <w:tcPr>
            <w:tcW w:w="469" w:type="pct"/>
            <w:gridSpan w:val="2"/>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p>
        </w:tc>
        <w:tc>
          <w:tcPr>
            <w:tcW w:w="525" w:type="pct"/>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Alpha</w:t>
            </w:r>
          </w:p>
        </w:tc>
        <w:tc>
          <w:tcPr>
            <w:tcW w:w="416" w:type="pct"/>
            <w:gridSpan w:val="2"/>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p>
        </w:tc>
        <w:tc>
          <w:tcPr>
            <w:tcW w:w="416" w:type="pct"/>
            <w:gridSpan w:val="2"/>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p>
        </w:tc>
        <w:tc>
          <w:tcPr>
            <w:tcW w:w="428" w:type="pct"/>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Beta</w:t>
            </w:r>
          </w:p>
        </w:tc>
        <w:tc>
          <w:tcPr>
            <w:tcW w:w="416" w:type="pct"/>
            <w:gridSpan w:val="2"/>
            <w:tcBorders>
              <w:top w:val="single" w:sz="4" w:space="0" w:color="auto"/>
              <w:bottom w:val="nil"/>
            </w:tcBorders>
          </w:tcPr>
          <w:p w:rsidR="008751E1" w:rsidRPr="003E78D5" w:rsidRDefault="008751E1" w:rsidP="00EE60A6">
            <w:pPr>
              <w:pStyle w:val="NoSpacing"/>
              <w:spacing w:line="276" w:lineRule="auto"/>
              <w:rPr>
                <w:rFonts w:ascii="Times New Roman" w:hAnsi="Times New Roman" w:cs="Times New Roman"/>
                <w:sz w:val="24"/>
                <w:szCs w:val="24"/>
                <w:lang w:val="en-US"/>
              </w:rPr>
            </w:pPr>
          </w:p>
        </w:tc>
      </w:tr>
      <w:tr w:rsidR="008751E1" w:rsidRPr="003E78D5" w:rsidTr="00407671">
        <w:tblPrEx>
          <w:tblBorders>
            <w:bottom w:val="single" w:sz="4" w:space="0" w:color="auto"/>
          </w:tblBorders>
        </w:tblPrEx>
        <w:tc>
          <w:tcPr>
            <w:tcW w:w="2330" w:type="pct"/>
            <w:gridSpan w:val="3"/>
            <w:tcBorders>
              <w:top w:val="nil"/>
            </w:tcBorders>
          </w:tcPr>
          <w:p w:rsidR="008751E1" w:rsidRPr="003E78D5" w:rsidRDefault="008751E1" w:rsidP="00EE60A6">
            <w:pPr>
              <w:pStyle w:val="NoSpacing"/>
              <w:spacing w:line="276" w:lineRule="auto"/>
              <w:rPr>
                <w:rFonts w:ascii="Times New Roman" w:hAnsi="Times New Roman" w:cs="Times New Roman"/>
                <w:i/>
                <w:sz w:val="24"/>
                <w:szCs w:val="24"/>
                <w:lang w:val="en-US"/>
              </w:rPr>
            </w:pPr>
            <w:r w:rsidRPr="003E78D5">
              <w:rPr>
                <w:rFonts w:ascii="Times New Roman" w:hAnsi="Times New Roman" w:cs="Times New Roman"/>
                <w:i/>
                <w:sz w:val="24"/>
                <w:szCs w:val="24"/>
                <w:lang w:val="en-US"/>
              </w:rPr>
              <w:t>Percentiles</w:t>
            </w:r>
          </w:p>
        </w:tc>
        <w:tc>
          <w:tcPr>
            <w:tcW w:w="469" w:type="pct"/>
            <w:gridSpan w:val="2"/>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25</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c>
          <w:tcPr>
            <w:tcW w:w="525" w:type="pct"/>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50</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c>
          <w:tcPr>
            <w:tcW w:w="416" w:type="pct"/>
            <w:gridSpan w:val="2"/>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75</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c>
          <w:tcPr>
            <w:tcW w:w="416" w:type="pct"/>
            <w:gridSpan w:val="2"/>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25</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c>
          <w:tcPr>
            <w:tcW w:w="428" w:type="pct"/>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50</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c>
          <w:tcPr>
            <w:tcW w:w="416" w:type="pct"/>
            <w:gridSpan w:val="2"/>
            <w:tcBorders>
              <w:top w:val="nil"/>
              <w:bottom w:val="single" w:sz="4" w:space="0" w:color="auto"/>
            </w:tcBorders>
          </w:tcPr>
          <w:p w:rsidR="008751E1" w:rsidRPr="003E78D5" w:rsidRDefault="008751E1" w:rsidP="00EE60A6">
            <w:pPr>
              <w:pStyle w:val="NoSpacing"/>
              <w:spacing w:line="276" w:lineRule="auto"/>
              <w:rPr>
                <w:rFonts w:ascii="Times New Roman" w:hAnsi="Times New Roman" w:cs="Times New Roman"/>
                <w:sz w:val="24"/>
                <w:szCs w:val="24"/>
                <w:lang w:val="en-US"/>
              </w:rPr>
            </w:pPr>
            <w:r w:rsidRPr="003E78D5">
              <w:rPr>
                <w:rFonts w:ascii="Times New Roman" w:hAnsi="Times New Roman" w:cs="Times New Roman"/>
                <w:sz w:val="24"/>
                <w:szCs w:val="24"/>
                <w:lang w:val="en-US"/>
              </w:rPr>
              <w:t>75</w:t>
            </w:r>
            <w:r w:rsidRPr="003E78D5">
              <w:rPr>
                <w:rFonts w:ascii="Times New Roman" w:hAnsi="Times New Roman" w:cs="Times New Roman"/>
                <w:sz w:val="24"/>
                <w:szCs w:val="24"/>
                <w:vertAlign w:val="superscript"/>
                <w:lang w:val="en-US"/>
              </w:rPr>
              <w:t>th</w:t>
            </w:r>
            <w:r w:rsidRPr="003E78D5">
              <w:rPr>
                <w:rFonts w:ascii="Times New Roman" w:hAnsi="Times New Roman" w:cs="Times New Roman"/>
                <w:sz w:val="24"/>
                <w:szCs w:val="24"/>
                <w:lang w:val="en-US"/>
              </w:rPr>
              <w:t xml:space="preserve"> </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 Default specification</w:t>
            </w:r>
          </w:p>
        </w:tc>
        <w:tc>
          <w:tcPr>
            <w:tcW w:w="469" w:type="pct"/>
            <w:gridSpan w:val="2"/>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0.08</w:t>
            </w:r>
          </w:p>
        </w:tc>
        <w:tc>
          <w:tcPr>
            <w:tcW w:w="416" w:type="pct"/>
            <w:gridSpan w:val="2"/>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1.47</w:t>
            </w:r>
          </w:p>
        </w:tc>
        <w:tc>
          <w:tcPr>
            <w:tcW w:w="428" w:type="pct"/>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1.51</w:t>
            </w:r>
          </w:p>
        </w:tc>
        <w:tc>
          <w:tcPr>
            <w:tcW w:w="416" w:type="pct"/>
            <w:gridSpan w:val="2"/>
            <w:tcBorders>
              <w:top w:val="single" w:sz="4" w:space="0" w:color="auto"/>
            </w:tcBorders>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1.54</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2. Decrease idiosyncratic volatility</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0.07</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1.49</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1.52</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1.54</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3. Metrick-Yasuda cash flows</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0.00</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1.41</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1.46</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1.48</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4. Hold on to losers</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0.05</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0.09</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1.43</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1.51</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1.59</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5. No factor structure</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0.08</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0.00</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0.00</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0.00</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6. Decrease number of funds</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0.05</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0.09</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1.43</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1.49</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1.54</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7. More investments per fund</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0.05</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0.09</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1.42</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1.48</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1.54</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8. Decrease holding period</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0.07</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1.47</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1.51</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1.55</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9. Add intermediary cash flows</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0.08</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1.47</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1.51</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1.54</w:t>
            </w:r>
          </w:p>
        </w:tc>
      </w:tr>
      <w:tr w:rsidR="008751E1" w:rsidRPr="003E78D5" w:rsidTr="00EE60A6">
        <w:tblPrEx>
          <w:tblBorders>
            <w:bottom w:val="single" w:sz="4" w:space="0" w:color="auto"/>
          </w:tblBorders>
        </w:tblPrEx>
        <w:tc>
          <w:tcPr>
            <w:tcW w:w="2330" w:type="pct"/>
            <w:gridSpan w:val="3"/>
            <w:vAlign w:val="bottom"/>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10. Decrease index volatility</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0.02</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0.08</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1.48</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1.52</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1.55</w:t>
            </w:r>
          </w:p>
        </w:tc>
      </w:tr>
      <w:tr w:rsidR="008751E1" w:rsidRPr="003E78D5" w:rsidTr="00EE60A6">
        <w:tblPrEx>
          <w:tblBorders>
            <w:bottom w:val="single" w:sz="4" w:space="0" w:color="auto"/>
          </w:tblBorders>
        </w:tblPrEx>
        <w:tc>
          <w:tcPr>
            <w:tcW w:w="2330" w:type="pct"/>
            <w:gridSpan w:val="3"/>
            <w:vAlign w:val="center"/>
          </w:tcPr>
          <w:p w:rsidR="008751E1" w:rsidRPr="003E78D5" w:rsidRDefault="008751E1" w:rsidP="00EE60A6">
            <w:pPr>
              <w:pStyle w:val="NoSpacing"/>
              <w:spacing w:line="276" w:lineRule="auto"/>
              <w:jc w:val="left"/>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11. Wrong priors</w:t>
            </w:r>
          </w:p>
        </w:tc>
        <w:tc>
          <w:tcPr>
            <w:tcW w:w="469"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0.03</w:t>
            </w:r>
          </w:p>
        </w:tc>
        <w:tc>
          <w:tcPr>
            <w:tcW w:w="525"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0.07</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0.09</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1.19</w:t>
            </w:r>
          </w:p>
        </w:tc>
        <w:tc>
          <w:tcPr>
            <w:tcW w:w="428" w:type="pct"/>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1.24</w:t>
            </w:r>
          </w:p>
        </w:tc>
        <w:tc>
          <w:tcPr>
            <w:tcW w:w="416" w:type="pct"/>
            <w:gridSpan w:val="2"/>
            <w:vAlign w:val="bottom"/>
          </w:tcPr>
          <w:p w:rsidR="008751E1" w:rsidRPr="003E78D5" w:rsidRDefault="008751E1" w:rsidP="00EE60A6">
            <w:pPr>
              <w:pStyle w:val="NoSpacing"/>
              <w:spacing w:line="276" w:lineRule="auto"/>
              <w:rPr>
                <w:rFonts w:ascii="Times New Roman" w:hAnsi="Times New Roman" w:cs="Times New Roman"/>
                <w:color w:val="000000"/>
                <w:sz w:val="24"/>
                <w:szCs w:val="24"/>
                <w:lang w:val="en-US"/>
              </w:rPr>
            </w:pPr>
            <w:r w:rsidRPr="003E78D5">
              <w:rPr>
                <w:rFonts w:ascii="Times New Roman" w:hAnsi="Times New Roman" w:cs="Times New Roman"/>
                <w:color w:val="000000"/>
                <w:sz w:val="24"/>
                <w:szCs w:val="24"/>
                <w:lang w:val="en-US"/>
              </w:rPr>
              <w:t>1.27</w:t>
            </w:r>
          </w:p>
        </w:tc>
      </w:tr>
    </w:tbl>
    <w:p w:rsidR="008751E1" w:rsidRPr="003E78D5" w:rsidRDefault="00CD359D" w:rsidP="008751E1">
      <w:pPr>
        <w:widowControl w:val="0"/>
        <w:autoSpaceDE w:val="0"/>
        <w:autoSpaceDN w:val="0"/>
        <w:adjustRightInd w:val="0"/>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color w:val="000000"/>
          <w:spacing w:val="-11"/>
          <w:sz w:val="24"/>
          <w:szCs w:val="24"/>
          <w:lang w:val="en-US"/>
        </w:rPr>
        <w:lastRenderedPageBreak/>
        <w:t xml:space="preserve">           </w:t>
      </w:r>
      <w:r w:rsidR="008751E1" w:rsidRPr="003E78D5">
        <w:rPr>
          <w:rFonts w:ascii="Times New Roman" w:eastAsia="Verdana" w:hAnsi="Times New Roman" w:cs="Times New Roman"/>
          <w:color w:val="000000"/>
          <w:spacing w:val="-11"/>
          <w:sz w:val="24"/>
          <w:szCs w:val="24"/>
          <w:lang w:val="en-US"/>
        </w:rPr>
        <w:t xml:space="preserve">Panel A: No skew (equal size and duration)  </w:t>
      </w:r>
      <w:r w:rsidR="008751E1" w:rsidRPr="003E78D5">
        <w:rPr>
          <w:rFonts w:ascii="Times New Roman" w:eastAsia="Verdana" w:hAnsi="Times New Roman" w:cs="Times New Roman"/>
          <w:color w:val="000000"/>
          <w:spacing w:val="-11"/>
          <w:sz w:val="24"/>
          <w:szCs w:val="24"/>
          <w:lang w:val="en-US"/>
        </w:rPr>
        <w:tab/>
        <w:t>Panel B: Skewed size (equal duration)</w:t>
      </w:r>
    </w:p>
    <w:p w:rsidR="008751E1" w:rsidRPr="003E78D5" w:rsidRDefault="008751E1" w:rsidP="008751E1">
      <w:pPr>
        <w:widowControl w:val="0"/>
        <w:autoSpaceDE w:val="0"/>
        <w:autoSpaceDN w:val="0"/>
        <w:adjustRightInd w:val="0"/>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noProof/>
          <w:color w:val="000000"/>
          <w:spacing w:val="-11"/>
          <w:sz w:val="24"/>
          <w:szCs w:val="24"/>
          <w:lang w:eastAsia="en-GB"/>
        </w:rPr>
        <w:drawing>
          <wp:inline distT="0" distB="0" distL="0" distR="0" wp14:anchorId="7CB4961A" wp14:editId="36EF7089">
            <wp:extent cx="2870791" cy="2998381"/>
            <wp:effectExtent l="0" t="0" r="6350" b="0"/>
            <wp:docPr id="5" name="Picture 5" descr="C:\Users\lphalippou\Dropbox\PE_Bayesian\Vol50-NoSke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lphalippou\Dropbox\PE_Bayesian\Vol50-NoSkew.jpg"/>
                    <pic:cNvPicPr preferRelativeResize="0">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868197" cy="2995672"/>
                    </a:xfrm>
                    <a:prstGeom prst="rect">
                      <a:avLst/>
                    </a:prstGeom>
                    <a:noFill/>
                    <a:ln>
                      <a:noFill/>
                    </a:ln>
                  </pic:spPr>
                </pic:pic>
              </a:graphicData>
            </a:graphic>
          </wp:inline>
        </w:drawing>
      </w:r>
      <w:r w:rsidRPr="003E78D5">
        <w:rPr>
          <w:rFonts w:ascii="Times New Roman" w:eastAsia="Verdana" w:hAnsi="Times New Roman" w:cs="Times New Roman"/>
          <w:noProof/>
          <w:color w:val="000000"/>
          <w:spacing w:val="-11"/>
          <w:sz w:val="24"/>
          <w:szCs w:val="24"/>
          <w:lang w:eastAsia="en-GB"/>
        </w:rPr>
        <w:drawing>
          <wp:inline distT="0" distB="0" distL="0" distR="0" wp14:anchorId="1ABD12CF" wp14:editId="62875D46">
            <wp:extent cx="2860158" cy="3051544"/>
            <wp:effectExtent l="0" t="0" r="0" b="0"/>
            <wp:docPr id="6" name="Picture 6" descr="C:\Users\lphalippou\Dropbox\PE_Bayesian\Vol50-OnlySizeSkew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lphalippou\Dropbox\PE_Bayesian\Vol50-OnlySizeSkewed.jpg"/>
                    <pic:cNvPicPr preferRelativeResize="0">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57574" cy="3048787"/>
                    </a:xfrm>
                    <a:prstGeom prst="rect">
                      <a:avLst/>
                    </a:prstGeom>
                    <a:noFill/>
                    <a:ln>
                      <a:noFill/>
                    </a:ln>
                  </pic:spPr>
                </pic:pic>
              </a:graphicData>
            </a:graphic>
          </wp:inline>
        </w:drawing>
      </w:r>
    </w:p>
    <w:p w:rsidR="008751E1" w:rsidRPr="003E78D5" w:rsidRDefault="008751E1" w:rsidP="008751E1">
      <w:pPr>
        <w:widowControl w:val="0"/>
        <w:autoSpaceDE w:val="0"/>
        <w:autoSpaceDN w:val="0"/>
        <w:adjustRightInd w:val="0"/>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color w:val="000000"/>
          <w:spacing w:val="-11"/>
          <w:sz w:val="24"/>
          <w:szCs w:val="24"/>
          <w:lang w:val="en-US"/>
        </w:rPr>
        <w:tab/>
        <w:t xml:space="preserve">Panel C: Skewed duration (equal size)  </w:t>
      </w:r>
      <w:r w:rsidRPr="003E78D5">
        <w:rPr>
          <w:rFonts w:ascii="Times New Roman" w:eastAsia="Verdana" w:hAnsi="Times New Roman" w:cs="Times New Roman"/>
          <w:color w:val="000000"/>
          <w:spacing w:val="-11"/>
          <w:sz w:val="24"/>
          <w:szCs w:val="24"/>
          <w:lang w:val="en-US"/>
        </w:rPr>
        <w:tab/>
      </w:r>
      <w:r w:rsidRPr="003E78D5">
        <w:rPr>
          <w:rFonts w:ascii="Times New Roman" w:eastAsia="Verdana" w:hAnsi="Times New Roman" w:cs="Times New Roman"/>
          <w:color w:val="000000"/>
          <w:spacing w:val="-11"/>
          <w:sz w:val="24"/>
          <w:szCs w:val="24"/>
          <w:lang w:val="en-US"/>
        </w:rPr>
        <w:tab/>
      </w:r>
      <w:r w:rsidR="00CD359D" w:rsidRPr="003E78D5">
        <w:rPr>
          <w:rFonts w:ascii="Times New Roman" w:eastAsia="Verdana" w:hAnsi="Times New Roman" w:cs="Times New Roman"/>
          <w:color w:val="000000"/>
          <w:spacing w:val="-11"/>
          <w:sz w:val="24"/>
          <w:szCs w:val="24"/>
          <w:lang w:val="en-US"/>
        </w:rPr>
        <w:t xml:space="preserve">     </w:t>
      </w:r>
      <w:r w:rsidRPr="003E78D5">
        <w:rPr>
          <w:rFonts w:ascii="Times New Roman" w:eastAsia="Verdana" w:hAnsi="Times New Roman" w:cs="Times New Roman"/>
          <w:color w:val="000000"/>
          <w:spacing w:val="-11"/>
          <w:sz w:val="24"/>
          <w:szCs w:val="24"/>
          <w:lang w:val="en-US"/>
        </w:rPr>
        <w:t>Panel D: Skewed size and duration</w:t>
      </w:r>
    </w:p>
    <w:p w:rsidR="006C4BD5" w:rsidRPr="003E78D5" w:rsidRDefault="008751E1" w:rsidP="008751E1">
      <w:pPr>
        <w:widowControl w:val="0"/>
        <w:autoSpaceDE w:val="0"/>
        <w:autoSpaceDN w:val="0"/>
        <w:adjustRightInd w:val="0"/>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noProof/>
          <w:color w:val="000000"/>
          <w:spacing w:val="-11"/>
          <w:sz w:val="24"/>
          <w:szCs w:val="24"/>
          <w:lang w:eastAsia="en-GB"/>
        </w:rPr>
        <w:drawing>
          <wp:inline distT="0" distB="0" distL="0" distR="0" wp14:anchorId="7E122A9B" wp14:editId="19F976E5">
            <wp:extent cx="3019646" cy="2668772"/>
            <wp:effectExtent l="0" t="0" r="0" b="0"/>
            <wp:docPr id="8" name="Picture 8" descr="C:\Users\lphalippou\Dropbox\PE_Bayesian\Vol50-OnlyDurationSkew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lphalippou\Dropbox\PE_Bayesian\Vol50-OnlyDurationSkewed.jpg"/>
                    <pic:cNvPicPr preferRelativeResize="0">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16918" cy="2666361"/>
                    </a:xfrm>
                    <a:prstGeom prst="rect">
                      <a:avLst/>
                    </a:prstGeom>
                    <a:noFill/>
                    <a:ln>
                      <a:noFill/>
                    </a:ln>
                  </pic:spPr>
                </pic:pic>
              </a:graphicData>
            </a:graphic>
          </wp:inline>
        </w:drawing>
      </w:r>
      <w:r w:rsidRPr="003E78D5">
        <w:rPr>
          <w:rFonts w:ascii="Times New Roman" w:eastAsia="Verdana" w:hAnsi="Times New Roman" w:cs="Times New Roman"/>
          <w:noProof/>
          <w:color w:val="000000"/>
          <w:spacing w:val="-11"/>
          <w:sz w:val="24"/>
          <w:szCs w:val="24"/>
          <w:lang w:eastAsia="en-GB"/>
        </w:rPr>
        <w:drawing>
          <wp:inline distT="0" distB="0" distL="0" distR="0" wp14:anchorId="1252E8F7" wp14:editId="11C000EF">
            <wp:extent cx="2955850" cy="2541182"/>
            <wp:effectExtent l="0" t="0" r="0" b="0"/>
            <wp:docPr id="7" name="Picture 7" descr="C:\Users\lphalippou\Dropbox\PE_Bayesian\Vol50-Skew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lphalippou\Dropbox\PE_Bayesian\Vol50-Skewed.jpg"/>
                    <pic:cNvPicPr preferRelativeResize="0">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53180" cy="2538886"/>
                    </a:xfrm>
                    <a:prstGeom prst="rect">
                      <a:avLst/>
                    </a:prstGeom>
                    <a:noFill/>
                    <a:ln>
                      <a:noFill/>
                    </a:ln>
                  </pic:spPr>
                </pic:pic>
              </a:graphicData>
            </a:graphic>
          </wp:inline>
        </w:drawing>
      </w:r>
    </w:p>
    <w:p w:rsidR="000F3066" w:rsidRPr="003E78D5" w:rsidRDefault="00407671" w:rsidP="00CD359D">
      <w:pPr>
        <w:widowControl w:val="0"/>
        <w:autoSpaceDE w:val="0"/>
        <w:autoSpaceDN w:val="0"/>
        <w:adjustRightInd w:val="0"/>
        <w:jc w:val="both"/>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b/>
          <w:color w:val="000000"/>
          <w:spacing w:val="-11"/>
          <w:sz w:val="24"/>
          <w:szCs w:val="24"/>
          <w:lang w:val="en-US"/>
        </w:rPr>
        <w:t xml:space="preserve">Figure A1. Validity of Assumption 2 in Small Samples and Worse Case Scenarios. </w:t>
      </w:r>
      <w:r w:rsidR="00775A57" w:rsidRPr="00775A57">
        <w:rPr>
          <w:rFonts w:ascii="Times New Roman" w:hAnsi="Times New Roman" w:cs="Times New Roman"/>
          <w:sz w:val="24"/>
          <w:szCs w:val="24"/>
          <w:lang w:val="en-US"/>
        </w:rPr>
        <w:t xml:space="preserve">There are twenty investments in a fund. Fund size is one. The size of the investments in a fund is either 0.05 each, or one investment is 0.2 and the rest of the investments are 0.8/19. Investment duration is either 16 quarters each, or one investment last for 40 quarters and the rest of the investments last for 16 quarters. We draw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ϵ</m:t>
            </m:r>
          </m:e>
          <m:sub>
            <m:r>
              <w:rPr>
                <w:rFonts w:ascii="Cambria Math" w:hAnsi="Cambria Math" w:cs="Times New Roman"/>
                <w:sz w:val="24"/>
                <w:szCs w:val="24"/>
                <w:lang w:val="en-US"/>
              </w:rPr>
              <m:t>t</m:t>
            </m:r>
          </m:sub>
          <m:sup>
            <m:r>
              <w:rPr>
                <w:rFonts w:ascii="Cambria Math" w:hAnsi="Cambria Math" w:cs="Times New Roman"/>
                <w:sz w:val="24"/>
                <w:szCs w:val="24"/>
                <w:lang w:val="en-US"/>
              </w:rPr>
              <m:t>i</m:t>
            </m:r>
          </m:sup>
        </m:sSubSup>
      </m:oMath>
      <w:r w:rsidR="00775A57" w:rsidRPr="00775A57">
        <w:rPr>
          <w:rFonts w:ascii="Times New Roman" w:hAnsi="Times New Roman" w:cs="Times New Roman"/>
          <w:sz w:val="24"/>
          <w:szCs w:val="24"/>
          <w:lang w:val="en-US"/>
        </w:rPr>
        <w:t xml:space="preserve"> as i.i.d, normal distribution with a volatility of 50% per annum (because this generates a distribution of PMEs whose volatility matches the one we observe empirically). We compute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i</m:t>
            </m:r>
          </m:sup>
        </m:sSubSup>
      </m:oMath>
      <w:r w:rsidR="00775A57" w:rsidRPr="00775A57">
        <w:rPr>
          <w:rFonts w:ascii="Times New Roman" w:hAnsi="Times New Roman" w:cs="Times New Roman"/>
          <w:sz w:val="24"/>
          <w:szCs w:val="24"/>
          <w:lang w:val="en-US"/>
        </w:rPr>
        <w:t xml:space="preserve"> for each investment in a fund according to the definition in equation (6) and take the value weighted sum of the twenty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j</m:t>
                </m:r>
              </m:sub>
            </m:sSub>
          </m:sub>
          <m:sup>
            <m:r>
              <w:rPr>
                <w:rFonts w:ascii="Cambria Math" w:hAnsi="Cambria Math" w:cs="Times New Roman"/>
                <w:sz w:val="24"/>
                <w:szCs w:val="24"/>
                <w:lang w:val="en-US"/>
              </w:rPr>
              <m:t>i</m:t>
            </m:r>
          </m:sup>
        </m:sSubSup>
      </m:oMath>
      <w:r w:rsidR="00775A57" w:rsidRPr="00775A57">
        <w:rPr>
          <w:rFonts w:ascii="Times New Roman" w:hAnsi="Times New Roman" w:cs="Times New Roman"/>
          <w:sz w:val="24"/>
          <w:szCs w:val="24"/>
          <w:lang w:val="en-US"/>
        </w:rPr>
        <w:t xml:space="preserve"> we have for each fund and obtain </w:t>
      </w:r>
      <w:r w:rsidR="00775A57" w:rsidRPr="00775A57">
        <w:rPr>
          <w:rFonts w:ascii="Times New Roman" w:hAnsi="Times New Roman" w:cs="Times New Roman"/>
          <w:i/>
          <w:sz w:val="24"/>
          <w:szCs w:val="24"/>
          <w:lang w:val="en-US"/>
        </w:rPr>
        <w:t>u</w:t>
      </w:r>
      <w:r w:rsidR="00775A57" w:rsidRPr="00775A57">
        <w:rPr>
          <w:rFonts w:ascii="Times New Roman" w:hAnsi="Times New Roman" w:cs="Times New Roman"/>
          <w:i/>
          <w:sz w:val="24"/>
          <w:szCs w:val="24"/>
          <w:vertAlign w:val="subscript"/>
          <w:lang w:val="en-US"/>
        </w:rPr>
        <w:t>h</w:t>
      </w:r>
      <w:r w:rsidR="00775A57" w:rsidRPr="00775A57">
        <w:rPr>
          <w:rFonts w:ascii="Times New Roman" w:hAnsi="Times New Roman" w:cs="Times New Roman"/>
          <w:sz w:val="24"/>
          <w:szCs w:val="24"/>
          <w:lang w:val="en-US"/>
        </w:rPr>
        <w:t xml:space="preserve"> for fund </w:t>
      </w:r>
      <w:r w:rsidR="00775A57" w:rsidRPr="00775A57">
        <w:rPr>
          <w:rFonts w:ascii="Times New Roman" w:hAnsi="Times New Roman" w:cs="Times New Roman"/>
          <w:i/>
          <w:sz w:val="24"/>
          <w:szCs w:val="24"/>
          <w:lang w:val="en-US"/>
        </w:rPr>
        <w:t>h</w:t>
      </w:r>
      <w:r w:rsidR="00775A57" w:rsidRPr="00775A57">
        <w:rPr>
          <w:rFonts w:ascii="Times New Roman" w:hAnsi="Times New Roman" w:cs="Times New Roman"/>
          <w:sz w:val="24"/>
          <w:szCs w:val="24"/>
          <w:lang w:val="en-US"/>
        </w:rPr>
        <w:t xml:space="preserve"> as defined in equation (15). Assumption (2) holds if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h</m:t>
                </m:r>
              </m:sub>
            </m:sSub>
          </m:e>
        </m:func>
      </m:oMath>
      <w:r w:rsidR="00775A57" w:rsidRPr="00775A57">
        <w:rPr>
          <w:rFonts w:ascii="Times New Roman" w:hAnsi="Times New Roman" w:cs="Times New Roman"/>
          <w:sz w:val="24"/>
          <w:szCs w:val="24"/>
          <w:lang w:val="en-US"/>
        </w:rPr>
        <w:t>is normally distributed. We show below that distribution obtained by Monte-Carlo simulations (N = 1 million) and compare it to the best fitting Normal distribution.</w:t>
      </w:r>
    </w:p>
    <w:p w:rsidR="000F3066" w:rsidRPr="003E78D5" w:rsidRDefault="000F3066" w:rsidP="000F3066">
      <w:pPr>
        <w:widowControl w:val="0"/>
        <w:autoSpaceDE w:val="0"/>
        <w:autoSpaceDN w:val="0"/>
        <w:adjustRightInd w:val="0"/>
        <w:jc w:val="center"/>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color w:val="000000"/>
          <w:spacing w:val="-11"/>
          <w:sz w:val="24"/>
          <w:szCs w:val="24"/>
          <w:lang w:val="en-US"/>
        </w:rPr>
        <w:lastRenderedPageBreak/>
        <w:t>REFERENCES</w:t>
      </w:r>
    </w:p>
    <w:p w:rsidR="007C0DDB" w:rsidRPr="003E78D5" w:rsidRDefault="000F3066"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eastAsia="Verdana" w:hAnsi="Times New Roman" w:cs="Times New Roman"/>
          <w:color w:val="000000"/>
          <w:spacing w:val="-11"/>
          <w:sz w:val="24"/>
          <w:szCs w:val="24"/>
          <w:lang w:val="en-US"/>
        </w:rPr>
        <w:fldChar w:fldCharType="begin" w:fldLock="1"/>
      </w:r>
      <w:r w:rsidRPr="003E78D5">
        <w:rPr>
          <w:rFonts w:ascii="Times New Roman" w:eastAsia="Verdana" w:hAnsi="Times New Roman" w:cs="Times New Roman"/>
          <w:color w:val="000000"/>
          <w:spacing w:val="-11"/>
          <w:sz w:val="24"/>
          <w:szCs w:val="24"/>
          <w:lang w:val="en-US"/>
        </w:rPr>
        <w:instrText xml:space="preserve">ADDIN Mendeley Bibliography CSL_BIBLIOGRAPHY </w:instrText>
      </w:r>
      <w:r w:rsidRPr="003E78D5">
        <w:rPr>
          <w:rFonts w:ascii="Times New Roman" w:eastAsia="Verdana" w:hAnsi="Times New Roman" w:cs="Times New Roman"/>
          <w:color w:val="000000"/>
          <w:spacing w:val="-11"/>
          <w:sz w:val="24"/>
          <w:szCs w:val="24"/>
          <w:lang w:val="en-US"/>
        </w:rPr>
        <w:fldChar w:fldCharType="separate"/>
      </w:r>
      <w:r w:rsidR="007C0DDB" w:rsidRPr="003E78D5">
        <w:rPr>
          <w:rFonts w:ascii="Times New Roman" w:hAnsi="Times New Roman" w:cs="Times New Roman"/>
          <w:noProof/>
          <w:sz w:val="24"/>
          <w:szCs w:val="24"/>
        </w:rPr>
        <w:t xml:space="preserve">Ang, Andrew, and Joseph Chen, 2007, CAPM over the long run: 1926–2001, </w:t>
      </w:r>
      <w:r w:rsidR="007C0DDB" w:rsidRPr="003E78D5">
        <w:rPr>
          <w:rFonts w:ascii="Times New Roman" w:hAnsi="Times New Roman" w:cs="Times New Roman"/>
          <w:i/>
          <w:iCs/>
          <w:noProof/>
          <w:sz w:val="24"/>
          <w:szCs w:val="24"/>
        </w:rPr>
        <w:t>Journal of Empirical Finance</w:t>
      </w:r>
      <w:r w:rsidR="007C0DDB" w:rsidRPr="003E78D5">
        <w:rPr>
          <w:rFonts w:ascii="Times New Roman" w:hAnsi="Times New Roman" w:cs="Times New Roman"/>
          <w:noProof/>
          <w:sz w:val="24"/>
          <w:szCs w:val="24"/>
        </w:rPr>
        <w:t xml:space="preserve"> 14, 1–40.</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Brav, Alon, and Paul A. Gompers, 1997, Myth or reality ? The long-run underperformance of initial public offerings : Evidence from venture and nonventure capital-backed companies, </w:t>
      </w:r>
      <w:r w:rsidRPr="003E78D5">
        <w:rPr>
          <w:rFonts w:ascii="Times New Roman" w:hAnsi="Times New Roman" w:cs="Times New Roman"/>
          <w:i/>
          <w:iCs/>
          <w:noProof/>
          <w:sz w:val="24"/>
          <w:szCs w:val="24"/>
        </w:rPr>
        <w:t>Journal of Finance</w:t>
      </w:r>
      <w:r w:rsidRPr="003E78D5">
        <w:rPr>
          <w:rFonts w:ascii="Times New Roman" w:hAnsi="Times New Roman" w:cs="Times New Roman"/>
          <w:noProof/>
          <w:sz w:val="24"/>
          <w:szCs w:val="24"/>
        </w:rPr>
        <w:t xml:space="preserve"> 52, 1791–1821.</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Cao, Jerry, and Josh Lerner, 2009, The performance of reverse leveraged buyouts, </w:t>
      </w:r>
      <w:r w:rsidRPr="003E78D5">
        <w:rPr>
          <w:rFonts w:ascii="Times New Roman" w:hAnsi="Times New Roman" w:cs="Times New Roman"/>
          <w:i/>
          <w:iCs/>
          <w:noProof/>
          <w:sz w:val="24"/>
          <w:szCs w:val="24"/>
        </w:rPr>
        <w:t>Journal of Financial Economics</w:t>
      </w:r>
      <w:r w:rsidRPr="003E78D5">
        <w:rPr>
          <w:rFonts w:ascii="Times New Roman" w:hAnsi="Times New Roman" w:cs="Times New Roman"/>
          <w:noProof/>
          <w:sz w:val="24"/>
          <w:szCs w:val="24"/>
        </w:rPr>
        <w:t xml:space="preserve"> 91, 139–157.</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Chiang, Kevin C.H., Ming-long Lee, and Craig H. Wisen, 2005, On the time series properties of real estate investment trust betas, </w:t>
      </w:r>
      <w:r w:rsidRPr="003E78D5">
        <w:rPr>
          <w:rFonts w:ascii="Times New Roman" w:hAnsi="Times New Roman" w:cs="Times New Roman"/>
          <w:i/>
          <w:iCs/>
          <w:noProof/>
          <w:sz w:val="24"/>
          <w:szCs w:val="24"/>
        </w:rPr>
        <w:t>Real Estate Economics</w:t>
      </w:r>
      <w:r w:rsidRPr="003E78D5">
        <w:rPr>
          <w:rFonts w:ascii="Times New Roman" w:hAnsi="Times New Roman" w:cs="Times New Roman"/>
          <w:noProof/>
          <w:sz w:val="24"/>
          <w:szCs w:val="24"/>
        </w:rPr>
        <w:t xml:space="preserve"> 33, 381–396.</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Derwall, Jeroen, Joop Huij, Dirk Brounen, and Wessel Marquering, 2009, REIT momentum and the performance of real estate mutual funds, </w:t>
      </w:r>
      <w:r w:rsidRPr="003E78D5">
        <w:rPr>
          <w:rFonts w:ascii="Times New Roman" w:hAnsi="Times New Roman" w:cs="Times New Roman"/>
          <w:i/>
          <w:iCs/>
          <w:noProof/>
          <w:sz w:val="24"/>
          <w:szCs w:val="24"/>
        </w:rPr>
        <w:t>Financial Analysts Journal</w:t>
      </w:r>
      <w:r w:rsidRPr="003E78D5">
        <w:rPr>
          <w:rFonts w:ascii="Times New Roman" w:hAnsi="Times New Roman" w:cs="Times New Roman"/>
          <w:noProof/>
          <w:sz w:val="24"/>
          <w:szCs w:val="24"/>
        </w:rPr>
        <w:t xml:space="preserve"> 65, 1–11.</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Driessen, Joost, Tse-Chun Lin, and Ludovic Phalippou, 2012, A new method to estimate risk and return of nontraded assets from cash flows: The case of private equity funds, </w:t>
      </w:r>
      <w:r w:rsidRPr="003E78D5">
        <w:rPr>
          <w:rFonts w:ascii="Times New Roman" w:hAnsi="Times New Roman" w:cs="Times New Roman"/>
          <w:i/>
          <w:iCs/>
          <w:noProof/>
          <w:sz w:val="24"/>
          <w:szCs w:val="24"/>
        </w:rPr>
        <w:t>Journal of Financial and Quantitative Analysis</w:t>
      </w:r>
      <w:r w:rsidRPr="003E78D5">
        <w:rPr>
          <w:rFonts w:ascii="Times New Roman" w:hAnsi="Times New Roman" w:cs="Times New Roman"/>
          <w:noProof/>
          <w:sz w:val="24"/>
          <w:szCs w:val="24"/>
        </w:rPr>
        <w:t xml:space="preserve"> 47, 511–535.</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Elton, Edwin J., Martin J. Gruber, Deepak Agrawal, and Christopher Mann, 2001, Explaining the rate spread on corporate bonds, </w:t>
      </w:r>
      <w:r w:rsidRPr="003E78D5">
        <w:rPr>
          <w:rFonts w:ascii="Times New Roman" w:hAnsi="Times New Roman" w:cs="Times New Roman"/>
          <w:i/>
          <w:iCs/>
          <w:noProof/>
          <w:sz w:val="24"/>
          <w:szCs w:val="24"/>
        </w:rPr>
        <w:t>Journal of Finance</w:t>
      </w:r>
      <w:r w:rsidRPr="003E78D5">
        <w:rPr>
          <w:rFonts w:ascii="Times New Roman" w:hAnsi="Times New Roman" w:cs="Times New Roman"/>
          <w:noProof/>
          <w:sz w:val="24"/>
          <w:szCs w:val="24"/>
        </w:rPr>
        <w:t xml:space="preserve"> 56, 247–278.</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Ewens, Michael, Charles M. Jones, and Matthew Rhodes-Kropf, 2013, The price of diversifiable risk in venture capital and private equity, </w:t>
      </w:r>
      <w:r w:rsidRPr="003E78D5">
        <w:rPr>
          <w:rFonts w:ascii="Times New Roman" w:hAnsi="Times New Roman" w:cs="Times New Roman"/>
          <w:i/>
          <w:iCs/>
          <w:noProof/>
          <w:sz w:val="24"/>
          <w:szCs w:val="24"/>
        </w:rPr>
        <w:t>Review of Financial Studies</w:t>
      </w:r>
      <w:r w:rsidRPr="003E78D5">
        <w:rPr>
          <w:rFonts w:ascii="Times New Roman" w:hAnsi="Times New Roman" w:cs="Times New Roman"/>
          <w:noProof/>
          <w:sz w:val="24"/>
          <w:szCs w:val="24"/>
        </w:rPr>
        <w:t xml:space="preserve"> 26, 1854–1889.</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Franzoni, Francesco, Eric Nowak, and Ludovic Phalippou, 2012, Private equity performance and liquidity risk, </w:t>
      </w:r>
      <w:r w:rsidRPr="003E78D5">
        <w:rPr>
          <w:rFonts w:ascii="Times New Roman" w:hAnsi="Times New Roman" w:cs="Times New Roman"/>
          <w:i/>
          <w:iCs/>
          <w:noProof/>
          <w:sz w:val="24"/>
          <w:szCs w:val="24"/>
        </w:rPr>
        <w:t>Journal of Finance</w:t>
      </w:r>
      <w:r w:rsidRPr="003E78D5">
        <w:rPr>
          <w:rFonts w:ascii="Times New Roman" w:hAnsi="Times New Roman" w:cs="Times New Roman"/>
          <w:noProof/>
          <w:sz w:val="24"/>
          <w:szCs w:val="24"/>
        </w:rPr>
        <w:t xml:space="preserve"> 67, 2341–2373.</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Geweke, John, 1992, Evaluating the accuracy of sampling based approaches to calculating posterior moments, </w:t>
      </w:r>
      <w:r w:rsidRPr="003E78D5">
        <w:rPr>
          <w:rFonts w:ascii="Times New Roman" w:hAnsi="Times New Roman" w:cs="Times New Roman"/>
          <w:i/>
          <w:iCs/>
          <w:noProof/>
          <w:sz w:val="24"/>
          <w:szCs w:val="24"/>
        </w:rPr>
        <w:t>Bayesian Statistics</w:t>
      </w:r>
      <w:r w:rsidRPr="003E78D5">
        <w:rPr>
          <w:rFonts w:ascii="Times New Roman" w:hAnsi="Times New Roman" w:cs="Times New Roman"/>
          <w:noProof/>
          <w:sz w:val="24"/>
          <w:szCs w:val="24"/>
        </w:rPr>
        <w:t xml:space="preserve"> (Oxford University Press, Oxford).</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Jacquier, Eric, Nicholas G. Polson, and Peter E. Rossi, 1994, Bayesian analysis of stochastic volatility models, </w:t>
      </w:r>
      <w:r w:rsidRPr="003E78D5">
        <w:rPr>
          <w:rFonts w:ascii="Times New Roman" w:hAnsi="Times New Roman" w:cs="Times New Roman"/>
          <w:i/>
          <w:iCs/>
          <w:noProof/>
          <w:sz w:val="24"/>
          <w:szCs w:val="24"/>
        </w:rPr>
        <w:t>Journal of Business &amp; Economic Statistics</w:t>
      </w:r>
      <w:r w:rsidRPr="003E78D5">
        <w:rPr>
          <w:rFonts w:ascii="Times New Roman" w:hAnsi="Times New Roman" w:cs="Times New Roman"/>
          <w:noProof/>
          <w:sz w:val="24"/>
          <w:szCs w:val="24"/>
        </w:rPr>
        <w:t xml:space="preserve"> 12, 371–389.</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Jacquier, Eric, Nicholas G. Polson, and Peter E. Rossi, 2004, Bayesian analysis of stochastic volatility models with fat tails and correlated errors, </w:t>
      </w:r>
      <w:r w:rsidRPr="003E78D5">
        <w:rPr>
          <w:rFonts w:ascii="Times New Roman" w:hAnsi="Times New Roman" w:cs="Times New Roman"/>
          <w:i/>
          <w:iCs/>
          <w:noProof/>
          <w:sz w:val="24"/>
          <w:szCs w:val="24"/>
        </w:rPr>
        <w:t>Journal of Econometrics</w:t>
      </w:r>
      <w:r w:rsidRPr="003E78D5">
        <w:rPr>
          <w:rFonts w:ascii="Times New Roman" w:hAnsi="Times New Roman" w:cs="Times New Roman"/>
          <w:noProof/>
          <w:sz w:val="24"/>
          <w:szCs w:val="24"/>
        </w:rPr>
        <w:t xml:space="preserve"> 122, 185–212.</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Jegadeesh, Narasimhan, Roman Kräussl, and Joshua M. Pollet, 2015, Risk and expected returns of private equity investments: Evidence based on market prices, </w:t>
      </w:r>
      <w:r w:rsidRPr="003E78D5">
        <w:rPr>
          <w:rFonts w:ascii="Times New Roman" w:hAnsi="Times New Roman" w:cs="Times New Roman"/>
          <w:i/>
          <w:iCs/>
          <w:noProof/>
          <w:sz w:val="24"/>
          <w:szCs w:val="24"/>
        </w:rPr>
        <w:t>Review of Financial Studies</w:t>
      </w:r>
      <w:r w:rsidRPr="003E78D5">
        <w:rPr>
          <w:rFonts w:ascii="Times New Roman" w:hAnsi="Times New Roman" w:cs="Times New Roman"/>
          <w:noProof/>
          <w:sz w:val="24"/>
          <w:szCs w:val="24"/>
        </w:rPr>
        <w:t xml:space="preserve"> 28, 3269–3302.</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Korteweg, Arthur, and Morten Sorensen, 2010, Risk and return characteristics of venture capital-backed entrepreneurial companies, </w:t>
      </w:r>
      <w:r w:rsidRPr="003E78D5">
        <w:rPr>
          <w:rFonts w:ascii="Times New Roman" w:hAnsi="Times New Roman" w:cs="Times New Roman"/>
          <w:i/>
          <w:iCs/>
          <w:noProof/>
          <w:sz w:val="24"/>
          <w:szCs w:val="24"/>
        </w:rPr>
        <w:t>Review of Financial Studies</w:t>
      </w:r>
      <w:r w:rsidRPr="003E78D5">
        <w:rPr>
          <w:rFonts w:ascii="Times New Roman" w:hAnsi="Times New Roman" w:cs="Times New Roman"/>
          <w:noProof/>
          <w:sz w:val="24"/>
          <w:szCs w:val="24"/>
        </w:rPr>
        <w:t xml:space="preserve"> 23, 3738–3772.</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Lin, Crystal Y., and Kenneth Yung, 2004, Real estate mutual funds: Performance and persistence, </w:t>
      </w:r>
      <w:r w:rsidRPr="003E78D5">
        <w:rPr>
          <w:rFonts w:ascii="Times New Roman" w:hAnsi="Times New Roman" w:cs="Times New Roman"/>
          <w:i/>
          <w:iCs/>
          <w:noProof/>
          <w:sz w:val="24"/>
          <w:szCs w:val="24"/>
        </w:rPr>
        <w:t>Journal of Real Estate Research</w:t>
      </w:r>
      <w:r w:rsidRPr="003E78D5">
        <w:rPr>
          <w:rFonts w:ascii="Times New Roman" w:hAnsi="Times New Roman" w:cs="Times New Roman"/>
          <w:noProof/>
          <w:sz w:val="24"/>
          <w:szCs w:val="24"/>
        </w:rPr>
        <w:t xml:space="preserve"> 26, 69–93.</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lastRenderedPageBreak/>
        <w:t xml:space="preserve">Lopez-de-Silanes, Florencio, Ludovic Phalippou, and Oliver Gottschalg, 2015, Giants at the gate: On the cross section of private equity investment returns, </w:t>
      </w:r>
      <w:r w:rsidRPr="003E78D5">
        <w:rPr>
          <w:rFonts w:ascii="Times New Roman" w:hAnsi="Times New Roman" w:cs="Times New Roman"/>
          <w:i/>
          <w:iCs/>
          <w:noProof/>
          <w:sz w:val="24"/>
          <w:szCs w:val="24"/>
        </w:rPr>
        <w:t>Journal of Financial &amp; Quantitative Analysis</w:t>
      </w:r>
      <w:r w:rsidRPr="003E78D5">
        <w:rPr>
          <w:rFonts w:ascii="Times New Roman" w:hAnsi="Times New Roman" w:cs="Times New Roman"/>
          <w:noProof/>
          <w:sz w:val="24"/>
          <w:szCs w:val="24"/>
        </w:rPr>
        <w:t xml:space="preserve"> 50, 377–411.</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Metrick, Andrew, and Ayako Yasuda, 2010, The economics of private equity funds, </w:t>
      </w:r>
      <w:r w:rsidRPr="003E78D5">
        <w:rPr>
          <w:rFonts w:ascii="Times New Roman" w:hAnsi="Times New Roman" w:cs="Times New Roman"/>
          <w:i/>
          <w:iCs/>
          <w:noProof/>
          <w:sz w:val="24"/>
          <w:szCs w:val="24"/>
        </w:rPr>
        <w:t>Review of Financial Studies</w:t>
      </w:r>
      <w:r w:rsidRPr="003E78D5">
        <w:rPr>
          <w:rFonts w:ascii="Times New Roman" w:hAnsi="Times New Roman" w:cs="Times New Roman"/>
          <w:noProof/>
          <w:sz w:val="24"/>
          <w:szCs w:val="24"/>
        </w:rPr>
        <w:t xml:space="preserve"> 23, 2303–2341.</w:t>
      </w:r>
    </w:p>
    <w:p w:rsidR="007C0DDB" w:rsidRPr="003E78D5" w:rsidRDefault="007C0DDB" w:rsidP="00CD359D">
      <w:pPr>
        <w:widowControl w:val="0"/>
        <w:autoSpaceDE w:val="0"/>
        <w:autoSpaceDN w:val="0"/>
        <w:adjustRightInd w:val="0"/>
        <w:spacing w:after="0" w:line="360" w:lineRule="auto"/>
        <w:ind w:left="709" w:hanging="709"/>
        <w:jc w:val="both"/>
        <w:rPr>
          <w:rFonts w:ascii="Times New Roman" w:hAnsi="Times New Roman" w:cs="Times New Roman"/>
          <w:noProof/>
          <w:sz w:val="24"/>
          <w:szCs w:val="24"/>
        </w:rPr>
      </w:pPr>
      <w:r w:rsidRPr="003E78D5">
        <w:rPr>
          <w:rFonts w:ascii="Times New Roman" w:hAnsi="Times New Roman" w:cs="Times New Roman"/>
          <w:noProof/>
          <w:sz w:val="24"/>
          <w:szCs w:val="24"/>
        </w:rPr>
        <w:t xml:space="preserve">Robert, Christian P, and George Casella, 1999, </w:t>
      </w:r>
      <w:r w:rsidRPr="003E78D5">
        <w:rPr>
          <w:rFonts w:ascii="Times New Roman" w:hAnsi="Times New Roman" w:cs="Times New Roman"/>
          <w:i/>
          <w:iCs/>
          <w:noProof/>
          <w:sz w:val="24"/>
          <w:szCs w:val="24"/>
        </w:rPr>
        <w:t>Monte Carlo Statistical Methods</w:t>
      </w:r>
      <w:r w:rsidRPr="003E78D5">
        <w:rPr>
          <w:rFonts w:ascii="Times New Roman" w:hAnsi="Times New Roman" w:cs="Times New Roman"/>
          <w:noProof/>
          <w:sz w:val="24"/>
          <w:szCs w:val="24"/>
        </w:rPr>
        <w:t xml:space="preserve"> (Springer, New York).</w:t>
      </w:r>
    </w:p>
    <w:p w:rsidR="000F3066" w:rsidRPr="003E78D5" w:rsidRDefault="000F3066" w:rsidP="00CD359D">
      <w:pPr>
        <w:widowControl w:val="0"/>
        <w:autoSpaceDE w:val="0"/>
        <w:autoSpaceDN w:val="0"/>
        <w:adjustRightInd w:val="0"/>
        <w:spacing w:after="0" w:line="360" w:lineRule="auto"/>
        <w:ind w:left="709" w:hanging="709"/>
        <w:jc w:val="both"/>
        <w:rPr>
          <w:rFonts w:ascii="Times New Roman" w:eastAsia="Verdana" w:hAnsi="Times New Roman" w:cs="Times New Roman"/>
          <w:color w:val="000000"/>
          <w:spacing w:val="-11"/>
          <w:sz w:val="24"/>
          <w:szCs w:val="24"/>
          <w:lang w:val="en-US"/>
        </w:rPr>
      </w:pPr>
      <w:r w:rsidRPr="003E78D5">
        <w:rPr>
          <w:rFonts w:ascii="Times New Roman" w:eastAsia="Verdana" w:hAnsi="Times New Roman" w:cs="Times New Roman"/>
          <w:color w:val="000000"/>
          <w:spacing w:val="-11"/>
          <w:sz w:val="24"/>
          <w:szCs w:val="24"/>
          <w:lang w:val="en-US"/>
        </w:rPr>
        <w:fldChar w:fldCharType="end"/>
      </w:r>
    </w:p>
    <w:sectPr w:rsidR="000F3066" w:rsidRPr="003E78D5" w:rsidSect="00CD359D">
      <w:footerReference w:type="default" r:id="rId99"/>
      <w:pgSz w:w="11906" w:h="16838"/>
      <w:pgMar w:top="1361" w:right="1134" w:bottom="1134" w:left="1134" w:header="709" w:footer="5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2C7" w:rsidRDefault="00EF62C7" w:rsidP="006C4BD5">
      <w:pPr>
        <w:spacing w:after="0" w:line="240" w:lineRule="auto"/>
      </w:pPr>
      <w:r>
        <w:separator/>
      </w:r>
    </w:p>
  </w:endnote>
  <w:endnote w:type="continuationSeparator" w:id="0">
    <w:p w:rsidR="00EF62C7" w:rsidRDefault="00EF62C7" w:rsidP="006C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076929"/>
      <w:docPartObj>
        <w:docPartGallery w:val="Page Numbers (Bottom of Page)"/>
        <w:docPartUnique/>
      </w:docPartObj>
    </w:sdtPr>
    <w:sdtEndPr>
      <w:rPr>
        <w:noProof/>
      </w:rPr>
    </w:sdtEndPr>
    <w:sdtContent>
      <w:p w:rsidR="00CA2AC9" w:rsidRDefault="00CA2AC9">
        <w:pPr>
          <w:pStyle w:val="Footer"/>
          <w:jc w:val="right"/>
        </w:pPr>
        <w:r>
          <w:fldChar w:fldCharType="begin"/>
        </w:r>
        <w:r>
          <w:instrText xml:space="preserve"> PAGE   \* MERGEFORMAT </w:instrText>
        </w:r>
        <w:r>
          <w:fldChar w:fldCharType="separate"/>
        </w:r>
        <w:r w:rsidR="00B84F04">
          <w:rPr>
            <w:noProof/>
          </w:rPr>
          <w:t>2</w:t>
        </w:r>
        <w:r>
          <w:rPr>
            <w:noProof/>
          </w:rPr>
          <w:fldChar w:fldCharType="end"/>
        </w:r>
      </w:p>
    </w:sdtContent>
  </w:sdt>
  <w:p w:rsidR="00CA2AC9" w:rsidRDefault="00CA2A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2C7" w:rsidRDefault="00EF62C7" w:rsidP="006C4BD5">
      <w:pPr>
        <w:spacing w:after="0" w:line="240" w:lineRule="auto"/>
      </w:pPr>
      <w:r>
        <w:separator/>
      </w:r>
    </w:p>
  </w:footnote>
  <w:footnote w:type="continuationSeparator" w:id="0">
    <w:p w:rsidR="00EF62C7" w:rsidRDefault="00EF62C7" w:rsidP="006C4BD5">
      <w:pPr>
        <w:spacing w:after="0" w:line="240" w:lineRule="auto"/>
      </w:pPr>
      <w:r>
        <w:continuationSeparator/>
      </w:r>
    </w:p>
  </w:footnote>
  <w:footnote w:id="1">
    <w:p w:rsidR="00C128EE" w:rsidRPr="00C128EE" w:rsidRDefault="00C128EE" w:rsidP="00C128EE">
      <w:pPr>
        <w:pStyle w:val="FootnoteText"/>
        <w:spacing w:line="360" w:lineRule="auto"/>
        <w:jc w:val="both"/>
        <w:rPr>
          <w:rFonts w:ascii="Times New Roman" w:hAnsi="Times New Roman" w:cs="Times New Roman"/>
          <w:sz w:val="18"/>
          <w:szCs w:val="18"/>
        </w:rPr>
      </w:pPr>
      <w:r w:rsidRPr="00C128EE">
        <w:rPr>
          <w:rStyle w:val="FootnoteReference"/>
          <w:rFonts w:ascii="Times New Roman" w:hAnsi="Times New Roman" w:cs="Times New Roman"/>
          <w:sz w:val="18"/>
          <w:szCs w:val="18"/>
        </w:rPr>
        <w:footnoteRef/>
      </w:r>
      <w:r w:rsidRPr="00C128EE">
        <w:rPr>
          <w:rFonts w:ascii="Times New Roman" w:hAnsi="Times New Roman" w:cs="Times New Roman"/>
          <w:sz w:val="18"/>
          <w:szCs w:val="18"/>
        </w:rPr>
        <w:t xml:space="preserve"> </w:t>
      </w:r>
      <w:r w:rsidRPr="00C128EE">
        <w:rPr>
          <w:rFonts w:ascii="Times New Roman" w:hAnsi="Times New Roman" w:cs="Times New Roman"/>
          <w:sz w:val="18"/>
          <w:szCs w:val="18"/>
        </w:rPr>
        <w:t>Citation format: Ang, Andrew, Bingxu Chen, Will Goetzmann, and Ludovic Phalippou, Internet Appendix to “Estimating Private Equity Returns from Limited Partner Cash Flows,” Journal of Finance [DOI STRING]. Please note: Wiley-Blackwell is not responsible for the content or functionality of any supporting information supplied by the authors. Any queries (other than missing material) should be directed to the authors of the article.</w:t>
      </w:r>
    </w:p>
  </w:footnote>
  <w:footnote w:id="2">
    <w:p w:rsidR="00CA2AC9" w:rsidRPr="00C128EE" w:rsidRDefault="00CA2AC9" w:rsidP="00C128EE">
      <w:pPr>
        <w:pStyle w:val="FootnoteText"/>
        <w:spacing w:line="360" w:lineRule="auto"/>
        <w:jc w:val="both"/>
        <w:rPr>
          <w:rFonts w:ascii="Times New Roman" w:hAnsi="Times New Roman" w:cs="Times New Roman"/>
          <w:sz w:val="18"/>
          <w:szCs w:val="18"/>
        </w:rPr>
      </w:pPr>
      <w:r w:rsidRPr="00C128EE">
        <w:rPr>
          <w:rStyle w:val="FootnoteReference"/>
          <w:rFonts w:ascii="Times New Roman" w:hAnsi="Times New Roman" w:cs="Times New Roman"/>
          <w:sz w:val="18"/>
          <w:szCs w:val="18"/>
        </w:rPr>
        <w:footnoteRef/>
      </w:r>
      <w:r w:rsidRPr="00C128EE">
        <w:rPr>
          <w:rFonts w:ascii="Times New Roman" w:hAnsi="Times New Roman" w:cs="Times New Roman"/>
          <w:sz w:val="18"/>
          <w:szCs w:val="18"/>
          <w:lang w:val="en-GB"/>
        </w:rPr>
        <w:t xml:space="preserve"> Note that </w:t>
      </w:r>
      <w:r w:rsidRPr="00C128EE">
        <w:rPr>
          <w:rFonts w:ascii="Times New Roman" w:hAnsi="Times New Roman" w:cs="Times New Roman"/>
          <w:sz w:val="18"/>
          <w:szCs w:val="18"/>
          <w:lang w:val="en-GB"/>
        </w:rPr>
        <w:fldChar w:fldCharType="begin" w:fldLock="1"/>
      </w:r>
      <w:r w:rsidRPr="00C128EE">
        <w:rPr>
          <w:rFonts w:ascii="Times New Roman" w:hAnsi="Times New Roman" w:cs="Times New Roman"/>
          <w:sz w:val="18"/>
          <w:szCs w:val="18"/>
          <w:lang w:val="en-GB"/>
        </w:rPr>
        <w:instrText>ADDIN CSL_CITATION { "citationItems" : [ { "id" : "ITEM-1", "itemData" : { "author" : [ { "dropping-particle" : "", "family" : "Jegadeesh", "given" : "Narasimhan", "non-dropping-particle" : "", "parse-names" : false, "suffix" : "" }, { "dropping-particle" : "", "family" : "Kr\u00e4ussl", "given" : "Roman", "non-dropping-particle" : "", "parse-names" : false, "suffix" : "" }, { "dropping-particle" : "", "family" : "Pollet", "given" : "Joshua M.", "non-dropping-particle" : "", "parse-names" : false, "suffix" : "" } ], "container-title" : "Review of Financial Studies", "id" : "ITEM-1", "issued" : { "date-parts" : [ [ "2015" ] ] }, "page" : "3269-3302", "title" : "Risk and expected returns of private equity investments: Evidence based on market prices", "type" : "article-journal", "volume" : "28" }, "uris" : [ "http://www.mendeley.com/documents/?uuid=f6efdad5-14f2-40a1-a99f-d0cd95dc8b0f", "http://www.mendeley.com/documents/?uuid=2557625c-2785-4b0d-be5c-35fa64b252dd" ] } ], "mendeley" : { "formattedCitation" : "Jegadeesh, Kr\u00e4ussl, and Pollet (2015)", "plainTextFormattedCitation" : "Jegadeesh, Kr\u00e4ussl, and Pollet (2015)", "previouslyFormattedCitation" : "Jegadeesh, Kr\u00e4ussl, and Pollet (2015)" }, "properties" : {  }, "schema" : "https://github.com/citation-style-language/schema/raw/master/csl-citation.json" }</w:instrText>
      </w:r>
      <w:r w:rsidRPr="00C128EE">
        <w:rPr>
          <w:rFonts w:ascii="Times New Roman" w:hAnsi="Times New Roman" w:cs="Times New Roman"/>
          <w:sz w:val="18"/>
          <w:szCs w:val="18"/>
          <w:lang w:val="en-GB"/>
        </w:rPr>
        <w:fldChar w:fldCharType="separate"/>
      </w:r>
      <w:r w:rsidRPr="00C128EE">
        <w:rPr>
          <w:rFonts w:ascii="Times New Roman" w:hAnsi="Times New Roman" w:cs="Times New Roman"/>
          <w:noProof/>
          <w:sz w:val="18"/>
          <w:szCs w:val="18"/>
          <w:lang w:val="en-GB"/>
        </w:rPr>
        <w:t>Jegadeesh, Kräussl, and Pollet (2015)</w:t>
      </w:r>
      <w:r w:rsidRPr="00C128EE">
        <w:rPr>
          <w:rFonts w:ascii="Times New Roman" w:hAnsi="Times New Roman" w:cs="Times New Roman"/>
          <w:sz w:val="18"/>
          <w:szCs w:val="18"/>
          <w:lang w:val="en-GB"/>
        </w:rPr>
        <w:fldChar w:fldCharType="end"/>
      </w:r>
      <w:r w:rsidRPr="00C128EE">
        <w:rPr>
          <w:rFonts w:ascii="Times New Roman" w:hAnsi="Times New Roman" w:cs="Times New Roman"/>
          <w:sz w:val="18"/>
          <w:szCs w:val="18"/>
          <w:lang w:val="en-GB"/>
        </w:rPr>
        <w:t xml:space="preserve"> </w:t>
      </w:r>
      <w:r w:rsidRPr="00C128EE">
        <w:rPr>
          <w:rFonts w:ascii="Times New Roman" w:hAnsi="Times New Roman" w:cs="Times New Roman"/>
          <w:sz w:val="18"/>
          <w:szCs w:val="18"/>
        </w:rPr>
        <w:t>use a data</w:t>
      </w:r>
      <w:r w:rsidR="001E5463" w:rsidRPr="00C128EE">
        <w:rPr>
          <w:rFonts w:ascii="Times New Roman" w:hAnsi="Times New Roman" w:cs="Times New Roman"/>
          <w:sz w:val="18"/>
          <w:szCs w:val="18"/>
        </w:rPr>
        <w:t xml:space="preserve"> </w:t>
      </w:r>
      <w:r w:rsidRPr="00C128EE">
        <w:rPr>
          <w:rFonts w:ascii="Times New Roman" w:hAnsi="Times New Roman" w:cs="Times New Roman"/>
          <w:sz w:val="18"/>
          <w:szCs w:val="18"/>
        </w:rPr>
        <w:t>set that contains predominantly but not exclusively buyout</w:t>
      </w:r>
      <w:r w:rsidR="001E5463" w:rsidRPr="00C128EE">
        <w:rPr>
          <w:rFonts w:ascii="Times New Roman" w:hAnsi="Times New Roman" w:cs="Times New Roman"/>
          <w:sz w:val="18"/>
          <w:szCs w:val="18"/>
        </w:rPr>
        <w:t>-</w:t>
      </w:r>
      <w:r w:rsidRPr="00C128EE">
        <w:rPr>
          <w:rFonts w:ascii="Times New Roman" w:hAnsi="Times New Roman" w:cs="Times New Roman"/>
          <w:sz w:val="18"/>
          <w:szCs w:val="18"/>
        </w:rPr>
        <w:t xml:space="preserve">related vehicles (the rest of their sample is </w:t>
      </w:r>
      <w:r w:rsidR="003D2A0C" w:rsidRPr="00C128EE">
        <w:rPr>
          <w:rFonts w:ascii="Times New Roman" w:hAnsi="Times New Roman" w:cs="Times New Roman"/>
          <w:sz w:val="18"/>
          <w:szCs w:val="18"/>
        </w:rPr>
        <w:t>made up of</w:t>
      </w:r>
      <w:r w:rsidR="001E5463" w:rsidRPr="00C128EE">
        <w:rPr>
          <w:rFonts w:ascii="Times New Roman" w:hAnsi="Times New Roman" w:cs="Times New Roman"/>
          <w:sz w:val="18"/>
          <w:szCs w:val="18"/>
        </w:rPr>
        <w:t xml:space="preserve"> </w:t>
      </w:r>
      <w:r w:rsidRPr="00C128EE">
        <w:rPr>
          <w:rFonts w:ascii="Times New Roman" w:hAnsi="Times New Roman" w:cs="Times New Roman"/>
          <w:sz w:val="18"/>
          <w:szCs w:val="18"/>
        </w:rPr>
        <w:t>venture capital</w:t>
      </w:r>
      <w:r w:rsidR="003D2A0C" w:rsidRPr="00C128EE">
        <w:rPr>
          <w:rFonts w:ascii="Times New Roman" w:hAnsi="Times New Roman" w:cs="Times New Roman"/>
          <w:sz w:val="18"/>
          <w:szCs w:val="18"/>
        </w:rPr>
        <w:t xml:space="preserve"> funds</w:t>
      </w:r>
      <w:r w:rsidRPr="00C128EE">
        <w:rPr>
          <w:rFonts w:ascii="Times New Roman" w:hAnsi="Times New Roman" w:cs="Times New Roman"/>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4875"/>
    <w:multiLevelType w:val="hybridMultilevel"/>
    <w:tmpl w:val="E0F81712"/>
    <w:lvl w:ilvl="0" w:tplc="39B67BC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4A3B9C"/>
    <w:multiLevelType w:val="hybridMultilevel"/>
    <w:tmpl w:val="FC502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D5"/>
    <w:rsid w:val="00062C1A"/>
    <w:rsid w:val="00095521"/>
    <w:rsid w:val="000F3066"/>
    <w:rsid w:val="001D3B5A"/>
    <w:rsid w:val="001E5463"/>
    <w:rsid w:val="00211DBD"/>
    <w:rsid w:val="002B6C06"/>
    <w:rsid w:val="002F4402"/>
    <w:rsid w:val="003233D3"/>
    <w:rsid w:val="0034468A"/>
    <w:rsid w:val="00364F1B"/>
    <w:rsid w:val="003D2A0C"/>
    <w:rsid w:val="003E78D5"/>
    <w:rsid w:val="003F28AC"/>
    <w:rsid w:val="00407671"/>
    <w:rsid w:val="004A6FA4"/>
    <w:rsid w:val="006C4BD5"/>
    <w:rsid w:val="00775A57"/>
    <w:rsid w:val="007C0DDB"/>
    <w:rsid w:val="007C0F5F"/>
    <w:rsid w:val="007E0A51"/>
    <w:rsid w:val="008751E1"/>
    <w:rsid w:val="009248A6"/>
    <w:rsid w:val="00961048"/>
    <w:rsid w:val="00AA560B"/>
    <w:rsid w:val="00B357A8"/>
    <w:rsid w:val="00B84F04"/>
    <w:rsid w:val="00C128EE"/>
    <w:rsid w:val="00CA2AC9"/>
    <w:rsid w:val="00CD359D"/>
    <w:rsid w:val="00CF01D8"/>
    <w:rsid w:val="00D46A86"/>
    <w:rsid w:val="00EC6328"/>
    <w:rsid w:val="00EE60A6"/>
    <w:rsid w:val="00EF6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6C4BD5"/>
    <w:rPr>
      <w:vertAlign w:val="superscript"/>
    </w:rPr>
  </w:style>
  <w:style w:type="paragraph" w:styleId="FootnoteText">
    <w:name w:val="footnote text"/>
    <w:basedOn w:val="Normal"/>
    <w:link w:val="FootnoteTextChar"/>
    <w:uiPriority w:val="99"/>
    <w:unhideWhenUsed/>
    <w:rsid w:val="006C4BD5"/>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6C4BD5"/>
    <w:rPr>
      <w:rFonts w:eastAsiaTheme="minorEastAsia"/>
      <w:sz w:val="20"/>
      <w:szCs w:val="20"/>
      <w:lang w:val="en-US"/>
    </w:rPr>
  </w:style>
  <w:style w:type="paragraph" w:styleId="ListParagraph">
    <w:name w:val="List Paragraph"/>
    <w:basedOn w:val="Normal"/>
    <w:uiPriority w:val="34"/>
    <w:qFormat/>
    <w:rsid w:val="006C4BD5"/>
    <w:pPr>
      <w:ind w:left="720"/>
      <w:contextualSpacing/>
    </w:pPr>
    <w:rPr>
      <w:rFonts w:eastAsiaTheme="minorEastAsia"/>
      <w:lang w:val="en-US"/>
    </w:rPr>
  </w:style>
  <w:style w:type="paragraph" w:customStyle="1" w:styleId="MTDisplayEquation">
    <w:name w:val="MTDisplayEquation"/>
    <w:basedOn w:val="Normal"/>
    <w:next w:val="Normal"/>
    <w:link w:val="MTDisplayEquationChar"/>
    <w:rsid w:val="006C4BD5"/>
    <w:pPr>
      <w:tabs>
        <w:tab w:val="center" w:pos="4320"/>
        <w:tab w:val="right" w:pos="8640"/>
      </w:tabs>
      <w:spacing w:after="0" w:line="240" w:lineRule="auto"/>
    </w:pPr>
    <w:rPr>
      <w:rFonts w:eastAsiaTheme="minorEastAsia"/>
      <w:sz w:val="24"/>
      <w:szCs w:val="24"/>
      <w:lang w:val="en-US"/>
    </w:rPr>
  </w:style>
  <w:style w:type="character" w:customStyle="1" w:styleId="MTDisplayEquationChar">
    <w:name w:val="MTDisplayEquation Char"/>
    <w:basedOn w:val="DefaultParagraphFont"/>
    <w:link w:val="MTDisplayEquation"/>
    <w:rsid w:val="006C4BD5"/>
    <w:rPr>
      <w:rFonts w:eastAsiaTheme="minorEastAsia"/>
      <w:sz w:val="24"/>
      <w:szCs w:val="24"/>
      <w:lang w:val="en-US"/>
    </w:rPr>
  </w:style>
  <w:style w:type="paragraph" w:styleId="BalloonText">
    <w:name w:val="Balloon Text"/>
    <w:basedOn w:val="Normal"/>
    <w:link w:val="BalloonTextChar"/>
    <w:uiPriority w:val="99"/>
    <w:semiHidden/>
    <w:unhideWhenUsed/>
    <w:rsid w:val="006C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BD5"/>
    <w:rPr>
      <w:rFonts w:ascii="Tahoma" w:hAnsi="Tahoma" w:cs="Tahoma"/>
      <w:sz w:val="16"/>
      <w:szCs w:val="16"/>
    </w:rPr>
  </w:style>
  <w:style w:type="paragraph" w:styleId="NoSpacing">
    <w:name w:val="No Spacing"/>
    <w:basedOn w:val="Normal"/>
    <w:uiPriority w:val="1"/>
    <w:qFormat/>
    <w:rsid w:val="006C4BD5"/>
    <w:pPr>
      <w:spacing w:after="0" w:line="240" w:lineRule="auto"/>
      <w:jc w:val="center"/>
    </w:pPr>
    <w:rPr>
      <w:rFonts w:asciiTheme="majorHAnsi" w:eastAsiaTheme="minorEastAsia" w:hAnsiTheme="majorHAnsi" w:cstheme="majorBidi"/>
    </w:rPr>
  </w:style>
  <w:style w:type="table" w:styleId="TableGrid">
    <w:name w:val="Table Grid"/>
    <w:basedOn w:val="TableNormal"/>
    <w:uiPriority w:val="59"/>
    <w:rsid w:val="006C4B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C4BD5"/>
  </w:style>
  <w:style w:type="paragraph" w:styleId="Header">
    <w:name w:val="header"/>
    <w:basedOn w:val="Normal"/>
    <w:link w:val="HeaderChar"/>
    <w:uiPriority w:val="99"/>
    <w:unhideWhenUsed/>
    <w:rsid w:val="006C4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BD5"/>
  </w:style>
  <w:style w:type="paragraph" w:styleId="Footer">
    <w:name w:val="footer"/>
    <w:basedOn w:val="Normal"/>
    <w:link w:val="FooterChar"/>
    <w:uiPriority w:val="99"/>
    <w:unhideWhenUsed/>
    <w:rsid w:val="006C4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B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6C4BD5"/>
    <w:rPr>
      <w:vertAlign w:val="superscript"/>
    </w:rPr>
  </w:style>
  <w:style w:type="paragraph" w:styleId="FootnoteText">
    <w:name w:val="footnote text"/>
    <w:basedOn w:val="Normal"/>
    <w:link w:val="FootnoteTextChar"/>
    <w:uiPriority w:val="99"/>
    <w:unhideWhenUsed/>
    <w:rsid w:val="006C4BD5"/>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6C4BD5"/>
    <w:rPr>
      <w:rFonts w:eastAsiaTheme="minorEastAsia"/>
      <w:sz w:val="20"/>
      <w:szCs w:val="20"/>
      <w:lang w:val="en-US"/>
    </w:rPr>
  </w:style>
  <w:style w:type="paragraph" w:styleId="ListParagraph">
    <w:name w:val="List Paragraph"/>
    <w:basedOn w:val="Normal"/>
    <w:uiPriority w:val="34"/>
    <w:qFormat/>
    <w:rsid w:val="006C4BD5"/>
    <w:pPr>
      <w:ind w:left="720"/>
      <w:contextualSpacing/>
    </w:pPr>
    <w:rPr>
      <w:rFonts w:eastAsiaTheme="minorEastAsia"/>
      <w:lang w:val="en-US"/>
    </w:rPr>
  </w:style>
  <w:style w:type="paragraph" w:customStyle="1" w:styleId="MTDisplayEquation">
    <w:name w:val="MTDisplayEquation"/>
    <w:basedOn w:val="Normal"/>
    <w:next w:val="Normal"/>
    <w:link w:val="MTDisplayEquationChar"/>
    <w:rsid w:val="006C4BD5"/>
    <w:pPr>
      <w:tabs>
        <w:tab w:val="center" w:pos="4320"/>
        <w:tab w:val="right" w:pos="8640"/>
      </w:tabs>
      <w:spacing w:after="0" w:line="240" w:lineRule="auto"/>
    </w:pPr>
    <w:rPr>
      <w:rFonts w:eastAsiaTheme="minorEastAsia"/>
      <w:sz w:val="24"/>
      <w:szCs w:val="24"/>
      <w:lang w:val="en-US"/>
    </w:rPr>
  </w:style>
  <w:style w:type="character" w:customStyle="1" w:styleId="MTDisplayEquationChar">
    <w:name w:val="MTDisplayEquation Char"/>
    <w:basedOn w:val="DefaultParagraphFont"/>
    <w:link w:val="MTDisplayEquation"/>
    <w:rsid w:val="006C4BD5"/>
    <w:rPr>
      <w:rFonts w:eastAsiaTheme="minorEastAsia"/>
      <w:sz w:val="24"/>
      <w:szCs w:val="24"/>
      <w:lang w:val="en-US"/>
    </w:rPr>
  </w:style>
  <w:style w:type="paragraph" w:styleId="BalloonText">
    <w:name w:val="Balloon Text"/>
    <w:basedOn w:val="Normal"/>
    <w:link w:val="BalloonTextChar"/>
    <w:uiPriority w:val="99"/>
    <w:semiHidden/>
    <w:unhideWhenUsed/>
    <w:rsid w:val="006C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BD5"/>
    <w:rPr>
      <w:rFonts w:ascii="Tahoma" w:hAnsi="Tahoma" w:cs="Tahoma"/>
      <w:sz w:val="16"/>
      <w:szCs w:val="16"/>
    </w:rPr>
  </w:style>
  <w:style w:type="paragraph" w:styleId="NoSpacing">
    <w:name w:val="No Spacing"/>
    <w:basedOn w:val="Normal"/>
    <w:uiPriority w:val="1"/>
    <w:qFormat/>
    <w:rsid w:val="006C4BD5"/>
    <w:pPr>
      <w:spacing w:after="0" w:line="240" w:lineRule="auto"/>
      <w:jc w:val="center"/>
    </w:pPr>
    <w:rPr>
      <w:rFonts w:asciiTheme="majorHAnsi" w:eastAsiaTheme="minorEastAsia" w:hAnsiTheme="majorHAnsi" w:cstheme="majorBidi"/>
    </w:rPr>
  </w:style>
  <w:style w:type="table" w:styleId="TableGrid">
    <w:name w:val="Table Grid"/>
    <w:basedOn w:val="TableNormal"/>
    <w:uiPriority w:val="59"/>
    <w:rsid w:val="006C4B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C4BD5"/>
  </w:style>
  <w:style w:type="paragraph" w:styleId="Header">
    <w:name w:val="header"/>
    <w:basedOn w:val="Normal"/>
    <w:link w:val="HeaderChar"/>
    <w:uiPriority w:val="99"/>
    <w:unhideWhenUsed/>
    <w:rsid w:val="006C4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BD5"/>
  </w:style>
  <w:style w:type="paragraph" w:styleId="Footer">
    <w:name w:val="footer"/>
    <w:basedOn w:val="Normal"/>
    <w:link w:val="FooterChar"/>
    <w:uiPriority w:val="99"/>
    <w:unhideWhenUsed/>
    <w:rsid w:val="006C4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image" Target="media/image32.wmf"/><Relationship Id="rId84" Type="http://schemas.openxmlformats.org/officeDocument/2006/relationships/oleObject" Target="embeddings/oleObject41.bin"/><Relationship Id="rId89" Type="http://schemas.openxmlformats.org/officeDocument/2006/relationships/oleObject" Target="embeddings/oleObject44.bin"/><Relationship Id="rId97" Type="http://schemas.openxmlformats.org/officeDocument/2006/relationships/image" Target="media/image42.jpeg"/><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image" Target="media/image28.wmf"/><Relationship Id="rId74" Type="http://schemas.openxmlformats.org/officeDocument/2006/relationships/image" Target="media/image31.wmf"/><Relationship Id="rId79" Type="http://schemas.openxmlformats.org/officeDocument/2006/relationships/image" Target="media/image33.wmf"/><Relationship Id="rId87" Type="http://schemas.openxmlformats.org/officeDocument/2006/relationships/oleObject" Target="embeddings/oleObject43.bin"/><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oleObject" Target="embeddings/oleObject40.bin"/><Relationship Id="rId90" Type="http://schemas.openxmlformats.org/officeDocument/2006/relationships/image" Target="media/image38.wmf"/><Relationship Id="rId95" Type="http://schemas.openxmlformats.org/officeDocument/2006/relationships/oleObject" Target="embeddings/oleObject47.bin"/><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oleObject" Target="embeddings/oleObject25.bin"/><Relationship Id="rId64" Type="http://schemas.openxmlformats.org/officeDocument/2006/relationships/image" Target="media/image27.wmf"/><Relationship Id="rId69" Type="http://schemas.openxmlformats.org/officeDocument/2006/relationships/image" Target="media/image29.wmf"/><Relationship Id="rId77" Type="http://schemas.openxmlformats.org/officeDocument/2006/relationships/oleObject" Target="embeddings/oleObject37.bin"/><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3.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1.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image" Target="media/image35.wmf"/><Relationship Id="rId88" Type="http://schemas.openxmlformats.org/officeDocument/2006/relationships/image" Target="media/image37.wmf"/><Relationship Id="rId91" Type="http://schemas.openxmlformats.org/officeDocument/2006/relationships/oleObject" Target="embeddings/oleObject45.bin"/><Relationship Id="rId96"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4.wmf"/><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footer" Target="footer1.xml"/><Relationship Id="rId10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5EFCC-A2FA-402D-8496-5F06B706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14</Pages>
  <Words>10095</Words>
  <Characters>57545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 Phalippou</dc:creator>
  <cp:lastModifiedBy>Ludovic Phalippou</cp:lastModifiedBy>
  <cp:revision>13</cp:revision>
  <dcterms:created xsi:type="dcterms:W3CDTF">2017-05-08T13:52:00Z</dcterms:created>
  <dcterms:modified xsi:type="dcterms:W3CDTF">2018-03-28T11:33:00Z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http://www.zotero.org/styles/journal-of-finance</vt:lpwstr>
  </property>
  <property fmtid="{D5CDD505-2E9C-101B-9397-08002B2CF9AE}" pid="15" name="Mendeley Recent Style Name 6_1">
    <vt:lpwstr>Journal of Finance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75bffdf7-b343-3ecc-acdf-214aee9460a8</vt:lpwstr>
  </property>
  <property fmtid="{D5CDD505-2E9C-101B-9397-08002B2CF9AE}" pid="24" name="Mendeley Citation Style_1">
    <vt:lpwstr>http://www.zotero.org/styles/journal-of-finance</vt:lpwstr>
  </property>
</Properties>
</file>