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Letter of Intent (non-binding)</w:t>
      </w:r>
    </w:p>
    <w:p>
      <w:r>
        <w:rPr>
          <w:b/>
        </w:rPr>
        <w:t>Between:</w:t>
      </w:r>
      <w:r>
        <w:t xml:space="preserve"> [Company name] ("Company")</w:t>
      </w:r>
    </w:p>
    <w:p>
      <w:r>
        <w:rPr>
          <w:b/>
        </w:rPr>
        <w:t>And:</w:t>
      </w:r>
      <w:r>
        <w:t xml:space="preserve"> Pantheon Solutions, represented by Arnav Thakur ("Pantheon")</w:t>
      </w:r>
    </w:p>
    <w:p>
      <w:r>
        <w:rPr>
          <w:b/>
        </w:rPr>
        <w:t>Date:</w:t>
      </w:r>
      <w:r>
        <w:t xml:space="preserve"> [date]</w:t>
      </w:r>
    </w:p>
    <w:p>
      <w:pPr>
        <w:pStyle w:val="Heading2"/>
      </w:pPr>
      <w:r>
        <w:t>1. Purpose</w:t>
      </w:r>
    </w:p>
    <w:p>
      <w:r>
        <w:t>Company is interested in piloting Pantheon's AI Cost Audit. The audit reviews Company's large-language-model API usage (OpenAI, Anthropic or similar) and recommends ways to lower that spend without hurting product quality.</w:t>
      </w:r>
    </w:p>
    <w:p>
      <w:pPr>
        <w:pStyle w:val="Heading2"/>
      </w:pPr>
      <w:r>
        <w:t>2. Pilot scope</w:t>
      </w:r>
    </w:p>
    <w:p>
      <w:pPr>
        <w:pStyle w:val="ListBullet"/>
      </w:pPr>
      <w:r>
        <w:t>Company shares a usage summary or a usage export from its provider dashboard, covering one recent month. Token counts and model names are enough.</w:t>
      </w:r>
    </w:p>
    <w:p>
      <w:pPr>
        <w:pStyle w:val="ListBullet"/>
      </w:pPr>
      <w:r>
        <w:t>Company may also share up to 200 sample prompts that it has chosen and scrubbed of personal data, for a side-by-side quality check.</w:t>
      </w:r>
    </w:p>
    <w:p>
      <w:pPr>
        <w:pStyle w:val="ListBullet"/>
      </w:pPr>
      <w:r>
        <w:t>Pantheon returns a written report within 5 business days of receiving the data. The report estimates monthly savings for each recommendation.</w:t>
      </w:r>
    </w:p>
    <w:p>
      <w:pPr>
        <w:pStyle w:val="ListBullet"/>
      </w:pPr>
      <w:r>
        <w:t>Company decides which recommendations, if any, to adopt. Pantheon makes no changes to Company's systems.</w:t>
      </w:r>
    </w:p>
    <w:p>
      <w:pPr>
        <w:pStyle w:val="Heading2"/>
      </w:pPr>
      <w:r>
        <w:t>3. Cost</w:t>
      </w:r>
    </w:p>
    <w:p>
      <w:r>
        <w:t>The pilot is free. If the pilot is useful, the parties may discuss a paid engagement later. Neither party is committed to one.</w:t>
      </w:r>
    </w:p>
    <w:p>
      <w:pPr>
        <w:pStyle w:val="Heading2"/>
      </w:pPr>
      <w:r>
        <w:t>4. Data and confidentiality</w:t>
      </w:r>
    </w:p>
    <w:p>
      <w:pPr>
        <w:pStyle w:val="ListBullet"/>
      </w:pPr>
      <w:r>
        <w:t>Pantheon will not ask for, and Company should not send, API keys, passwords, or end-customer personal data.</w:t>
      </w:r>
    </w:p>
    <w:p>
      <w:pPr>
        <w:pStyle w:val="ListBullet"/>
      </w:pPr>
      <w:r>
        <w:t>Pantheon will use Company's data only to prepare the report. It will delete the data within 30 days of delivering the report, or sooner if Company asks.</w:t>
      </w:r>
    </w:p>
    <w:p>
      <w:pPr>
        <w:pStyle w:val="ListBullet"/>
      </w:pPr>
      <w:r>
        <w:t>Pantheon will not name Company or share its figures publicly without Company's written permission.</w:t>
      </w:r>
    </w:p>
    <w:p>
      <w:pPr>
        <w:pStyle w:val="Heading2"/>
      </w:pPr>
      <w:r>
        <w:t>5. Feedback</w:t>
      </w:r>
    </w:p>
    <w:p>
      <w:r>
        <w:t>If the pilot goes ahead, Company agrees to give brief feedback on how useful the report was. A 15-minute call or a short written note is enough.</w:t>
      </w:r>
    </w:p>
    <w:p>
      <w:pPr>
        <w:pStyle w:val="Heading2"/>
      </w:pPr>
      <w:r>
        <w:t>6. Non-binding</w:t>
      </w:r>
    </w:p>
    <w:p>
      <w:r>
        <w:t>This letter records a shared intention only. It creates no legal obligation on either party, apart from the confidentiality commitments in section 4. Either party may end the pilot at any time.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Pantheon Solutions</w:t>
            </w:r>
          </w:p>
        </w:tc>
      </w:tr>
      <w:tr>
        <w:trPr>
          <w:trHeight w:val="520"/>
        </w:trP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Arnav Thakur</w:t>
            </w:r>
          </w:p>
        </w:tc>
      </w:tr>
      <w:tr>
        <w:trPr>
          <w:trHeight w:val="520"/>
        </w:trP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Founder</w:t>
            </w:r>
          </w:p>
        </w:tc>
      </w:tr>
      <w:tr>
        <w:trPr>
          <w:trHeight w:val="520"/>
        </w:trPr>
        <w:tc>
          <w:tcPr>
            <w:tcW w:type="dxa" w:w="2880"/>
          </w:tcPr>
          <w:p>
            <w:r>
              <w:t>Signature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rPr>
          <w:trHeight w:val="520"/>
        </w:trP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