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– UK Top 50 Market Analysis</w:t>
      </w:r>
    </w:p>
    <w:p>
      <w:r>
        <w:t>Prepared as a student analytics project</w:t>
      </w:r>
    </w:p>
    <w:p>
      <w:pPr>
        <w:pStyle w:val="Heading1"/>
      </w:pPr>
      <w:r>
        <w:t>Objective</w:t>
      </w:r>
    </w:p>
    <w:p>
      <w:r>
        <w:t>To understand the structure of the UK Top 50 playlist through artist diversity, concentration, collaborations, explicit content, release format and track duration.</w:t>
      </w:r>
    </w:p>
    <w:p>
      <w:pPr>
        <w:pStyle w:val="Heading1"/>
      </w:pPr>
      <w:r>
        <w:t>Headline Metrics</w:t>
      </w:r>
    </w:p>
    <w:p>
      <w:pPr>
        <w:pStyle w:val="ListBullet"/>
      </w:pPr>
      <w:r>
        <w:t>Clean entries: 27,750</w:t>
      </w:r>
    </w:p>
    <w:p>
      <w:pPr>
        <w:pStyle w:val="ListBullet"/>
      </w:pPr>
      <w:r>
        <w:t>Unique artist credits: 363</w:t>
      </w:r>
    </w:p>
    <w:p>
      <w:pPr>
        <w:pStyle w:val="ListBullet"/>
      </w:pPr>
      <w:r>
        <w:t>Avg. unique artists/day: 39.0</w:t>
      </w:r>
    </w:p>
    <w:p>
      <w:pPr>
        <w:pStyle w:val="ListBullet"/>
      </w:pPr>
      <w:r>
        <w:t>Collaboration ratio: 18.4%</w:t>
      </w:r>
    </w:p>
    <w:p>
      <w:pPr>
        <w:pStyle w:val="ListBullet"/>
      </w:pPr>
      <w:r>
        <w:t>Explicit share: 32.0%</w:t>
      </w:r>
    </w:p>
    <w:p>
      <w:pPr>
        <w:pStyle w:val="ListBullet"/>
      </w:pPr>
      <w:r>
        <w:t>Album share: 60.0%</w:t>
      </w:r>
    </w:p>
    <w:p>
      <w:pPr>
        <w:pStyle w:val="ListBullet"/>
      </w:pPr>
      <w:r>
        <w:t>Single share: 39.7%</w:t>
      </w:r>
    </w:p>
    <w:p>
      <w:pPr>
        <w:pStyle w:val="ListBullet"/>
      </w:pPr>
      <w:r>
        <w:t>Avg. track duration: 3.29 min</w:t>
      </w:r>
    </w:p>
    <w:p>
      <w:pPr>
        <w:pStyle w:val="Heading1"/>
      </w:pPr>
      <w:r>
        <w:t>Business Use</w:t>
      </w:r>
    </w:p>
    <w:p>
      <w:r>
        <w:t>The dashboard provides a practical way to compare artist concentration, collaboration patterns, content mix and release formats across dates. It can support UK-focused planning when combined with other commercial and audience data.</w:t>
      </w:r>
    </w:p>
    <w:p>
      <w:pPr>
        <w:pStyle w:val="Heading1"/>
      </w:pPr>
      <w:r>
        <w:t>Important limitation</w:t>
      </w:r>
    </w:p>
    <w:p>
      <w:r>
        <w:t>The provided dataset does not include artist nationality. Domestic versus international classification should therefore be added only from a separate verified artist-origin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