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Framework Agreement — Hardware Supply and Maintenance</w:t>
      </w:r>
    </w:p>
    <w:p>
      <w:pPr>
        <w:spacing w:after="320"/>
      </w:pPr>
      <w:r>
        <w:rPr>
          <w:i/>
          <w:iCs/>
          <w:color w:val="555555"/>
          <w:sz w:val="20"/>
          <w:szCs w:val="20"/>
        </w:rPr>
        <w:t xml:space="preserve">Reference EASI-FUJ-FWA-2026-001 — Between EASI Group and Fujitsu Belgium NV</w:t>
      </w:r>
    </w:p>
    <w:p>
      <w:pPr>
        <w:pStyle w:val="Heading1"/>
      </w:pPr>
      <w:r>
        <w:t xml:space="preserve">1. Parties</w:t>
      </w:r>
    </w:p>
    <w:p>
      <w:pPr>
        <w:spacing w:after="120" w:line="300"/>
      </w:pPr>
      <w:r>
        <w:t xml:space="preserve">This Framework Agreement is concluded between EASI Group, Avenue Louise 65, 1050 Brussels, and Fujitsu Belgium NV, with offices in Brussels. The agreement is identified by the reference EASI-FUJ-FWA-2026-001 and entered into force on 1 January 2026.</w:t>
      </w:r>
    </w:p>
    <w:p>
      <w:pPr>
        <w:pStyle w:val="Heading1"/>
      </w:pPr>
      <w:r>
        <w:t xml:space="preserve">2. Scope</w:t>
      </w:r>
    </w:p>
    <w:p>
      <w:pPr>
        <w:spacing w:after="120" w:line="300"/>
      </w:pPr>
      <w:r>
        <w:t xml:space="preserve">Fujitsu Belgium NV supplies IT hardware (servers, networking equipment, workstations, peripherals) and provides on-site hardware maintenance for two areas:</w:t>
      </w:r>
    </w:p>
    <w:p>
      <w:pPr>
        <w:pStyle w:val="ListParagraph"/>
        <w:numPr>
          <w:ilvl w:val="0"/>
          <w:numId w:val="2"/>
        </w:numPr>
        <w:spacing w:after="80" w:line="280"/>
      </w:pPr>
      <w:r>
        <w:t xml:space="preserve">EASI’s internal infrastructure at Avenue Louise 65, 1050 Brussels.</w:t>
      </w:r>
    </w:p>
    <w:p>
      <w:pPr>
        <w:pStyle w:val="ListParagraph"/>
        <w:numPr>
          <w:ilvl w:val="0"/>
          <w:numId w:val="2"/>
        </w:numPr>
        <w:spacing w:after="80" w:line="280"/>
      </w:pPr>
      <w:r>
        <w:t xml:space="preserve">Hardware deployed at EASI client locations where EASI is responsible for hardware under managed services agreements. This includes Colruyt Group locations (the head office in Halle and all 47 SmartSales-connected retail outlets), Carrefour Belgium SA (the Anderlecht hypermarket pilot covering 12 locations), and Delhaize Group (Forest franchise stores covered by the EDI Connector deployment).</w:t>
      </w:r>
    </w:p>
    <w:p>
      <w:pPr>
        <w:pStyle w:val="Heading1"/>
      </w:pPr>
      <w:r>
        <w:t xml:space="preserve">3. Pricing and discounts</w:t>
      </w:r>
    </w:p>
    <w:p>
      <w:pPr>
        <w:spacing w:after="120" w:line="300"/>
      </w:pPr>
      <w:r>
        <w:t xml:space="preserve">All deliveries are made at the prices listed in Fujitsu’s current price book, in force at the date of the relevant purchase order. Volume discounts are applied automatically:</w:t>
      </w:r>
    </w:p>
    <w:p>
      <w:pPr>
        <w:pStyle w:val="ListParagraph"/>
        <w:numPr>
          <w:ilvl w:val="0"/>
          <w:numId w:val="2"/>
        </w:numPr>
        <w:spacing w:after="80" w:line="280"/>
      </w:pPr>
      <w:r>
        <w:t xml:space="preserve">5 percent discount on orders totalling more than EUR 10,000 in a single purchase order.</w:t>
      </w:r>
    </w:p>
    <w:p>
      <w:pPr>
        <w:pStyle w:val="ListParagraph"/>
        <w:numPr>
          <w:ilvl w:val="0"/>
          <w:numId w:val="2"/>
        </w:numPr>
        <w:spacing w:after="80" w:line="280"/>
      </w:pPr>
      <w:r>
        <w:t xml:space="preserve">10 percent discount on orders totalling more than EUR 50,000 in a single purchase order.</w:t>
      </w:r>
    </w:p>
    <w:p>
      <w:pPr>
        <w:spacing w:after="120" w:line="300"/>
      </w:pPr>
      <w:r>
        <w:t xml:space="preserve">Discounts are shown on the invoice. The Fujitsu pricing contact is account.manager@fujitsu.be. Annual price reviews are conducted in November; the new price book applies from 1 January.</w:t>
      </w:r>
    </w:p>
    <w:p>
      <w:pPr>
        <w:pStyle w:val="Heading1"/>
      </w:pPr>
      <w:r>
        <w:t xml:space="preserve">4. Payment terms</w:t>
      </w:r>
    </w:p>
    <w:p>
      <w:pPr>
        <w:spacing w:after="120" w:line="300"/>
      </w:pPr>
      <w:r>
        <w:t xml:space="preserve">Invoices are sent to finance@easi.net. The payment term is 30 days net from the invoice date. EASI’s procurement contact is procurement@easi.net. Disputed invoices are handled in accordance with EASI’s Invoice Approval Procedure; a credit note is requested before any deduction is applied.</w:t>
      </w:r>
    </w:p>
    <w:p>
      <w:pPr>
        <w:pStyle w:val="Heading1"/>
      </w:pPr>
      <w:r>
        <w:t xml:space="preserve">5. Warranty</w:t>
      </w:r>
    </w:p>
    <w:p>
      <w:pPr>
        <w:spacing w:after="120" w:line="300"/>
      </w:pPr>
      <w:r>
        <w:t xml:space="preserve">All hardware supplied under this Framework Agreement carries a 3-year on-site next-business-day warranty. Spare parts availability is guaranteed for at least 5 years after the model’s end-of-sale date. Warranty covers manufacturing defects, premature wear of moving parts, and firmware faults; it does not cover damage caused by misuse, voltage events outside specification, or unauthorised modification.</w:t>
      </w:r>
    </w:p>
    <w:p>
      <w:pPr>
        <w:pStyle w:val="Heading1"/>
      </w:pPr>
      <w:r>
        <w:t xml:space="preserve">6. Maintenance SLA — hardware</w:t>
      </w:r>
    </w:p>
    <w:p>
      <w:pPr>
        <w:spacing w:after="120" w:line="300"/>
      </w:pPr>
      <w:r>
        <w:t xml:space="preserve">For critical hardware failures at client locations, Fujitsu commits to an on-site response within 4 business hours. EASI is responsible for ensuring access to client premises (such as Colruyt Halle, the Carrefour Anderlecht hypermarket, and Delhaize Forest stores) and for notifying the relevant client contact before scheduling on-site visits. EASI account managers serve as the local coordinator: Arne Albrecht for Colruyt Group, Dorian Feaux for Carrefour Belgium SA and Delhaize Group. Out-of-hours interventions may be requested at additional cost.</w:t>
      </w:r>
    </w:p>
    <w:p>
      <w:pPr>
        <w:pStyle w:val="Heading1"/>
      </w:pPr>
      <w:r>
        <w:t xml:space="preserve">7. New client deployments</w:t>
      </w:r>
    </w:p>
    <w:p>
      <w:pPr>
        <w:spacing w:after="120" w:line="300"/>
      </w:pPr>
      <w:r>
        <w:t xml:space="preserve">When EASI plans a new client deployment that requires hardware procurement, EASI notifies Fujitsu at least 6 weeks before the planned go-live date so that hardware can be sourced, configured, staged, and shipped on time. The current pipeline of new deployments includes:</w:t>
      </w:r>
    </w:p>
    <w:p>
      <w:pPr>
        <w:pStyle w:val="ListParagraph"/>
        <w:numPr>
          <w:ilvl w:val="0"/>
          <w:numId w:val="2"/>
        </w:numPr>
        <w:spacing w:after="80" w:line="280"/>
      </w:pPr>
      <w:r>
        <w:t xml:space="preserve">Anheuser-Busch InBev — Distribution Network Mapping project, deployed at Vaartstraat 94, 3000 Leuven.</w:t>
      </w:r>
    </w:p>
    <w:p>
      <w:pPr>
        <w:pStyle w:val="ListParagraph"/>
        <w:numPr>
          <w:ilvl w:val="0"/>
          <w:numId w:val="2"/>
        </w:numPr>
        <w:spacing w:after="80" w:line="280"/>
      </w:pPr>
      <w:r>
        <w:t xml:space="preserve">GreenTech Solutions — Sustainability Dashboard pilot, deployed at Technologiepark 122, 9052 Ghent.</w:t>
      </w:r>
    </w:p>
    <w:p>
      <w:pPr>
        <w:spacing w:after="120" w:line="300"/>
      </w:pPr>
      <w:r>
        <w:t xml:space="preserve">Project-specific bills of material are exchanged between procurement@easi.net and account.manager@fujitsu.be. A signed purchase order from EASI confirms the order; verbal confirmation is not sufficient to commit Fujitsu.</w:t>
      </w:r>
    </w:p>
    <w:p>
      <w:pPr>
        <w:pStyle w:val="Heading1"/>
      </w:pPr>
      <w:r>
        <w:t xml:space="preserve">8. Asset register and reporting</w:t>
      </w:r>
    </w:p>
    <w:p>
      <w:pPr>
        <w:spacing w:after="120" w:line="300"/>
      </w:pPr>
      <w:r>
        <w:t xml:space="preserve">Fujitsu maintains an electronic asset register of all serial numbers delivered to EASI under this agreement, including the location of installation. EASI receives a quarterly extract of the register by email to procurement@easi.net. Discrepancies are reconciled within 30 days. The asset register supports audits, warranty claims, and end-of-life replacement planning.</w:t>
      </w:r>
    </w:p>
    <w:p>
      <w:pPr>
        <w:pStyle w:val="Heading1"/>
      </w:pPr>
      <w:r>
        <w:t xml:space="preserve">9. Sustainability and end-of-life</w:t>
      </w:r>
    </w:p>
    <w:p>
      <w:pPr>
        <w:spacing w:after="120" w:line="300"/>
      </w:pPr>
      <w:r>
        <w:t xml:space="preserve">Fujitsu collects end-of-life equipment for recycling in line with the EU WEEE Directive. EASI may schedule pickups at any time through the Fujitsu sustainability portal. Certificates of destruction or refurbishment are provided per pickup. Hard drives containing client data are wiped to NIST SP 800-88 standards before recycling; secure destruction certificates are issued separately.</w:t>
      </w:r>
    </w:p>
    <w:p>
      <w:pPr>
        <w:pStyle w:val="Heading1"/>
      </w:pPr>
      <w:r>
        <w:t xml:space="preserve">10. Data and confidentiality</w:t>
      </w:r>
    </w:p>
    <w:p>
      <w:pPr>
        <w:spacing w:after="120" w:line="300"/>
      </w:pPr>
      <w:r>
        <w:t xml:space="preserve">Fujitsu personnel acting on EASI’s premises or on EASI client premises are bound by the EASI bilateral non-disclosure agreement (NDA template) signed at the start of the relationship. Fujitsu Belgium NV is also listed as an approved sub-processor under the Data Processing Agreement EASI-COL-DPA-2026-001 between EASI and Colruyt Group.</w:t>
      </w:r>
    </w:p>
    <w:p>
      <w:pPr>
        <w:pStyle w:val="Heading1"/>
      </w:pPr>
      <w:r>
        <w:t xml:space="preserve">11. Term and termination</w:t>
      </w:r>
    </w:p>
    <w:p>
      <w:pPr>
        <w:spacing w:after="120" w:line="300"/>
      </w:pPr>
      <w:r>
        <w:t xml:space="preserve">This Framework Agreement runs for an initial term of 3 years from 1 January 2026, with automatic 1-year renewals. Either party may terminate by giving 3 months’ written notice to procurement@easi.net (for EASI) and account.manager@fujitsu.be (for Fujitsu). Termination does not affect the warranty obligations on hardware already delivered, which continue for the full warranty period.</w:t>
      </w:r>
    </w:p>
    <w:p>
      <w:pPr>
        <w:pStyle w:val="Heading1"/>
      </w:pPr>
      <w:r>
        <w:t xml:space="preserve">12. Governing law and disputes</w:t>
      </w:r>
    </w:p>
    <w:p>
      <w:pPr>
        <w:spacing w:after="120" w:line="300"/>
      </w:pPr>
      <w:r>
        <w:t xml:space="preserve">Belgian law applies. Disputes are submitted to the Brussels Commercial Court after a documented attempt at amicable resolution between procurement@easi.net and account.manager@fujitsu.be.</w:t>
      </w:r>
    </w:p>
    <w:p>
      <w:pPr>
        <w:pStyle w:val="Heading1"/>
      </w:pPr>
      <w:r>
        <w:t xml:space="preserve">13. Liability</w:t>
      </w:r>
    </w:p>
    <w:p>
      <w:pPr>
        <w:spacing w:after="120" w:line="300"/>
      </w:pPr>
      <w:r>
        <w:t xml:space="preserve">Each party’s aggregate liability under this Framework Agreement is capped at the total amount paid or payable by EASI to Fujitsu in the 12 months preceding the event giving rise to the claim. The cap does not apply to liability for personal injury or death, fraud or wilful misconduct, breach of confidentiality, or breach of data protection obligations under the linked Data Processing Agreements (e.g. EASI-COL-DPA-2026-001 in which Fujitsu Belgium NV is named as a sub-processor). Indirect or consequential losses are excluded for both parties.</w:t>
      </w:r>
    </w:p>
    <w:p>
      <w:pPr>
        <w:pStyle w:val="Heading1"/>
      </w:pPr>
      <w:r>
        <w:t xml:space="preserve">14. Insurance</w:t>
      </w:r>
    </w:p>
    <w:p>
      <w:pPr>
        <w:spacing w:after="120" w:line="300"/>
      </w:pPr>
      <w:r>
        <w:t xml:space="preserve">Fujitsu Belgium NV maintains professional liability insurance with a minimum cover of EUR 5,000,000 per claim and EUR 10,000,000 per year, and product liability insurance for hardware delivered to EASI. A certificate of insurance is provided annually to procurement@easi.net.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2026-04-30T10:28:21.181Z</dcterms:created>
  <dcterms:modified xsi:type="dcterms:W3CDTF">2026-04-30T10:28:21.181Z</dcterms:modified>
</cp:coreProperties>
</file>

<file path=docProps/custom.xml><?xml version="1.0" encoding="utf-8"?>
<Properties xmlns="http://schemas.openxmlformats.org/officeDocument/2006/custom-properties" xmlns:vt="http://schemas.openxmlformats.org/officeDocument/2006/docPropsVTypes"/>
</file>