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03366"/>
          <w:sz w:val="48"/>
          <w:szCs w:val="48"/>
        </w:rPr>
        <w:t xml:space="preserve">EASI GROUP</w:t>
      </w:r>
    </w:p>
    <w:p>
      <w:pPr>
        <w:spacing w:after="80" w:before="0"/>
        <w:jc w:val="center"/>
      </w:pPr>
      <w:r>
        <w:rPr>
          <w:rFonts w:ascii="Arial" w:cs="Arial" w:eastAsia="Arial" w:hAnsi="Arial"/>
          <w:b/>
          <w:bCs/>
          <w:color w:val="1A5276"/>
          <w:sz w:val="36"/>
          <w:szCs w:val="36"/>
        </w:rPr>
        <w:t xml:space="preserve">Onkostenbeleid</w:t>
      </w:r>
    </w:p>
    <w:p>
      <w:pPr>
        <w:spacing w:after="80" w:before="0"/>
        <w:jc w:val="center"/>
      </w:pPr>
      <w:r>
        <w:rPr>
          <w:rFonts w:ascii="Arial" w:cs="Arial" w:eastAsia="Arial" w:hAnsi="Arial"/>
          <w:i/>
          <w:iCs/>
          <w:color w:val="555555"/>
          <w:sz w:val="22"/>
          <w:szCs w:val="22"/>
        </w:rPr>
        <w:t xml:space="preserve">Expense Management Policy</w:t>
      </w:r>
    </w:p>
    <w:p>
      <w:pPr>
        <w:pBdr>
          <w:top w:val="single" w:color="003366" w:sz="6" w:space="4"/>
          <w:bottom w:val="single" w:color="003366" w:sz="6" w:space="4"/>
        </w:pBdr>
        <w:spacing w:after="200" w:before="200"/>
        <w:jc w:val="center"/>
      </w:pPr>
      <w:r>
        <w:rPr>
          <w:rFonts w:ascii="Arial" w:cs="Arial" w:eastAsia="Arial" w:hAnsi="Arial"/>
          <w:b/>
          <w:bCs/>
          <w:color w:val="003366"/>
          <w:sz w:val="20"/>
          <w:szCs w:val="20"/>
        </w:rPr>
        <w:t xml:space="preserve">Brussel, 1 februari 2025</w:t>
      </w:r>
    </w:p>
    <w:p>
      <w:pPr>
        <w:spacing w:after="0" w:before="80"/>
      </w:pPr>
    </w:p>
    <w:p>
      <w:pPr>
        <w:spacing w:after="60" w:before="60"/>
        <w:jc w:val="both"/>
      </w:pPr>
      <w:r>
        <w:rPr>
          <w:rFonts w:ascii="Arial" w:cs="Arial" w:eastAsia="Arial" w:hAnsi="Arial"/>
          <w:sz w:val="20"/>
          <w:szCs w:val="20"/>
        </w:rPr>
        <w:t xml:space="preserve">Dit Onkostenbeleid (hierna: “het Beleid”) legt de regels en procedures vast voor de terugbetaling van professionele kosten die door medewerkers van EASI Group NV worden gemaakt in het kader van hun functie. Het Beleid is van toepassing met ingang van 1 februari 2025 en vervangt alle voorgaande versies. Van de medewerker wordt verwacht dat hij of zij dit document nauwgezet leest en naleeft. Elke terugbetalingsaanvraag die niet conform dit Beleid werd ingediend, kan worden geweigerd.</w:t>
      </w:r>
    </w:p>
    <w:p>
      <w:pPr>
        <w:spacing w:after="0" w:before="60"/>
      </w:pPr>
    </w:p>
    <w:p>
      <w:pPr>
        <w:pStyle w:val="Heading1"/>
        <w:pBdr>
          <w:bottom w:val="single" w:color="003366" w:sz="6" w:space="2"/>
        </w:pBdr>
        <w:spacing w:after="100" w:before="320"/>
      </w:pPr>
      <w:r>
        <w:rPr>
          <w:rFonts w:ascii="Arial" w:cs="Arial" w:eastAsia="Arial" w:hAnsi="Arial"/>
          <w:b/>
          <w:bCs/>
          <w:color w:val="003366"/>
          <w:sz w:val="26"/>
          <w:szCs w:val="26"/>
        </w:rPr>
        <w:t xml:space="preserve">1. Toepassingsgebied</w:t>
      </w:r>
    </w:p>
    <w:p>
      <w:pPr>
        <w:spacing w:after="60" w:before="60"/>
        <w:jc w:val="both"/>
      </w:pPr>
      <w:r>
        <w:rPr>
          <w:rFonts w:ascii="Arial" w:cs="Arial" w:eastAsia="Arial" w:hAnsi="Arial"/>
          <w:sz w:val="20"/>
          <w:szCs w:val="20"/>
        </w:rPr>
        <w:t xml:space="preserve">Dit Beleid is van toepassing op alle medewerkers van EASI Group NV, met inbegrip van werknemers met een arbeidsovereenkomst, gedetacheerde medewerkers en personen die krachtens een managementovereenkomst voor de Vennootschap werken, voor zover hun overeenkomst niet anders voorziet.</w:t>
      </w:r>
    </w:p>
    <w:p>
      <w:pPr>
        <w:spacing w:after="0" w:before="50"/>
      </w:pPr>
    </w:p>
    <w:p>
      <w:pPr>
        <w:spacing w:after="60" w:before="60"/>
        <w:jc w:val="both"/>
      </w:pPr>
      <w:r>
        <w:rPr>
          <w:rFonts w:ascii="Arial" w:cs="Arial" w:eastAsia="Arial" w:hAnsi="Arial"/>
          <w:sz w:val="20"/>
          <w:szCs w:val="20"/>
        </w:rPr>
        <w:t xml:space="preserve">Het Beleid heeft betrekking op alle beroepskosten die de medewerker maakt ter uitvoering van zijn of haar functie en op uitdrukkelijk verzoek van of in opdracht van EASI Group, met inbegrip van maar niet beperkt tot: reis- en verblijfskosten, maaltijdkosten bij zakenreizen of klantenvergaderingen, en representatiekosten.</w:t>
      </w:r>
    </w:p>
    <w:p>
      <w:pPr>
        <w:spacing w:after="0" w:before="50"/>
      </w:pPr>
    </w:p>
    <w:p>
      <w:pPr>
        <w:spacing w:after="60" w:before="60"/>
        <w:jc w:val="both"/>
      </w:pPr>
      <w:r>
        <w:rPr>
          <w:rFonts w:ascii="Arial" w:cs="Arial" w:eastAsia="Arial" w:hAnsi="Arial"/>
          <w:sz w:val="20"/>
          <w:szCs w:val="20"/>
        </w:rPr>
        <w:t xml:space="preserve">Kosten die niet uitdrukkelijk in dit Beleid zijn opgenomen, worden enkel terugbetaald mits voorafgaande schriftelijke goedkeuring van de directe lijnmanager én de CFO. Persoonlijke uitgaven, boetes, kosten ten gevolge van nalatigheid of uitgaven die niet aantoonbaar een professioneel doel dienen, komen nooit in aanmerking voor terugbetaling.</w:t>
      </w:r>
    </w:p>
    <w:p>
      <w:pPr>
        <w:spacing w:after="0" w:before="80"/>
      </w:pPr>
    </w:p>
    <w:p>
      <w:pPr>
        <w:pStyle w:val="Heading1"/>
        <w:pBdr>
          <w:bottom w:val="single" w:color="003366" w:sz="6" w:space="2"/>
        </w:pBdr>
        <w:spacing w:after="100" w:before="320"/>
      </w:pPr>
      <w:r>
        <w:rPr>
          <w:rFonts w:ascii="Arial" w:cs="Arial" w:eastAsia="Arial" w:hAnsi="Arial"/>
          <w:b/>
          <w:bCs/>
          <w:color w:val="003366"/>
          <w:sz w:val="26"/>
          <w:szCs w:val="26"/>
        </w:rPr>
        <w:t xml:space="preserve">2. Maaltijdvergoedingen</w:t>
      </w:r>
    </w:p>
    <w:p>
      <w:pPr>
        <w:spacing w:after="60" w:before="60"/>
        <w:jc w:val="both"/>
      </w:pPr>
      <w:r>
        <w:rPr>
          <w:rFonts w:ascii="Arial" w:cs="Arial" w:eastAsia="Arial" w:hAnsi="Arial"/>
          <w:sz w:val="20"/>
          <w:szCs w:val="20"/>
        </w:rPr>
        <w:t xml:space="preserve">Maaltijdkosten worden terugbetaald indien de maaltijd plaatsvindt in het kader van een professionele activiteit (zakenreis, klantenvergadering, interne bedrijfsbijeenkomst buiten de vaste werkplaats). Kosten voor maaltijden op de vaste werkplaats of in de kantooromgeving van EASI Group komen in beginsel niet in aanmerking, tenzij dit uitdrukkelijk is goedgekeurd.</w:t>
      </w:r>
    </w:p>
    <w:p>
      <w:pPr>
        <w:spacing w:after="0" w:before="50"/>
      </w:pPr>
    </w:p>
    <w:p>
      <w:pPr>
        <w:pStyle w:val="Heading2"/>
        <w:spacing w:after="80" w:before="200"/>
      </w:pPr>
      <w:r>
        <w:rPr>
          <w:rFonts w:ascii="Arial" w:cs="Arial" w:eastAsia="Arial" w:hAnsi="Arial"/>
          <w:b/>
          <w:bCs/>
          <w:color w:val="1A5276"/>
          <w:sz w:val="22"/>
          <w:szCs w:val="22"/>
        </w:rPr>
        <w:t xml:space="preserve">2.1 Lunch buiten kantoor</w:t>
      </w:r>
    </w:p>
    <w:p>
      <w:pPr>
        <w:spacing w:after="60" w:before="60"/>
        <w:jc w:val="both"/>
      </w:pPr>
      <w:r>
        <w:rPr>
          <w:rFonts w:ascii="Arial" w:cs="Arial" w:eastAsia="Arial" w:hAnsi="Arial"/>
          <w:sz w:val="20"/>
          <w:szCs w:val="20"/>
        </w:rPr>
        <w:t xml:space="preserve">Lunchkosten gemaakt buiten de vaste werkplaats in het kader van een professionele activiteit worden terugbetaald tot een maximum van € 15,00 (exclusief BTW) per persoon per maaltijd. Dit bedrag is inclusief niet-alcoholische dranken. Alcoholische dranken tijdens de lunch worden niet terugbetaald. De medewerker dient het professionele karakter van de lunch te vermelden in de onkostennota, met vermelding van de aanwezige personen en het zakelijke doel.</w:t>
      </w:r>
    </w:p>
    <w:p>
      <w:pPr>
        <w:spacing w:after="0" w:before="50"/>
      </w:pPr>
    </w:p>
    <w:p>
      <w:pPr>
        <w:pStyle w:val="Heading2"/>
        <w:spacing w:after="80" w:before="200"/>
      </w:pPr>
      <w:r>
        <w:rPr>
          <w:rFonts w:ascii="Arial" w:cs="Arial" w:eastAsia="Arial" w:hAnsi="Arial"/>
          <w:b/>
          <w:bCs/>
          <w:color w:val="1A5276"/>
          <w:sz w:val="22"/>
          <w:szCs w:val="22"/>
        </w:rPr>
        <w:t xml:space="preserve">2.2 Zakelijk diner</w:t>
      </w:r>
    </w:p>
    <w:p>
      <w:pPr>
        <w:spacing w:after="60" w:before="60"/>
        <w:jc w:val="both"/>
      </w:pPr>
      <w:r>
        <w:rPr>
          <w:rFonts w:ascii="Arial" w:cs="Arial" w:eastAsia="Arial" w:hAnsi="Arial"/>
          <w:sz w:val="20"/>
          <w:szCs w:val="20"/>
        </w:rPr>
        <w:t xml:space="preserve">Kosten voor een zakelijk diner worden terugbetaald tot een maximum van € 40,00 (exclusief BTW) per persoon. Een zakelijk diner vereist de voorafgaande schriftelijke goedkeuring van de directe lijnmanager. De goedkeuring dient te worden aangevraagd vóór de datum van het diner en dient bij de onkostennota te worden gevoegd. Bij de indiening vermeldt de medewerker de namen van alle aanwezigen, de functie van externe gasten en het zakelijke doel van de bijeenkomst.</w:t>
      </w:r>
    </w:p>
    <w:p>
      <w:pPr>
        <w:spacing w:after="0" w:before="50"/>
      </w:pPr>
    </w:p>
    <w:p>
      <w:pPr>
        <w:spacing w:after="60" w:before="60"/>
        <w:jc w:val="both"/>
      </w:pPr>
      <w:r>
        <w:rPr>
          <w:rFonts w:ascii="Arial" w:cs="Arial" w:eastAsia="Arial" w:hAnsi="Arial"/>
          <w:sz w:val="20"/>
          <w:szCs w:val="20"/>
        </w:rPr>
        <w:t xml:space="preserve">Kosten die het vastgestelde maximum overschrijden, worden slechts bij uitzondering en mits bijkomende schriftelijke motivatie en goedkeuring van de CFO terugbetaald. Een overschrijding van het plafond door de medewerker zonder voorafgaande goedkeuring komt ten persoonlijke laste van de medewerker.</w:t>
      </w:r>
    </w:p>
    <w:p>
      <w:pPr>
        <w:spacing w:after="0" w:before="80"/>
      </w:pPr>
    </w:p>
    <w:p>
      <w:pPr>
        <w:pStyle w:val="Heading1"/>
        <w:pBdr>
          <w:bottom w:val="single" w:color="003366" w:sz="6" w:space="2"/>
        </w:pBdr>
        <w:spacing w:after="100" w:before="320"/>
      </w:pPr>
      <w:r>
        <w:rPr>
          <w:rFonts w:ascii="Arial" w:cs="Arial" w:eastAsia="Arial" w:hAnsi="Arial"/>
          <w:b/>
          <w:bCs/>
          <w:color w:val="003366"/>
          <w:sz w:val="26"/>
          <w:szCs w:val="26"/>
        </w:rPr>
        <w:t xml:space="preserve">3. Transportkosten</w:t>
      </w:r>
    </w:p>
    <w:p>
      <w:pPr>
        <w:spacing w:after="60" w:before="60"/>
        <w:jc w:val="both"/>
      </w:pPr>
      <w:r>
        <w:rPr>
          <w:rFonts w:ascii="Arial" w:cs="Arial" w:eastAsia="Arial" w:hAnsi="Arial"/>
          <w:sz w:val="20"/>
          <w:szCs w:val="20"/>
        </w:rPr>
        <w:t xml:space="preserve">Transportkosten worden uitsluitend terugbetaald voor verplaatsingen die rechtstreeks verband houden met de professionele activiteiten van EASI Group. De medewerker kiest steeds de meest kostenefficiënte en praktisch redelijke vervoerswijze. Hieronder worden de terugbetalingsregels per vervoersmodus uiteengezet.</w:t>
      </w:r>
    </w:p>
    <w:p>
      <w:pPr>
        <w:spacing w:after="0" w:before="5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000"/>
      </w:tblGrid>
      <w:tr>
        <w:trPr>
          <w:tblHeader/>
        </w:trPr>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Vervoersmodus</w:t>
            </w:r>
          </w:p>
        </w:tc>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Maximaal terugbetaalbaar</w:t>
            </w:r>
          </w:p>
        </w:tc>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Voorwaarden</w:t>
            </w:r>
          </w:p>
        </w:tc>
      </w:tr>
      <w:tr>
        <w:trPr>
          <w:tblHeader w:val="false"/>
        </w:trPr>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Openbaar vervoer
(trein, tram, bus)</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 op basis van factuur / ticket</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 of e-ticket verplicht bijvoegen</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Taxi / Uber</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Max. € 35,00 per rit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Enkel bij afwezigheid openbaar vervoer; motivatie vereist</w:t>
            </w:r>
          </w:p>
        </w:tc>
      </w:tr>
      <w:tr>
        <w:trPr>
          <w:tblHeader w:val="false"/>
        </w:trPr>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Eigen wagen</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€ 0,4237 / km</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Fiscaal barema 2025; kilometerstand begin/einde verplicht</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Vliegtuig</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Werkelijke kostprijs (economy)</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Enkel afstanden &gt; 500 km; goedkeuring directie vereist</w:t>
            </w:r>
          </w:p>
        </w:tc>
      </w:tr>
    </w:tbl>
    <w:p>
      <w:pPr>
        <w:spacing w:after="0" w:before="120"/>
      </w:pPr>
    </w:p>
    <w:p>
      <w:pPr>
        <w:pStyle w:val="Heading2"/>
        <w:spacing w:after="80" w:before="200"/>
      </w:pPr>
      <w:r>
        <w:rPr>
          <w:rFonts w:ascii="Arial" w:cs="Arial" w:eastAsia="Arial" w:hAnsi="Arial"/>
          <w:b/>
          <w:bCs/>
          <w:color w:val="1A5276"/>
          <w:sz w:val="22"/>
          <w:szCs w:val="22"/>
        </w:rPr>
        <w:t xml:space="preserve">3.1 Openbaar vervoer</w:t>
      </w:r>
    </w:p>
    <w:p>
      <w:pPr>
        <w:spacing w:after="60" w:before="60"/>
        <w:jc w:val="both"/>
      </w:pPr>
      <w:r>
        <w:rPr>
          <w:rFonts w:ascii="Arial" w:cs="Arial" w:eastAsia="Arial" w:hAnsi="Arial"/>
          <w:sz w:val="20"/>
          <w:szCs w:val="20"/>
        </w:rPr>
        <w:t xml:space="preserve">Verplaatsingen per trein, tram of bus worden terugbetaald ten belope van 100% van de werkelijke kosten, op basis van het voorleggen van een geldig ticket, e-ticket of factuur. De medewerker kiest steeds de tweede klasse, tenzij een eerstklastraject aantoonbaar goedkoper uitvalt of de reistijd aanzienlijk wordt ingekort en dit schriftelijk wordt gemotiveerd. Jaarabonnementen voor woon-werkverkeer worden afzonderlijk geregeld in de individuele arbeidsovereenkomst of via de cao-vergoedingsregeling.</w:t>
      </w:r>
    </w:p>
    <w:p>
      <w:pPr>
        <w:spacing w:after="0" w:before="50"/>
      </w:pPr>
    </w:p>
    <w:p>
      <w:pPr>
        <w:pStyle w:val="Heading2"/>
        <w:spacing w:after="80" w:before="200"/>
      </w:pPr>
      <w:r>
        <w:rPr>
          <w:rFonts w:ascii="Arial" w:cs="Arial" w:eastAsia="Arial" w:hAnsi="Arial"/>
          <w:b/>
          <w:bCs/>
          <w:color w:val="1A5276"/>
          <w:sz w:val="22"/>
          <w:szCs w:val="22"/>
        </w:rPr>
        <w:t xml:space="preserve">3.2 Taxi en Uber</w:t>
      </w:r>
    </w:p>
    <w:p>
      <w:pPr>
        <w:spacing w:after="60" w:before="60"/>
        <w:jc w:val="both"/>
      </w:pPr>
      <w:r>
        <w:rPr>
          <w:rFonts w:ascii="Arial" w:cs="Arial" w:eastAsia="Arial" w:hAnsi="Arial"/>
          <w:sz w:val="20"/>
          <w:szCs w:val="20"/>
        </w:rPr>
        <w:t xml:space="preserve">Het gebruik van een taxi of platformdienst zoals Uber is terugbetaalbaar tot een maximum van € 35,00 per rit, en uitsluitend in gevallen waar openbaar vervoer niet beschikbaar is, niet tijdig beschikbaar is of om aantoonbare veiligheids- of operationele redenen niet redelijk inzetbaar is. De medewerker dient bij de onkostennota een beknopte motivatie op te nemen waarom geen gebruik kon worden gemaakt van het openbaar vervoer. Ritten voor persoonlijk gebruik of woon-werkverkeer worden niet terugbetaald via dit Beleid.</w:t>
      </w:r>
    </w:p>
    <w:p>
      <w:pPr>
        <w:spacing w:after="0" w:before="50"/>
      </w:pPr>
    </w:p>
    <w:p>
      <w:pPr>
        <w:pStyle w:val="Heading2"/>
        <w:spacing w:after="80" w:before="200"/>
      </w:pPr>
      <w:r>
        <w:rPr>
          <w:rFonts w:ascii="Arial" w:cs="Arial" w:eastAsia="Arial" w:hAnsi="Arial"/>
          <w:b/>
          <w:bCs/>
          <w:color w:val="1A5276"/>
          <w:sz w:val="22"/>
          <w:szCs w:val="22"/>
        </w:rPr>
        <w:t xml:space="preserve">3.3 Gebruik van de eigen wagen</w:t>
      </w:r>
    </w:p>
    <w:p>
      <w:pPr>
        <w:spacing w:after="60" w:before="60"/>
        <w:jc w:val="both"/>
      </w:pPr>
      <w:r>
        <w:rPr>
          <w:rFonts w:ascii="Arial" w:cs="Arial" w:eastAsia="Arial" w:hAnsi="Arial"/>
          <w:sz w:val="20"/>
          <w:szCs w:val="20"/>
        </w:rPr>
        <w:t xml:space="preserve">Indien de medewerker voor professionele verplaatsingen gebruik maakt van zijn of haar privévoertuig, wordt een kilovergoeding toegekend conform het fiscale barema vastgesteld door de Belgische fiscale autoriteiten, zijnde € 0,4237 per kilometer voor het inkomstenjaar 2025. De medewerker vermeldt bij de onkostennota het vertrekpunt, de bestemming, de afgelegde afstand (totaal aantal kilometers) en het professionele doel van de verplaatsing. Het gebruik van de eigen wagen voor woon-werkverkeer valt buiten het toepassingsgebied van dit artikel en wordt geregeld door de toepasselijke cao en de individuele arbeidsovereenkomst.</w:t>
      </w:r>
    </w:p>
    <w:p>
      <w:pPr>
        <w:spacing w:after="0" w:before="50"/>
      </w:pPr>
    </w:p>
    <w:p>
      <w:pPr>
        <w:pStyle w:val="Heading2"/>
        <w:spacing w:after="80" w:before="200"/>
      </w:pPr>
      <w:r>
        <w:rPr>
          <w:rFonts w:ascii="Arial" w:cs="Arial" w:eastAsia="Arial" w:hAnsi="Arial"/>
          <w:b/>
          <w:bCs/>
          <w:color w:val="1A5276"/>
          <w:sz w:val="22"/>
          <w:szCs w:val="22"/>
        </w:rPr>
        <w:t xml:space="preserve">3.4 Vliegreizen</w:t>
      </w:r>
    </w:p>
    <w:p>
      <w:pPr>
        <w:spacing w:after="60" w:before="60"/>
        <w:jc w:val="both"/>
      </w:pPr>
      <w:r>
        <w:rPr>
          <w:rFonts w:ascii="Arial" w:cs="Arial" w:eastAsia="Arial" w:hAnsi="Arial"/>
          <w:sz w:val="20"/>
          <w:szCs w:val="20"/>
        </w:rPr>
        <w:t xml:space="preserve">Vliegreizen komen uitsluitend in aanmerking voor terugbetaling indien de afstand tussen het vertrekpunt en de bestemming meer dan 500 kilometer bedraagt en indien de verplaatsing voorafgaandelijk schriftelijk is goedgekeurd door de directie. De aanvraag tot goedkeuring dient minimaal vijf (5) werkdagen vóór de beoogde reisdatum te worden ingediend bij de lijnmanager en de CFO. Vluchten worden geboekt in economy class. Business class is slechts toegestaan voor vluchten van meer dan zes (6) uur en mits uitdrukkelijke goedkeuring van de CEO. Parkeerkosten op luchthavens worden terugbetaald op basis van ticket, aan het kortparkeerarief van de betrokken luchthaven.</w:t>
      </w:r>
    </w:p>
    <w:p>
      <w:pPr>
        <w:spacing w:after="0" w:before="80"/>
      </w:pPr>
    </w:p>
    <w:p>
      <w:pPr>
        <w:pStyle w:val="Heading1"/>
        <w:pBdr>
          <w:bottom w:val="single" w:color="003366" w:sz="6" w:space="2"/>
        </w:pBdr>
        <w:spacing w:after="100" w:before="320"/>
      </w:pPr>
      <w:r>
        <w:rPr>
          <w:rFonts w:ascii="Arial" w:cs="Arial" w:eastAsia="Arial" w:hAnsi="Arial"/>
          <w:b/>
          <w:bCs/>
          <w:color w:val="003366"/>
          <w:sz w:val="26"/>
          <w:szCs w:val="26"/>
        </w:rPr>
        <w:t xml:space="preserve">4. Hotelovernachtingen</w:t>
      </w:r>
    </w:p>
    <w:p>
      <w:pPr>
        <w:spacing w:after="60" w:before="60"/>
        <w:jc w:val="both"/>
      </w:pPr>
      <w:r>
        <w:rPr>
          <w:rFonts w:ascii="Arial" w:cs="Arial" w:eastAsia="Arial" w:hAnsi="Arial"/>
          <w:sz w:val="20"/>
          <w:szCs w:val="20"/>
        </w:rPr>
        <w:t xml:space="preserve">Hotelverblijven worden terugbetaald indien zij noodzakelijk zijn in het kader van een professionele opdracht, zakenreis of externe vergadering waarvoor de medewerker redelijkerwijze niet op dezelfde dag naar zijn of haar gebruikelijke werkplaats kan terugkeren. De medewerker dient steeds te streven naar een goede prijs-kwaliteitverhouding en dient de reservering in te dienen via de door EASI Group ter beschikking gestelde boekingstool, tenzij hiervan gemotiveerd werd afgeweken.</w:t>
      </w:r>
    </w:p>
    <w:p>
      <w:pPr>
        <w:spacing w:after="0" w:before="50"/>
      </w:pPr>
    </w:p>
    <w:p>
      <w:pPr>
        <w:spacing w:after="60" w:before="60"/>
        <w:jc w:val="both"/>
      </w:pPr>
      <w:r>
        <w:rPr>
          <w:rFonts w:ascii="Arial" w:cs="Arial" w:eastAsia="Arial" w:hAnsi="Arial"/>
          <w:sz w:val="20"/>
          <w:szCs w:val="20"/>
        </w:rPr>
        <w:t xml:space="preserve">De maximumtarieven voor hotelkosten bedragen:</w:t>
      </w:r>
    </w:p>
    <w:p>
      <w:pPr>
        <w:spacing w:after="0" w:before="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Regio</w:t>
            </w:r>
          </w:p>
        </w:tc>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Maximum per nacht (kamer, excl. ontbijt)</w:t>
            </w:r>
          </w:p>
        </w:tc>
      </w:tr>
      <w:tr>
        <w:trPr>
          <w:tblHeader w:val="false"/>
        </w:trPr>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België</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€ 130,00</w:t>
            </w:r>
          </w:p>
        </w:tc>
      </w:tr>
      <w:tr>
        <w:trPr>
          <w:tblHeader w:val="false"/>
        </w:trP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Buitenland</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€ 175,00</w:t>
            </w:r>
          </w:p>
        </w:tc>
      </w:tr>
    </w:tbl>
    <w:p>
      <w:pPr>
        <w:spacing w:after="0" w:before="120"/>
      </w:pPr>
    </w:p>
    <w:p>
      <w:pPr>
        <w:spacing w:after="60" w:before="60"/>
        <w:jc w:val="both"/>
      </w:pPr>
      <w:r>
        <w:rPr>
          <w:rFonts w:ascii="Arial" w:cs="Arial" w:eastAsia="Arial" w:hAnsi="Arial"/>
          <w:sz w:val="20"/>
          <w:szCs w:val="20"/>
        </w:rPr>
        <w:t xml:space="preserve">Ontbijtkosten worden terugbetaald tot een maximum van € 15,00 per ochtend indien het ontbijt niet in de hotelprijs is inbegrepen. Minibargebruik, roomservice, persoonlijke verzorging en andere persoonlijke uitgaven komen niet in aanmerking voor terugbetaling. Hotelovernachtingen die het vastgestelde maximum overschrijden, vereisen een voorafgaande schriftelijke motivatie en de goedkeuring van de CFO.</w:t>
      </w:r>
    </w:p>
    <w:p>
      <w:pPr>
        <w:spacing w:after="0" w:before="80"/>
      </w:pPr>
    </w:p>
    <w:p>
      <w:pPr>
        <w:pStyle w:val="Heading1"/>
        <w:pBdr>
          <w:bottom w:val="single" w:color="003366" w:sz="6" w:space="2"/>
        </w:pBdr>
        <w:spacing w:after="100" w:before="320"/>
      </w:pPr>
      <w:r>
        <w:rPr>
          <w:rFonts w:ascii="Arial" w:cs="Arial" w:eastAsia="Arial" w:hAnsi="Arial"/>
          <w:b/>
          <w:bCs/>
          <w:color w:val="003366"/>
          <w:sz w:val="26"/>
          <w:szCs w:val="26"/>
        </w:rPr>
        <w:t xml:space="preserve">5. Indieningsprocedure</w:t>
      </w:r>
    </w:p>
    <w:p>
      <w:pPr>
        <w:pStyle w:val="Heading2"/>
        <w:spacing w:after="80" w:before="200"/>
      </w:pPr>
      <w:r>
        <w:rPr>
          <w:rFonts w:ascii="Arial" w:cs="Arial" w:eastAsia="Arial" w:hAnsi="Arial"/>
          <w:b/>
          <w:bCs/>
          <w:color w:val="1A5276"/>
          <w:sz w:val="22"/>
          <w:szCs w:val="22"/>
        </w:rPr>
        <w:t xml:space="preserve">5.1 Gebruik van de SAP Expenses module</w:t>
      </w:r>
    </w:p>
    <w:p>
      <w:pPr>
        <w:spacing w:after="60" w:before="60"/>
        <w:jc w:val="both"/>
      </w:pPr>
      <w:r>
        <w:rPr>
          <w:rFonts w:ascii="Arial" w:cs="Arial" w:eastAsia="Arial" w:hAnsi="Arial"/>
          <w:sz w:val="20"/>
          <w:szCs w:val="20"/>
        </w:rPr>
        <w:t xml:space="preserve">Alle onkostennota’s dienen uitsluitend te worden ingediend via de Expenses module in het SAP-systeem van EASI Group. Indieningen via e-mail, papieren formulieren of andere kanalen worden niet verwerkt en komen niet in aanmerking voor terugbetaling, tenzij de SAP-module tijdelijk niet beschikbaar is en dit uitdrukkelijk door de IT-afdeling is bevestigd.</w:t>
      </w:r>
    </w:p>
    <w:p>
      <w:pPr>
        <w:spacing w:after="0" w:before="50"/>
      </w:pPr>
    </w:p>
    <w:p>
      <w:pPr>
        <w:spacing w:after="60" w:before="60"/>
        <w:jc w:val="both"/>
      </w:pPr>
      <w:r>
        <w:rPr>
          <w:rFonts w:ascii="Arial" w:cs="Arial" w:eastAsia="Arial" w:hAnsi="Arial"/>
          <w:sz w:val="20"/>
          <w:szCs w:val="20"/>
        </w:rPr>
        <w:t xml:space="preserve">De medewerker laadt voor elke kost een leesbare scan of foto van het originele bewijsstuk (factuur, ticket, bon) op in de SAP-module. Bewijsstukken dienen de datum, het bedrag, de leverancier en — indien van toepassing — de namen van de aanwezigen te vermelden. Kosten zonder geldig bewijsstuk worden geweigerd.</w:t>
      </w:r>
    </w:p>
    <w:p>
      <w:pPr>
        <w:spacing w:after="0" w:before="50"/>
      </w:pPr>
    </w:p>
    <w:p>
      <w:pPr>
        <w:pStyle w:val="Heading2"/>
        <w:spacing w:after="80" w:before="200"/>
      </w:pPr>
      <w:r>
        <w:rPr>
          <w:rFonts w:ascii="Arial" w:cs="Arial" w:eastAsia="Arial" w:hAnsi="Arial"/>
          <w:b/>
          <w:bCs/>
          <w:color w:val="1A5276"/>
          <w:sz w:val="22"/>
          <w:szCs w:val="22"/>
        </w:rPr>
        <w:t xml:space="preserve">5.2 Indieningstermijn</w:t>
      </w:r>
    </w:p>
    <w:p>
      <w:pPr>
        <w:spacing w:after="60" w:before="60"/>
        <w:jc w:val="both"/>
      </w:pPr>
      <w:r>
        <w:rPr>
          <w:rFonts w:ascii="Arial" w:cs="Arial" w:eastAsia="Arial" w:hAnsi="Arial"/>
          <w:sz w:val="20"/>
          <w:szCs w:val="20"/>
        </w:rPr>
        <w:t xml:space="preserve">Alle onkostennota’s dienen te worden ingediend vóór het einde van de kalendermaand volgend op de maand waarin de kosten werden gemaakt. Kosten die later worden ingediend, kunnen worden geweigerd, tenzij de laattijdigheid aantoonbaar te wijten is aan uitzonderlijke omstandigheden en de lijnmanager hiervoor schriftelijk toestemming heeft verleend.</w:t>
      </w:r>
    </w:p>
    <w:p>
      <w:pPr>
        <w:spacing w:after="0" w:before="50"/>
      </w:pPr>
    </w:p>
    <w:p>
      <w:pPr>
        <w:spacing w:after="60" w:before="60"/>
        <w:jc w:val="both"/>
      </w:pPr>
      <w:r>
        <w:rPr>
          <w:rFonts w:ascii="Arial" w:cs="Arial" w:eastAsia="Arial" w:hAnsi="Arial"/>
          <w:sz w:val="20"/>
          <w:szCs w:val="20"/>
        </w:rPr>
        <w:t xml:space="preserve">De verwerkings- en uitbetalingstermijn bedraagt in beginsel vijftien (15) werkdagen na goedkeuring van de note door de lijnmanager. Uitbetaling geschiedt samen met of aansluitend op de reguliere loonbetaling.</w:t>
      </w:r>
    </w:p>
    <w:p>
      <w:pPr>
        <w:spacing w:after="0" w:before="50"/>
      </w:pPr>
    </w:p>
    <w:p>
      <w:pPr>
        <w:pStyle w:val="Heading2"/>
        <w:spacing w:after="80" w:before="200"/>
      </w:pPr>
      <w:r>
        <w:rPr>
          <w:rFonts w:ascii="Arial" w:cs="Arial" w:eastAsia="Arial" w:hAnsi="Arial"/>
          <w:b/>
          <w:bCs/>
          <w:color w:val="1A5276"/>
          <w:sz w:val="22"/>
          <w:szCs w:val="22"/>
        </w:rPr>
        <w:t xml:space="preserve">5.3 Goedkeuringsflow</w:t>
      </w:r>
    </w:p>
    <w:p>
      <w:pPr>
        <w:spacing w:after="60" w:before="60"/>
        <w:jc w:val="both"/>
      </w:pPr>
      <w:r>
        <w:rPr>
          <w:rFonts w:ascii="Arial" w:cs="Arial" w:eastAsia="Arial" w:hAnsi="Arial"/>
          <w:sz w:val="20"/>
          <w:szCs w:val="20"/>
        </w:rPr>
        <w:t xml:space="preserve">Na indiening door de medewerker wordt de onkostennota automatisch ter goedkeuring voorgelegd aan de directe lijnmanager via de SAP-workflow. De lijnmanager dient de nota te beoordelen en goed te keuren of te weigeren binnen vijf (5) werkdagen. Bij overschrijding van de maxima of bij ontbrekende documenten kan de lijnmanager de nota terugsturen naar de medewerker met verzoek tot aanvulling. Na goedkeuring door de lijnmanager wordt de nota doorgestuurd naar de dienst Financiën voor definitieve verwerking.</w:t>
      </w:r>
    </w:p>
    <w:p>
      <w:pPr>
        <w:spacing w:after="0" w:before="50"/>
      </w:pPr>
    </w:p>
    <w:p>
      <w:pPr>
        <w:pStyle w:val="Heading2"/>
        <w:spacing w:after="80" w:before="200"/>
      </w:pPr>
      <w:r>
        <w:rPr>
          <w:rFonts w:ascii="Arial" w:cs="Arial" w:eastAsia="Arial" w:hAnsi="Arial"/>
          <w:b/>
          <w:bCs/>
          <w:color w:val="1A5276"/>
          <w:sz w:val="22"/>
          <w:szCs w:val="22"/>
        </w:rPr>
        <w:t xml:space="preserve">5.4 Fraude en misbruik</w:t>
      </w:r>
    </w:p>
    <w:p>
      <w:pPr>
        <w:spacing w:after="60" w:before="60"/>
        <w:jc w:val="both"/>
      </w:pPr>
      <w:r>
        <w:rPr>
          <w:rFonts w:ascii="Arial" w:cs="Arial" w:eastAsia="Arial" w:hAnsi="Arial"/>
          <w:sz w:val="20"/>
          <w:szCs w:val="20"/>
        </w:rPr>
        <w:t xml:space="preserve">Het indienen van fictieve, vervalste of anderszins onjuiste onkostennota’s is een ernstige schending van de arbeidsovereenkomst en kan leiden tot disciplinaire maatregelen, inclusief ontslag om dringende reden, onverminderd de mogelijkheid tot het instellen van een strafklacht. EASI Group behoudt zich het recht voor om steekproefsgewijze controles uit te voeren op ingediende onkostennota’s.</w:t>
      </w:r>
    </w:p>
    <w:p>
      <w:pPr>
        <w:spacing w:after="0" w:before="100"/>
      </w:pPr>
    </w:p>
    <w:p>
      <w:pPr>
        <w:pStyle w:val="Heading1"/>
        <w:pBdr>
          <w:bottom w:val="single" w:color="003366" w:sz="6" w:space="2"/>
        </w:pBdr>
        <w:spacing w:after="100" w:before="320"/>
      </w:pPr>
      <w:r>
        <w:rPr>
          <w:rFonts w:ascii="Arial" w:cs="Arial" w:eastAsia="Arial" w:hAnsi="Arial"/>
          <w:b/>
          <w:bCs/>
          <w:color w:val="003366"/>
          <w:sz w:val="26"/>
          <w:szCs w:val="26"/>
        </w:rPr>
        <w:t xml:space="preserve">Slotbepalingen</w:t>
      </w:r>
    </w:p>
    <w:p>
      <w:pPr>
        <w:spacing w:after="60" w:before="60"/>
        <w:jc w:val="both"/>
      </w:pPr>
      <w:r>
        <w:rPr>
          <w:rFonts w:ascii="Arial" w:cs="Arial" w:eastAsia="Arial" w:hAnsi="Arial"/>
          <w:sz w:val="20"/>
          <w:szCs w:val="20"/>
        </w:rPr>
        <w:t xml:space="preserve">Dit Beleid treedt in werking op 1 februari 2025. EASI Group behoudt zich het recht voor dit Beleid te wijzigen. Wijzigingen worden minstens vijftien (15) kalenderdagen vóór de inwerkingtreding per e-mail aan alle medewerkers meegedeeld. De meest recente versie van dit Beleid is steeds beschikbaar op het intranetportaal van EASI Group.</w:t>
      </w:r>
    </w:p>
    <w:p>
      <w:pPr>
        <w:spacing w:after="0" w:before="50"/>
      </w:pPr>
    </w:p>
    <w:p>
      <w:pPr>
        <w:spacing w:after="60" w:before="60"/>
        <w:jc w:val="both"/>
      </w:pPr>
      <w:r>
        <w:rPr>
          <w:rFonts w:ascii="Arial" w:cs="Arial" w:eastAsia="Arial" w:hAnsi="Arial"/>
          <w:sz w:val="20"/>
          <w:szCs w:val="20"/>
        </w:rPr>
        <w:t xml:space="preserve">Bij vragen over de toepassing van dit Beleid kan de medewerker terecht bij de dienst Human Resources (hr@easi.net) of de dienst Financiën (finance@easi.net).</w:t>
      </w:r>
    </w:p>
    <w:p>
      <w:pPr>
        <w:spacing w:after="0" w:before="120"/>
      </w:pPr>
    </w:p>
    <w:p>
      <w:pPr>
        <w:spacing w:after="40" w:before="160"/>
      </w:pPr>
      <w:r>
        <w:rPr>
          <w:rFonts w:ascii="Arial" w:cs="Arial" w:eastAsia="Arial" w:hAnsi="Arial"/>
          <w:b/>
          <w:bCs/>
          <w:sz w:val="20"/>
          <w:szCs w:val="20"/>
        </w:rPr>
        <w:t xml:space="preserve">Opgemaakt te Brussel, op 1 februari 2025.</w:t>
      </w:r>
    </w:p>
    <w:p>
      <w:pPr>
        <w:spacing w:after="0" w:before="40"/>
      </w:pPr>
    </w:p>
    <w:p>
      <w:pPr>
        <w:spacing w:after="40" w:before="80"/>
      </w:pPr>
      <w:r>
        <w:rPr>
          <w:rFonts w:ascii="Arial" w:cs="Arial" w:eastAsia="Arial" w:hAnsi="Arial"/>
          <w:sz w:val="20"/>
          <w:szCs w:val="20"/>
        </w:rPr>
        <w:t xml:space="preserve">Namens EASI Group NV,</w:t>
      </w:r>
    </w:p>
    <w:p>
      <w:pPr>
        <w:spacing w:after="0" w:before="120"/>
      </w:pPr>
    </w:p>
    <w:p>
      <w:pPr>
        <w:spacing w:after="0" w:before="120"/>
      </w:pPr>
    </w:p>
    <w:p>
      <w:pPr>
        <w:pBdr>
          <w:top w:val="single" w:color="333333" w:sz="4" w:space="2"/>
        </w:pBdr>
        <w:spacing w:after="40" w:before="0"/>
      </w:pPr>
      <w:r>
        <w:rPr>
          <w:rFonts w:ascii="Arial" w:cs="Arial" w:eastAsia="Arial" w:hAnsi="Arial"/>
          <w:b/>
          <w:bCs/>
          <w:sz w:val="20"/>
          <w:szCs w:val="20"/>
        </w:rPr>
        <w:t xml:space="preserve">Isabelle Martens</w:t>
      </w:r>
    </w:p>
    <w:p>
      <w:pPr>
        <w:spacing w:after="40" w:before="0"/>
      </w:pPr>
      <w:r>
        <w:rPr>
          <w:rFonts w:ascii="Arial" w:cs="Arial" w:eastAsia="Arial" w:hAnsi="Arial"/>
          <w:i/>
          <w:iCs/>
          <w:color w:val="555555"/>
          <w:sz w:val="18"/>
          <w:szCs w:val="18"/>
        </w:rPr>
        <w:t xml:space="preserve">Chief Financial Officer — EASI Group NV</w:t>
      </w:r>
    </w:p>
    <w:sectPr>
      <w:headerReference w:type="default" r:id="rId7"/>
      <w:footerReference w:type="default" r:id="rId8"/>
      <w:pgSz w:w="11906" w:h="16838" w:orient="portrait"/>
      <w:pgMar w:top="1300" w:right="130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2"/>
      </w:pBdr>
      <w:spacing w:before="160"/>
    </w:pPr>
    <w:r>
      <w:rPr>
        <w:rFonts w:ascii="Arial" w:cs="Arial" w:eastAsia="Arial" w:hAnsi="Arial"/>
        <w:color w:val="888888"/>
        <w:sz w:val="16"/>
        <w:szCs w:val="16"/>
      </w:rPr>
      <w:t xml:space="preserve">Versie 1.0 — Brussel, 1 februari 2025 — EASI Group NV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2"/>
      </w:pBdr>
      <w:tabs>
        <w:tab w:val="right" w:pos="8200"/>
      </w:tabs>
      <w:spacing w:after="160"/>
    </w:pPr>
    <w:r>
      <w:rPr>
        <w:rFonts w:ascii="Arial" w:cs="Arial" w:eastAsia="Arial" w:hAnsi="Arial"/>
        <w:b/>
        <w:bCs/>
        <w:color w:val="003366"/>
        <w:sz w:val="18"/>
        <w:szCs w:val="18"/>
      </w:rPr>
      <w:t xml:space="preserve">EASI Group — Onkostenbeleid</w:t>
    </w:r>
    <w:r>
      <w:rPr>
        <w:sz w:val="18"/>
        <w:szCs w:val="18"/>
      </w:rPr>
      <w:t xml:space="preserve">	</w:t>
    </w:r>
    <w:r>
      <w:rPr>
        <w:rFonts w:ascii="Arial" w:cs="Arial" w:eastAsia="Arial" w:hAnsi="Arial"/>
        <w:i/>
        <w:iCs/>
        <w:color w:val="888888"/>
        <w:sz w:val="16"/>
        <w:szCs w:val="16"/>
      </w:rPr>
      <w:t xml:space="preserve">Intern beleidsdocument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03366"/>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2026-04-29T12:59:31.238Z</dcterms:created>
  <dcterms:modified xsi:type="dcterms:W3CDTF">2026-04-29T12:59:31.238Z</dcterms:modified>
</cp:coreProperties>
</file>

<file path=docProps/custom.xml><?xml version="1.0" encoding="utf-8"?>
<Properties xmlns="http://schemas.openxmlformats.org/officeDocument/2006/custom-properties" xmlns:vt="http://schemas.openxmlformats.org/officeDocument/2006/docPropsVTypes"/>
</file>