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260"/>
        <w:jc w:val="center"/>
      </w:pPr>
      <w:r>
        <w:rPr>
          <w:rFonts w:ascii="Arial" w:cs="Arial" w:eastAsia="Arial" w:hAnsi="Arial"/>
          <w:b/>
          <w:bCs/>
          <w:color w:val="003366"/>
          <w:sz w:val="42"/>
          <w:szCs w:val="42"/>
        </w:rPr>
        <w:t xml:space="preserve">SAMENWERKINGS­OVEREENKOMST</w:t>
      </w:r>
    </w:p>
    <w:p>
      <w:pPr>
        <w:spacing w:after="50" w:before="0"/>
        <w:jc w:val="center"/>
      </w:pPr>
      <w:r>
        <w:rPr>
          <w:rFonts w:ascii="Arial" w:cs="Arial" w:eastAsia="Arial" w:hAnsi="Arial"/>
          <w:b/>
          <w:bCs/>
          <w:color w:val="1A5276"/>
          <w:sz w:val="26"/>
          <w:szCs w:val="26"/>
        </w:rPr>
        <w:t xml:space="preserve">SmartSales In-Store Analytics Platform</w:t>
      </w:r>
    </w:p>
    <w:p>
      <w:pPr>
        <w:spacing w:after="50" w:before="0"/>
        <w:jc w:val="center"/>
      </w:pPr>
      <w:r>
        <w:rPr>
          <w:rFonts w:ascii="Arial" w:cs="Arial" w:eastAsia="Arial" w:hAnsi="Arial"/>
          <w:i/>
          <w:iCs/>
          <w:color w:val="555555"/>
          <w:sz w:val="18"/>
          <w:szCs w:val="18"/>
        </w:rPr>
        <w:t xml:space="preserve">Implementatie &amp; Beheer — Referentie SOK-2026-CG-001</w:t>
      </w:r>
    </w:p>
    <w:p>
      <w:pPr>
        <w:pBdr>
          <w:top w:val="single" w:color="003366" w:sz="6" w:space="4"/>
          <w:bottom w:val="single" w:color="003366" w:sz="6" w:space="4"/>
        </w:pBdr>
        <w:spacing w:after="140" w:before="140"/>
        <w:jc w:val="center"/>
      </w:pPr>
      <w:r>
        <w:rPr>
          <w:rFonts w:ascii="Arial" w:cs="Arial" w:eastAsia="Arial" w:hAnsi="Arial"/>
          <w:b/>
          <w:bCs/>
          <w:color w:val="003366"/>
          <w:sz w:val="19"/>
          <w:szCs w:val="19"/>
        </w:rPr>
        <w:t xml:space="preserve">Gesloten te Brussel op 3 maart 2026</w:t>
      </w:r>
    </w:p>
    <w:p>
      <w:pPr>
        <w:spacing w:after="0" w:before="55"/>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AAAAAA" w:sz="4"/>
              <w:left w:val="single" w:color="AAAAAA" w:sz="4"/>
              <w:bottom w:val="single" w:color="AAAAAA" w:sz="4"/>
              <w:right w:val="single" w:color="AAAAAA" w:sz="4"/>
            </w:tcBorders>
            <w:shd w:fill="00336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 DIENSTVERLENER</w:t>
            </w:r>
          </w:p>
        </w:tc>
        <w:tc>
          <w:tcPr>
            <w:tcBorders>
              <w:top w:val="single" w:color="AAAAAA" w:sz="4"/>
              <w:left w:val="single" w:color="AAAAAA" w:sz="4"/>
              <w:bottom w:val="single" w:color="AAAAAA" w:sz="4"/>
              <w:right w:val="single" w:color="AAAAAA" w:sz="4"/>
            </w:tcBorders>
            <w:shd w:fill="1A6B3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 KLANT</w:t>
            </w:r>
          </w:p>
        </w:tc>
      </w:tr>
      <w:tr>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EASI Group NV</w:t>
            </w:r>
          </w:p>
          <w:p>
            <w:r>
              <w:rPr>
                <w:rFonts w:ascii="Arial" w:cs="Arial" w:eastAsia="Arial" w:hAnsi="Arial"/>
                <w:sz w:val="17"/>
                <w:szCs w:val="17"/>
              </w:rPr>
              <w:t xml:space="preserve">Maatschappelijke zetel: 1000 Brussel</w:t>
            </w:r>
          </w:p>
          <w:p>
            <w:r>
              <w:rPr>
                <w:rFonts w:ascii="Arial" w:cs="Arial" w:eastAsia="Arial" w:hAnsi="Arial"/>
                <w:sz w:val="17"/>
                <w:szCs w:val="17"/>
              </w:rPr>
              <w:t xml:space="preserve">Ondernemingsnummer: BE 0123.456.789</w:t>
            </w:r>
          </w:p>
          <w:p>
            <w:r>
              <w:rPr>
                <w:rFonts w:ascii="Arial" w:cs="Arial" w:eastAsia="Arial" w:hAnsi="Arial"/>
                <w:sz w:val="17"/>
                <w:szCs w:val="17"/>
              </w:rPr>
              <w:t xml:space="preserve">Vertegenwoordigd door: Patrick De Coster, CEO</w:t>
            </w:r>
          </w:p>
        </w:tc>
        <w:tc>
          <w:tcPr>
            <w:tcBorders>
              <w:top w:val="single" w:color="AAAAAA" w:sz="4"/>
              <w:left w:val="single" w:color="AAAAAA" w:sz="4"/>
              <w:bottom w:val="single" w:color="AAAAAA" w:sz="4"/>
              <w:right w:val="single" w:color="AAAAAA" w:sz="4"/>
            </w:tcBorders>
            <w:shd w:fill="D5F0E0" w:val="clear"/>
            <w:tcMar>
              <w:top w:type="dxa" w:w="80"/>
              <w:left w:type="dxa" w:w="120"/>
              <w:bottom w:type="dxa" w:w="80"/>
              <w:right w:type="dxa" w:w="120"/>
            </w:tcMar>
          </w:tcPr>
          <w:p>
            <w:r>
              <w:rPr>
                <w:rFonts w:ascii="Arial" w:cs="Arial" w:eastAsia="Arial" w:hAnsi="Arial"/>
                <w:b/>
                <w:bCs/>
                <w:sz w:val="19"/>
                <w:szCs w:val="19"/>
              </w:rPr>
              <w:t xml:space="preserve">Colruyt Group NV</w:t>
            </w:r>
          </w:p>
          <w:p>
            <w:r>
              <w:rPr>
                <w:rFonts w:ascii="Arial" w:cs="Arial" w:eastAsia="Arial" w:hAnsi="Arial"/>
                <w:sz w:val="17"/>
                <w:szCs w:val="17"/>
              </w:rPr>
              <w:t xml:space="preserve">Maatschappelijke zetel: Edingensesteenweg 196, 1500 Halle</w:t>
            </w:r>
          </w:p>
          <w:p>
            <w:r>
              <w:rPr>
                <w:rFonts w:ascii="Arial" w:cs="Arial" w:eastAsia="Arial" w:hAnsi="Arial"/>
                <w:sz w:val="17"/>
                <w:szCs w:val="17"/>
              </w:rPr>
              <w:t xml:space="preserve">Ondernemingsnummer: BE 0400.378.485</w:t>
            </w:r>
          </w:p>
          <w:p>
            <w:r>
              <w:rPr>
                <w:rFonts w:ascii="Arial" w:cs="Arial" w:eastAsia="Arial" w:hAnsi="Arial"/>
                <w:i/>
                <w:iCs/>
                <w:sz w:val="17"/>
                <w:szCs w:val="17"/>
              </w:rPr>
              <w:t xml:space="preserve">Vertegenwoordigd door: [naam bevoegde vertegenwoordiger]</w:t>
            </w:r>
          </w:p>
        </w:tc>
      </w:tr>
    </w:tbl>
    <w:p>
      <w:pPr>
        <w:spacing w:after="0" w:before="65"/>
      </w:pPr>
    </w:p>
    <w:p>
      <w:pPr>
        <w:spacing w:after="52" w:before="52"/>
        <w:jc w:val="both"/>
      </w:pPr>
      <w:r>
        <w:rPr>
          <w:rFonts w:ascii="Arial" w:cs="Arial" w:eastAsia="Arial" w:hAnsi="Arial"/>
          <w:sz w:val="19"/>
          <w:szCs w:val="19"/>
        </w:rPr>
        <w:t xml:space="preserve">Hierna afzonderlijk aangeduid als “de Partij” en gezamenlijk als “de Partijen”.</w:t>
      </w:r>
    </w:p>
    <w:p>
      <w:pPr>
        <w:spacing w:after="0" w:before="65"/>
      </w:pPr>
    </w:p>
    <w:p>
      <w:pPr>
        <w:spacing w:after="52" w:before="52"/>
        <w:jc w:val="both"/>
      </w:pPr>
      <w:r>
        <w:rPr>
          <w:rFonts w:ascii="Arial" w:cs="Arial" w:eastAsia="Arial" w:hAnsi="Arial"/>
          <w:b/>
          <w:bCs/>
          <w:sz w:val="19"/>
          <w:szCs w:val="19"/>
        </w:rPr>
        <w:t xml:space="preserve">HEBBEN OVERWOGEN ALS VOLGT:</w:t>
      </w:r>
    </w:p>
    <w:p>
      <w:pPr>
        <w:spacing w:after="0" w:before="35"/>
      </w:pPr>
    </w:p>
    <w:p>
      <w:pPr>
        <w:spacing w:after="52" w:before="52"/>
        <w:jc w:val="both"/>
      </w:pPr>
      <w:r>
        <w:rPr>
          <w:rFonts w:ascii="Arial" w:cs="Arial" w:eastAsia="Arial" w:hAnsi="Arial"/>
          <w:sz w:val="19"/>
          <w:szCs w:val="19"/>
        </w:rPr>
        <w:t xml:space="preserve">(A) EASI Group heeft het SmartSales in-store analytics platform ontwikkeld, een gespecialiseerde softwareoplossing voor de realtime analyse van winkelgedrag, stockbeheer en verkoopsperformantie in retailomgevingen;</w:t>
      </w:r>
    </w:p>
    <w:p>
      <w:pPr>
        <w:spacing w:after="52" w:before="52"/>
        <w:jc w:val="both"/>
      </w:pPr>
      <w:r>
        <w:rPr>
          <w:rFonts w:ascii="Arial" w:cs="Arial" w:eastAsia="Arial" w:hAnsi="Arial"/>
          <w:sz w:val="19"/>
          <w:szCs w:val="19"/>
        </w:rPr>
        <w:t xml:space="preserve">(B) Colruyt Group wenst gebruik te maken van het SmartSales platform ter ondersteuning van haar retailactiviteiten, met een gefaseerde uitrol over meerdere vestigingen;</w:t>
      </w:r>
    </w:p>
    <w:p>
      <w:pPr>
        <w:spacing w:after="52" w:before="52"/>
        <w:jc w:val="both"/>
      </w:pPr>
      <w:r>
        <w:rPr>
          <w:rFonts w:ascii="Arial" w:cs="Arial" w:eastAsia="Arial" w:hAnsi="Arial"/>
          <w:sz w:val="19"/>
          <w:szCs w:val="19"/>
        </w:rPr>
        <w:t xml:space="preserve">(C) De Partijen wensen de modaliteiten van deze samenwerking nauwkeurig vast te leggen in een juridisch bindende samenwerkingsovereenkomst.</w:t>
      </w:r>
    </w:p>
    <w:p>
      <w:pPr>
        <w:spacing w:after="0" w:before="55"/>
      </w:pPr>
    </w:p>
    <w:p>
      <w:pPr>
        <w:spacing w:after="52" w:before="52"/>
        <w:jc w:val="both"/>
      </w:pPr>
      <w:r>
        <w:rPr>
          <w:rFonts w:ascii="Arial" w:cs="Arial" w:eastAsia="Arial" w:hAnsi="Arial"/>
          <w:b/>
          <w:bCs/>
          <w:sz w:val="19"/>
          <w:szCs w:val="19"/>
        </w:rPr>
        <w:t xml:space="preserve">EN ZIJN ALS VOLGT OVEREENGEKOMEN:</w:t>
      </w:r>
    </w:p>
    <w:p>
      <w:pPr>
        <w:spacing w:after="0" w:before="70"/>
      </w:pPr>
    </w:p>
    <w:p>
      <w:pPr>
        <w:pStyle w:val="Heading1"/>
        <w:pBdr>
          <w:bottom w:val="single" w:color="003366" w:sz="6" w:space="2"/>
        </w:pBdr>
        <w:spacing w:after="90" w:before="280"/>
      </w:pPr>
      <w:r>
        <w:rPr>
          <w:rFonts w:ascii="Arial" w:cs="Arial" w:eastAsia="Arial" w:hAnsi="Arial"/>
          <w:b/>
          <w:bCs/>
          <w:color w:val="003366"/>
          <w:sz w:val="24"/>
          <w:szCs w:val="24"/>
        </w:rPr>
        <w:t xml:space="preserve">Artikel 1 — Voorwerp van de Overeenkomst</w:t>
      </w:r>
    </w:p>
    <w:p>
      <w:pPr>
        <w:pStyle w:val="Heading2"/>
        <w:spacing w:after="55" w:before="170"/>
      </w:pPr>
      <w:r>
        <w:rPr>
          <w:rFonts w:ascii="Arial" w:cs="Arial" w:eastAsia="Arial" w:hAnsi="Arial"/>
          <w:b/>
          <w:bCs/>
          <w:color w:val="1A5276"/>
          <w:sz w:val="21"/>
          <w:szCs w:val="21"/>
        </w:rPr>
        <w:t xml:space="preserve">1.1 Omschrijving</w:t>
      </w:r>
    </w:p>
    <w:p>
      <w:pPr>
        <w:spacing w:after="52" w:before="52"/>
        <w:jc w:val="both"/>
      </w:pPr>
      <w:r>
        <w:rPr>
          <w:rFonts w:ascii="Arial" w:cs="Arial" w:eastAsia="Arial" w:hAnsi="Arial"/>
          <w:sz w:val="19"/>
          <w:szCs w:val="19"/>
        </w:rPr>
        <w:t xml:space="preserve">Deze samenwerkingsovereenkomst (hierna: “de Overeenkomst”) heeft tot voorwerp de implementatie, inbedrijfstelling en het doorlopend technisch beheer van het SmartSales in-store analytics platform (hierna: “het Platform”) door EASI Group ten behoeve van Colruyt Group. Het Platform omvat, zonder limitatief te zijn: realtime data-analyse van winkelbezoekersstromen, geautomatiseerde rapportage van verkoopsindicatoren, integratie met bestaande kassasystemen en dashboardvisualisaties op vestigingsniveau.</w:t>
      </w:r>
    </w:p>
    <w:p>
      <w:pPr>
        <w:pStyle w:val="Heading2"/>
        <w:spacing w:after="55" w:before="170"/>
      </w:pPr>
      <w:r>
        <w:rPr>
          <w:rFonts w:ascii="Arial" w:cs="Arial" w:eastAsia="Arial" w:hAnsi="Arial"/>
          <w:b/>
          <w:bCs/>
          <w:color w:val="1A5276"/>
          <w:sz w:val="21"/>
          <w:szCs w:val="21"/>
        </w:rPr>
        <w:t xml:space="preserve">1.2 Gefaseerde uitrol</w:t>
      </w:r>
    </w:p>
    <w:p>
      <w:pPr>
        <w:spacing w:after="52" w:before="52"/>
        <w:jc w:val="both"/>
      </w:pPr>
      <w:r>
        <w:rPr>
          <w:rFonts w:ascii="Arial" w:cs="Arial" w:eastAsia="Arial" w:hAnsi="Arial"/>
          <w:sz w:val="19"/>
          <w:szCs w:val="19"/>
        </w:rPr>
        <w:t xml:space="preserve">De implementatie geschiedt in twee afzonderlijke fasen:</w:t>
      </w:r>
    </w:p>
    <w:p>
      <w:pPr>
        <w:spacing w:after="0" w:before="35"/>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600"/>
      </w:tblGrid>
      <w:tr>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Fase</w:t>
            </w:r>
          </w:p>
        </w:tc>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Vestigingen</w:t>
            </w:r>
          </w:p>
        </w:tc>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Kickoff</w:t>
            </w:r>
          </w:p>
        </w:tc>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Beoogde go-live</w:t>
            </w:r>
          </w:p>
        </w:tc>
      </w:tr>
      <w:tr>
        <w:tc>
          <w:tcPr>
            <w:tcBorders>
              <w:top w:val="single" w:color="AAAAAA" w:sz="4"/>
              <w:left w:val="single" w:color="AAAAAA" w:sz="4"/>
              <w:bottom w:val="single" w:color="AAAAAA" w:sz="4"/>
              <w:right w:val="single" w:color="AAAAAA" w:sz="4"/>
            </w:tcBorders>
            <w:shd w:fill="D6E4F0"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Fase 1</w:t>
            </w:r>
          </w:p>
        </w:tc>
        <w:tc>
          <w:tcPr>
            <w:tcBorders>
              <w:top w:val="single" w:color="AAAAAA" w:sz="4"/>
              <w:left w:val="single" w:color="AAAAAA" w:sz="4"/>
              <w:bottom w:val="single" w:color="AAAAAA" w:sz="4"/>
              <w:right w:val="single" w:color="AAAAAA" w:sz="4"/>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12 vestigingen (pilootgroep)</w:t>
            </w:r>
          </w:p>
        </w:tc>
        <w:tc>
          <w:tcPr>
            <w:tcBorders>
              <w:top w:val="single" w:color="AAAAAA" w:sz="4"/>
              <w:left w:val="single" w:color="AAAAAA" w:sz="4"/>
              <w:bottom w:val="single" w:color="AAAAAA" w:sz="4"/>
              <w:right w:val="single" w:color="AAAAAA" w:sz="4"/>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April 2026</w:t>
            </w:r>
          </w:p>
        </w:tc>
        <w:tc>
          <w:tcPr>
            <w:tcBorders>
              <w:top w:val="single" w:color="AAAAAA" w:sz="4"/>
              <w:left w:val="single" w:color="AAAAAA" w:sz="4"/>
              <w:bottom w:val="single" w:color="AAAAAA" w:sz="4"/>
              <w:right w:val="single" w:color="AAAAAA" w:sz="4"/>
            </w:tcBorders>
            <w:shd w:fill="D6E4F0"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September 2026</w:t>
            </w:r>
          </w:p>
        </w:tc>
      </w:tr>
      <w:tr>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Fase 2</w:t>
            </w:r>
          </w:p>
        </w:tc>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47 vestigingen (uitbreiding)</w:t>
            </w:r>
          </w:p>
        </w:tc>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iCs/>
                <w:color w:val="000000"/>
                <w:sz w:val="17"/>
                <w:szCs w:val="17"/>
              </w:rPr>
              <w:t xml:space="preserve">Na formele go-live Fase 1 en schriftelijke bevestiging Colruyt Group</w:t>
            </w:r>
          </w:p>
        </w:tc>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iCs/>
                <w:color w:val="000000"/>
                <w:sz w:val="17"/>
                <w:szCs w:val="17"/>
              </w:rPr>
              <w:t xml:space="preserve">Nader te bepalen in addendum</w:t>
            </w:r>
          </w:p>
        </w:tc>
      </w:tr>
    </w:tbl>
    <w:p>
      <w:pPr>
        <w:spacing w:after="0" w:before="80"/>
      </w:pPr>
    </w:p>
    <w:p>
      <w:pPr>
        <w:spacing w:after="52" w:before="52"/>
        <w:jc w:val="both"/>
      </w:pPr>
      <w:r>
        <w:rPr>
          <w:rFonts w:ascii="Arial" w:cs="Arial" w:eastAsia="Arial" w:hAnsi="Arial"/>
          <w:sz w:val="19"/>
          <w:szCs w:val="19"/>
        </w:rPr>
        <w:t xml:space="preserve">De go-live van Fase 2 vereist een schriftelijke evaluatie van Fase 1 en uitdrukkelijke schriftelijke goedkeuring van beide Partijen. De start van Fase 2 houdt geen automatische verplichting in voor Colruyt Group, doch vormt een inspanningsverbintenis vanwege beide Partijen.</w:t>
      </w:r>
    </w:p>
    <w:p>
      <w:pPr>
        <w:spacing w:after="0" w:before="70"/>
      </w:pPr>
    </w:p>
    <w:p>
      <w:pPr>
        <w:pStyle w:val="Heading1"/>
        <w:pBdr>
          <w:bottom w:val="single" w:color="003366" w:sz="6" w:space="2"/>
        </w:pBdr>
        <w:spacing w:after="90" w:before="280"/>
      </w:pPr>
      <w:r>
        <w:rPr>
          <w:rFonts w:ascii="Arial" w:cs="Arial" w:eastAsia="Arial" w:hAnsi="Arial"/>
          <w:b/>
          <w:bCs/>
          <w:color w:val="003366"/>
          <w:sz w:val="24"/>
          <w:szCs w:val="24"/>
        </w:rPr>
        <w:t xml:space="preserve">Artikel 2 — Projecttijdlijn en Mijlpalen</w:t>
      </w:r>
    </w:p>
    <w:p>
      <w:pPr>
        <w:pStyle w:val="Heading2"/>
        <w:spacing w:after="55" w:before="170"/>
      </w:pPr>
      <w:r>
        <w:rPr>
          <w:rFonts w:ascii="Arial" w:cs="Arial" w:eastAsia="Arial" w:hAnsi="Arial"/>
          <w:b/>
          <w:bCs/>
          <w:color w:val="1A5276"/>
          <w:sz w:val="21"/>
          <w:szCs w:val="21"/>
        </w:rPr>
        <w:t xml:space="preserve">2.1 Projectkickoff</w:t>
      </w:r>
    </w:p>
    <w:p>
      <w:pPr>
        <w:spacing w:after="52" w:before="52"/>
        <w:jc w:val="both"/>
      </w:pPr>
      <w:r>
        <w:rPr>
          <w:rFonts w:ascii="Arial" w:cs="Arial" w:eastAsia="Arial" w:hAnsi="Arial"/>
          <w:sz w:val="19"/>
          <w:szCs w:val="19"/>
        </w:rPr>
        <w:t xml:space="preserve">De officiële projectkickoff vindt plaats in april 2026, op een door de Partijen in onderling overleg te bepalen datum. De kickoff omvat: (i) de formele samenstelling en bekendmaking van de projectteams van beide Partijen, (ii) de finale validatie van de technische vereisten en integratiespecificaties, (iii) de vaststelling van het gedetailleerd projectplan met tussentijdse mijlpalen, en (iv) de activering van het dedicated communicatiekanaal bedoeld in Artikel 5.</w:t>
      </w:r>
    </w:p>
    <w:p>
      <w:pPr>
        <w:pStyle w:val="Heading2"/>
        <w:spacing w:after="55" w:before="170"/>
      </w:pPr>
      <w:r>
        <w:rPr>
          <w:rFonts w:ascii="Arial" w:cs="Arial" w:eastAsia="Arial" w:hAnsi="Arial"/>
          <w:b/>
          <w:bCs/>
          <w:color w:val="1A5276"/>
          <w:sz w:val="21"/>
          <w:szCs w:val="21"/>
        </w:rPr>
        <w:t xml:space="preserve">2.2 Mijlpalen Fase 1</w:t>
      </w:r>
    </w:p>
    <w:p>
      <w:pPr>
        <w:spacing w:after="52" w:before="52"/>
        <w:jc w:val="both"/>
      </w:pPr>
      <w:r>
        <w:rPr>
          <w:rFonts w:ascii="Arial" w:cs="Arial" w:eastAsia="Arial" w:hAnsi="Arial"/>
          <w:sz w:val="19"/>
          <w:szCs w:val="19"/>
        </w:rPr>
        <w:t xml:space="preserve">De navolgende mijlpalen zijn bindend voor Fase 1, behoudens schriftelijk overeengekomen uitstel:</w:t>
      </w:r>
    </w:p>
    <w:p>
      <w:pPr>
        <w:pStyle w:val="ListParagraph"/>
        <w:numPr>
          <w:ilvl w:val="0"/>
          <w:numId w:val="2"/>
        </w:numPr>
        <w:spacing w:after="44" w:before="44"/>
      </w:pPr>
      <w:r>
        <w:rPr>
          <w:rFonts w:ascii="Arial" w:cs="Arial" w:eastAsia="Arial" w:hAnsi="Arial"/>
          <w:sz w:val="19"/>
          <w:szCs w:val="19"/>
        </w:rPr>
        <w:t xml:space="preserve">April 2026: Kickoff en technische inventarisatie van de 12 pilootvestigingen;</w:t>
      </w:r>
    </w:p>
    <w:p>
      <w:pPr>
        <w:pStyle w:val="ListParagraph"/>
        <w:numPr>
          <w:ilvl w:val="0"/>
          <w:numId w:val="2"/>
        </w:numPr>
        <w:spacing w:after="44" w:before="44"/>
      </w:pPr>
      <w:r>
        <w:rPr>
          <w:rFonts w:ascii="Arial" w:cs="Arial" w:eastAsia="Arial" w:hAnsi="Arial"/>
          <w:sz w:val="19"/>
          <w:szCs w:val="19"/>
        </w:rPr>
        <w:t xml:space="preserve">Juni 2026: Oplevering van de testomgeving en interne validatie door EASI Group;</w:t>
      </w:r>
    </w:p>
    <w:p>
      <w:pPr>
        <w:pStyle w:val="ListParagraph"/>
        <w:numPr>
          <w:ilvl w:val="0"/>
          <w:numId w:val="2"/>
        </w:numPr>
        <w:spacing w:after="44" w:before="44"/>
      </w:pPr>
      <w:r>
        <w:rPr>
          <w:rFonts w:ascii="Arial" w:cs="Arial" w:eastAsia="Arial" w:hAnsi="Arial"/>
          <w:sz w:val="19"/>
          <w:szCs w:val="19"/>
        </w:rPr>
        <w:t xml:space="preserve">Juli–augustus 2026: User acceptance testing (UAT) door Colruyt Group, opleiding sleutelpersoneel;</w:t>
      </w:r>
    </w:p>
    <w:p>
      <w:pPr>
        <w:pStyle w:val="ListParagraph"/>
        <w:numPr>
          <w:ilvl w:val="0"/>
          <w:numId w:val="2"/>
        </w:numPr>
        <w:spacing w:after="44" w:before="44"/>
      </w:pPr>
      <w:r>
        <w:rPr>
          <w:rFonts w:ascii="Arial" w:cs="Arial" w:eastAsia="Arial" w:hAnsi="Arial"/>
          <w:sz w:val="19"/>
          <w:szCs w:val="19"/>
        </w:rPr>
        <w:t xml:space="preserve">September 2026: Go-live Fase 1 — productieomgeving operationeel in alle 12 pilootvestigingen;</w:t>
      </w:r>
    </w:p>
    <w:p>
      <w:pPr>
        <w:pStyle w:val="ListParagraph"/>
        <w:numPr>
          <w:ilvl w:val="0"/>
          <w:numId w:val="2"/>
        </w:numPr>
        <w:spacing w:after="44" w:before="44"/>
      </w:pPr>
      <w:r>
        <w:rPr>
          <w:rFonts w:ascii="Arial" w:cs="Arial" w:eastAsia="Arial" w:hAnsi="Arial"/>
          <w:sz w:val="19"/>
          <w:szCs w:val="19"/>
        </w:rPr>
        <w:t xml:space="preserve">Oktober 2026: Post-go-live evaluatierapport en formele fase-1-afname door beide Partijen.</w:t>
      </w:r>
    </w:p>
    <w:p>
      <w:pPr>
        <w:spacing w:after="0" w:before="40"/>
      </w:pPr>
    </w:p>
    <w:p>
      <w:pPr>
        <w:spacing w:after="52" w:before="52"/>
        <w:jc w:val="both"/>
      </w:pPr>
      <w:r>
        <w:rPr>
          <w:rFonts w:ascii="Arial" w:cs="Arial" w:eastAsia="Arial" w:hAnsi="Arial"/>
          <w:sz w:val="19"/>
          <w:szCs w:val="19"/>
        </w:rPr>
        <w:t xml:space="preserve">Vertraging in een mijlpaal veroorzaakt door Colruyt Group (waaronder maar niet beperkt tot laattijdige aanlevering van toegangen, infrastructuur of testpersoneel) schort de daaropvolgende mijlpalen op met een gelijke periode, zonder aansprakelijkheid voor EASI Group.</w:t>
      </w:r>
    </w:p>
    <w:p>
      <w:pPr>
        <w:spacing w:after="0" w:before="70"/>
      </w:pPr>
    </w:p>
    <w:p>
      <w:pPr>
        <w:pStyle w:val="Heading1"/>
        <w:pBdr>
          <w:bottom w:val="single" w:color="003366" w:sz="6" w:space="2"/>
        </w:pBdr>
        <w:spacing w:after="90" w:before="280"/>
      </w:pPr>
      <w:r>
        <w:rPr>
          <w:rFonts w:ascii="Arial" w:cs="Arial" w:eastAsia="Arial" w:hAnsi="Arial"/>
          <w:b/>
          <w:bCs/>
          <w:color w:val="003366"/>
          <w:sz w:val="24"/>
          <w:szCs w:val="24"/>
        </w:rPr>
        <w:t xml:space="preserve">Artikel 3 — Financiële Voorwaarden</w:t>
      </w:r>
    </w:p>
    <w:p>
      <w:pPr>
        <w:pStyle w:val="Heading2"/>
        <w:spacing w:after="55" w:before="170"/>
      </w:pPr>
      <w:r>
        <w:rPr>
          <w:rFonts w:ascii="Arial" w:cs="Arial" w:eastAsia="Arial" w:hAnsi="Arial"/>
          <w:b/>
          <w:bCs/>
          <w:color w:val="1A5276"/>
          <w:sz w:val="21"/>
          <w:szCs w:val="21"/>
        </w:rPr>
        <w:t xml:space="preserve">3.1 Projectfee</w:t>
      </w:r>
    </w:p>
    <w:p>
      <w:pPr>
        <w:spacing w:after="52" w:before="52"/>
        <w:jc w:val="both"/>
      </w:pPr>
      <w:r>
        <w:rPr>
          <w:rFonts w:ascii="Arial" w:cs="Arial" w:eastAsia="Arial" w:hAnsi="Arial"/>
          <w:sz w:val="19"/>
          <w:szCs w:val="19"/>
        </w:rPr>
        <w:t xml:space="preserve">Colruyt Group betaalt aan EASI Group een eenmalige projectfee van € 220.000 (tweehonderdtwintigduizend euro), exclusief BTW, voor de volledige implementatie van Fase 1. De projectfee wordt als volgt gefactureerd:</w:t>
      </w:r>
    </w:p>
    <w:p>
      <w:pPr>
        <w:pStyle w:val="ListParagraph"/>
        <w:numPr>
          <w:ilvl w:val="0"/>
          <w:numId w:val="2"/>
        </w:numPr>
        <w:spacing w:after="44" w:before="44"/>
      </w:pPr>
      <w:r>
        <w:rPr>
          <w:rFonts w:ascii="Arial" w:cs="Arial" w:eastAsia="Arial" w:hAnsi="Arial"/>
          <w:sz w:val="19"/>
          <w:szCs w:val="19"/>
        </w:rPr>
        <w:t xml:space="preserve">30% (€ 66.000) bij ondertekening van deze Overeenkomst;</w:t>
      </w:r>
    </w:p>
    <w:p>
      <w:pPr>
        <w:pStyle w:val="ListParagraph"/>
        <w:numPr>
          <w:ilvl w:val="0"/>
          <w:numId w:val="2"/>
        </w:numPr>
        <w:spacing w:after="44" w:before="44"/>
      </w:pPr>
      <w:r>
        <w:rPr>
          <w:rFonts w:ascii="Arial" w:cs="Arial" w:eastAsia="Arial" w:hAnsi="Arial"/>
          <w:sz w:val="19"/>
          <w:szCs w:val="19"/>
        </w:rPr>
        <w:t xml:space="preserve">40% (€ 88.000) bij oplevering van de testomgeving (mijlpaal juni 2026);</w:t>
      </w:r>
    </w:p>
    <w:p>
      <w:pPr>
        <w:pStyle w:val="ListParagraph"/>
        <w:numPr>
          <w:ilvl w:val="0"/>
          <w:numId w:val="2"/>
        </w:numPr>
        <w:spacing w:after="44" w:before="44"/>
      </w:pPr>
      <w:r>
        <w:rPr>
          <w:rFonts w:ascii="Arial" w:cs="Arial" w:eastAsia="Arial" w:hAnsi="Arial"/>
          <w:sz w:val="19"/>
          <w:szCs w:val="19"/>
        </w:rPr>
        <w:t xml:space="preserve">30% (€ 66.000) bij formele go-live Fase 1 (mijlpaal september 2026).</w:t>
      </w:r>
    </w:p>
    <w:p>
      <w:pPr>
        <w:spacing w:after="0" w:before="40"/>
      </w:pPr>
    </w:p>
    <w:p>
      <w:pPr>
        <w:spacing w:after="52" w:before="52"/>
        <w:jc w:val="both"/>
      </w:pPr>
      <w:r>
        <w:rPr>
          <w:rFonts w:ascii="Arial" w:cs="Arial" w:eastAsia="Arial" w:hAnsi="Arial"/>
          <w:sz w:val="19"/>
          <w:szCs w:val="19"/>
        </w:rPr>
        <w:t xml:space="preserve">De projectfee voor Fase 2 wordt vastgesteld in een afzonderlijk addendum bij aanvang van Fase 2, op basis van een te onderhandelen offerte.</w:t>
      </w:r>
    </w:p>
    <w:p>
      <w:pPr>
        <w:pStyle w:val="Heading2"/>
        <w:spacing w:after="55" w:before="170"/>
      </w:pPr>
      <w:r>
        <w:rPr>
          <w:rFonts w:ascii="Arial" w:cs="Arial" w:eastAsia="Arial" w:hAnsi="Arial"/>
          <w:b/>
          <w:bCs/>
          <w:color w:val="1A5276"/>
          <w:sz w:val="21"/>
          <w:szCs w:val="21"/>
        </w:rPr>
        <w:t xml:space="preserve">3.2 Maandelijkse onderhoudsvergoeding</w:t>
      </w:r>
    </w:p>
    <w:p>
      <w:pPr>
        <w:spacing w:after="52" w:before="52"/>
        <w:jc w:val="both"/>
      </w:pPr>
      <w:r>
        <w:rPr>
          <w:rFonts w:ascii="Arial" w:cs="Arial" w:eastAsia="Arial" w:hAnsi="Arial"/>
          <w:sz w:val="19"/>
          <w:szCs w:val="19"/>
        </w:rPr>
        <w:t xml:space="preserve">Vanaf de go-live van de betrokken fase is Colruyt Group een maandelijkse onderhouds- en beheervergoeding verschuldigd van:</w:t>
      </w:r>
    </w:p>
    <w:p>
      <w:pPr>
        <w:pStyle w:val="ListParagraph"/>
        <w:numPr>
          <w:ilvl w:val="0"/>
          <w:numId w:val="2"/>
        </w:numPr>
        <w:spacing w:after="44" w:before="44"/>
      </w:pPr>
      <w:r>
        <w:rPr>
          <w:rFonts w:ascii="Arial" w:cs="Arial" w:eastAsia="Arial" w:hAnsi="Arial"/>
          <w:sz w:val="19"/>
          <w:szCs w:val="19"/>
        </w:rPr>
        <w:t xml:space="preserve">Fase 1 (12 vestigingen): € 2.400 per maand, exclusief BTW;</w:t>
      </w:r>
    </w:p>
    <w:p>
      <w:pPr>
        <w:pStyle w:val="ListParagraph"/>
        <w:numPr>
          <w:ilvl w:val="0"/>
          <w:numId w:val="2"/>
        </w:numPr>
        <w:spacing w:after="44" w:before="44"/>
      </w:pPr>
      <w:r>
        <w:rPr>
          <w:rFonts w:ascii="Arial" w:cs="Arial" w:eastAsia="Arial" w:hAnsi="Arial"/>
          <w:sz w:val="19"/>
          <w:szCs w:val="19"/>
        </w:rPr>
        <w:t xml:space="preserve">Fase 2 (47 vestigingen): € 2.400 per maand bijkomend, exclusief BTW (totaal € 4.800/maand na volledige uitrol).</w:t>
      </w:r>
    </w:p>
    <w:p>
      <w:pPr>
        <w:spacing w:after="0" w:before="40"/>
      </w:pPr>
    </w:p>
    <w:p>
      <w:pPr>
        <w:spacing w:after="52" w:before="52"/>
        <w:jc w:val="both"/>
      </w:pPr>
      <w:r>
        <w:rPr>
          <w:rFonts w:ascii="Arial" w:cs="Arial" w:eastAsia="Arial" w:hAnsi="Arial"/>
          <w:sz w:val="19"/>
          <w:szCs w:val="19"/>
        </w:rPr>
        <w:t xml:space="preserve">De maandelijkse vergoeding dekt: platformmonitoring, reguliere updates en patches, technische helpdesk via de dedicated supportlijn, en maandelijkse beschikbaarheidsrapportage. De vergoeding is niet verschuldigd voor maanden waarin de beschikbaarheidsgarantie van 99,5% aantoonbaar niet werd gehaald door toedoen van EASI Group, behoudens geplande onderhoudsvensters.</w:t>
      </w:r>
    </w:p>
    <w:p>
      <w:pPr>
        <w:pStyle w:val="Heading2"/>
        <w:spacing w:after="55" w:before="170"/>
      </w:pPr>
      <w:r>
        <w:rPr>
          <w:rFonts w:ascii="Arial" w:cs="Arial" w:eastAsia="Arial" w:hAnsi="Arial"/>
          <w:b/>
          <w:bCs/>
          <w:color w:val="1A5276"/>
          <w:sz w:val="21"/>
          <w:szCs w:val="21"/>
        </w:rPr>
        <w:t xml:space="preserve">3.3 Betalingstermijn en facturatie</w:t>
      </w:r>
    </w:p>
    <w:p>
      <w:pPr>
        <w:spacing w:after="52" w:before="52"/>
        <w:jc w:val="both"/>
      </w:pPr>
      <w:r>
        <w:rPr>
          <w:rFonts w:ascii="Arial" w:cs="Arial" w:eastAsia="Arial" w:hAnsi="Arial"/>
          <w:sz w:val="19"/>
          <w:szCs w:val="19"/>
        </w:rPr>
        <w:t xml:space="preserve">Alle facturen zijn betaalbaar binnen dertig (30) kalenderdagen na factuurdatum. Bij laattijdige betaling zijn van rechtswege en zonder ingebrekestelling verwijlintresten verschuldigd conform de wet van 2 augustus 2002 betreffende de bestrijding van betalingsachterstand bij handelstransacties, vermeerderd met een forfaitaire schadevergoeding van € 40 per achterstallige factuur. Facturen worden maandelijks opgesteld en vermelden het projectreferentienummer SOK-2026-CG-001.</w:t>
      </w:r>
    </w:p>
    <w:p>
      <w:pPr>
        <w:spacing w:after="0" w:before="70"/>
      </w:pPr>
    </w:p>
    <w:p>
      <w:pPr>
        <w:pStyle w:val="Heading1"/>
        <w:pBdr>
          <w:bottom w:val="single" w:color="003366" w:sz="6" w:space="2"/>
        </w:pBdr>
        <w:spacing w:after="90" w:before="280"/>
      </w:pPr>
      <w:r>
        <w:rPr>
          <w:rFonts w:ascii="Arial" w:cs="Arial" w:eastAsia="Arial" w:hAnsi="Arial"/>
          <w:b/>
          <w:bCs/>
          <w:color w:val="003366"/>
          <w:sz w:val="24"/>
          <w:szCs w:val="24"/>
        </w:rPr>
        <w:t xml:space="preserve">Artikel 4 — Service Level Agreement (SLA)</w:t>
      </w:r>
    </w:p>
    <w:p>
      <w:pPr>
        <w:pStyle w:val="Heading2"/>
        <w:spacing w:after="55" w:before="170"/>
      </w:pPr>
      <w:r>
        <w:rPr>
          <w:rFonts w:ascii="Arial" w:cs="Arial" w:eastAsia="Arial" w:hAnsi="Arial"/>
          <w:b/>
          <w:bCs/>
          <w:color w:val="1A5276"/>
          <w:sz w:val="21"/>
          <w:szCs w:val="21"/>
        </w:rPr>
        <w:t xml:space="preserve">4.1 Beschikbaarheidsgarantie</w:t>
      </w:r>
    </w:p>
    <w:p>
      <w:pPr>
        <w:spacing w:after="52" w:before="52"/>
        <w:jc w:val="both"/>
      </w:pPr>
      <w:r>
        <w:rPr>
          <w:rFonts w:ascii="Arial" w:cs="Arial" w:eastAsia="Arial" w:hAnsi="Arial"/>
          <w:sz w:val="19"/>
          <w:szCs w:val="19"/>
        </w:rPr>
        <w:t xml:space="preserve">EASI Group garandeert een platformbeschikbaarheid (uptime) van minimaal 99,5% op maandbasis, gemeten over de kalendermaand. De beschikbaarheid wordt berekend als het percentage van de tijd gedurende welke het Platform operationeel en bereikbaar is voor geautoriseerde gebruikers, met uitzondering van geplande onderhoudsvensters (waarvoor minimaal 72 uur voorafgaandelijke kennisgeving geldt) en overmachtssituaties.</w:t>
      </w:r>
    </w:p>
    <w:p>
      <w:pPr>
        <w:spacing w:after="0" w:before="40"/>
      </w:pPr>
    </w:p>
    <w:p>
      <w:pPr>
        <w:spacing w:after="52" w:before="52"/>
        <w:jc w:val="both"/>
      </w:pPr>
      <w:r>
        <w:rPr>
          <w:rFonts w:ascii="Arial" w:cs="Arial" w:eastAsia="Arial" w:hAnsi="Arial"/>
          <w:sz w:val="19"/>
          <w:szCs w:val="19"/>
        </w:rPr>
        <w:t xml:space="preserve">Bij niet-nakoming van de beschikbaarheidsgarantie in een gegeven kalendermaand heeft Colruyt Group recht op een prorataire creditnota ten bedrage van 10% van de maandelijkse onderhoudsvergoeding per volledig procentpunt onder de garantiedrempel, met een maximum van 50% van de maandelijkse onderhoudsvergoeding. Recht op creditnota laat onverlet het recht van Colruyt Group op schadevergoeding bij ernstige of herhaalde overschrijding.</w:t>
      </w:r>
    </w:p>
    <w:p>
      <w:pPr>
        <w:pStyle w:val="Heading2"/>
        <w:spacing w:after="55" w:before="170"/>
      </w:pPr>
      <w:r>
        <w:rPr>
          <w:rFonts w:ascii="Arial" w:cs="Arial" w:eastAsia="Arial" w:hAnsi="Arial"/>
          <w:b/>
          <w:bCs/>
          <w:color w:val="1A5276"/>
          <w:sz w:val="21"/>
          <w:szCs w:val="21"/>
        </w:rPr>
        <w:t xml:space="preserve">4.2 Incidentbeheer en responstijden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00"/>
        <w:gridCol w:w="2700"/>
      </w:tblGrid>
      <w:tr>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Prioriteit</w:t>
            </w:r>
          </w:p>
        </w:tc>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Omschrijving</w:t>
            </w:r>
          </w:p>
        </w:tc>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Responstijd</w:t>
            </w:r>
          </w:p>
        </w:tc>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Oplossingstijd (streefdoel)</w:t>
            </w:r>
          </w:p>
        </w:tc>
      </w:tr>
      <w:tr>
        <w:tc>
          <w:tcPr>
            <w:tcBorders>
              <w:top w:val="single" w:color="AAAAAA" w:sz="4"/>
              <w:left w:val="single" w:color="AAAAAA" w:sz="4"/>
              <w:bottom w:val="single" w:color="AAAAAA" w:sz="4"/>
              <w:right w:val="single" w:color="AAAAAA" w:sz="4"/>
            </w:tcBorders>
            <w:shd w:fill="FFE0E0" w:val="clear"/>
            <w:tcMar>
              <w:top w:type="dxa" w:w="70"/>
              <w:left w:type="dxa" w:w="110"/>
              <w:bottom w:type="dxa" w:w="70"/>
              <w:right w:type="dxa" w:w="110"/>
            </w:tcMar>
            <w:vAlign w:val="center"/>
          </w:tcPr>
          <w:p>
            <w:pPr>
              <w:jc w:val="left"/>
            </w:pPr>
            <w:r>
              <w:rPr>
                <w:rFonts w:ascii="Arial" w:cs="Arial" w:eastAsia="Arial" w:hAnsi="Arial"/>
                <w:b/>
                <w:bCs/>
                <w:i w:val="false"/>
                <w:iCs w:val="false"/>
                <w:color w:val="8B0000"/>
                <w:sz w:val="17"/>
                <w:szCs w:val="17"/>
              </w:rPr>
              <w:t xml:space="preserve">Prio 1 — Kritiek</w:t>
            </w:r>
          </w:p>
        </w:tc>
        <w:tc>
          <w:tcPr>
            <w:tcBorders>
              <w:top w:val="single" w:color="AAAAAA" w:sz="4"/>
              <w:left w:val="single" w:color="AAAAAA" w:sz="4"/>
              <w:bottom w:val="single" w:color="AAAAAA" w:sz="4"/>
              <w:right w:val="single" w:color="AAAAAA" w:sz="4"/>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Volledige platformuitval of dataverlies; impact op ≥1 vestiging</w:t>
            </w:r>
          </w:p>
        </w:tc>
        <w:tc>
          <w:tcPr>
            <w:tcBorders>
              <w:top w:val="single" w:color="AAAAAA" w:sz="4"/>
              <w:left w:val="single" w:color="AAAAAA" w:sz="4"/>
              <w:bottom w:val="single" w:color="AAAAAA" w:sz="4"/>
              <w:right w:val="single" w:color="AAAAAA" w:sz="4"/>
            </w:tcBorders>
            <w:shd w:fill="FFE0E0"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4 kantooruren (ma–vr 08u–18u)</w:t>
            </w:r>
          </w:p>
        </w:tc>
        <w:tc>
          <w:tcPr>
            <w:tcBorders>
              <w:top w:val="single" w:color="AAAAAA" w:sz="4"/>
              <w:left w:val="single" w:color="AAAAAA" w:sz="4"/>
              <w:bottom w:val="single" w:color="AAAAAA" w:sz="4"/>
              <w:right w:val="single" w:color="AAAAAA" w:sz="4"/>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8 kantooruren</w:t>
            </w:r>
          </w:p>
        </w:tc>
      </w:tr>
      <w:tr>
        <w:tc>
          <w:tcPr>
            <w:tcBorders>
              <w:top w:val="single" w:color="AAAAAA" w:sz="4"/>
              <w:left w:val="single" w:color="AAAAAA" w:sz="4"/>
              <w:bottom w:val="single" w:color="AAAAAA" w:sz="4"/>
              <w:right w:val="single" w:color="AAAAAA" w:sz="4"/>
            </w:tcBorders>
            <w:shd w:fill="FFF8DC" w:val="clear"/>
            <w:tcMar>
              <w:top w:type="dxa" w:w="70"/>
              <w:left w:type="dxa" w:w="110"/>
              <w:bottom w:type="dxa" w:w="70"/>
              <w:right w:type="dxa" w:w="110"/>
            </w:tcMar>
            <w:vAlign w:val="center"/>
          </w:tcPr>
          <w:p>
            <w:pPr>
              <w:jc w:val="left"/>
            </w:pPr>
            <w:r>
              <w:rPr>
                <w:rFonts w:ascii="Arial" w:cs="Arial" w:eastAsia="Arial" w:hAnsi="Arial"/>
                <w:b/>
                <w:bCs/>
                <w:i w:val="false"/>
                <w:iCs w:val="false"/>
                <w:color w:val="7B5700"/>
                <w:sz w:val="17"/>
                <w:szCs w:val="17"/>
              </w:rPr>
              <w:t xml:space="preserve">Prio 2 — Ernstig</w:t>
            </w:r>
          </w:p>
        </w:tc>
        <w:tc>
          <w:tcPr>
            <w:tcBorders>
              <w:top w:val="single" w:color="AAAAAA" w:sz="4"/>
              <w:left w:val="single" w:color="AAAAAA" w:sz="4"/>
              <w:bottom w:val="single" w:color="AAAAAA" w:sz="4"/>
              <w:right w:val="single" w:color="AAAAAA" w:sz="4"/>
            </w:tcBorders>
            <w:shd w:fill="FFF8D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Significante degradatie van functionaliteit zonder volledige uitval</w:t>
            </w:r>
          </w:p>
        </w:tc>
        <w:tc>
          <w:tcPr>
            <w:tcBorders>
              <w:top w:val="single" w:color="AAAAAA" w:sz="4"/>
              <w:left w:val="single" w:color="AAAAAA" w:sz="4"/>
              <w:bottom w:val="single" w:color="AAAAAA" w:sz="4"/>
              <w:right w:val="single" w:color="AAAAAA" w:sz="4"/>
            </w:tcBorders>
            <w:shd w:fill="FFF8D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8 kantooruren</w:t>
            </w:r>
          </w:p>
        </w:tc>
        <w:tc>
          <w:tcPr>
            <w:tcBorders>
              <w:top w:val="single" w:color="AAAAAA" w:sz="4"/>
              <w:left w:val="single" w:color="AAAAAA" w:sz="4"/>
              <w:bottom w:val="single" w:color="AAAAAA" w:sz="4"/>
              <w:right w:val="single" w:color="AAAAAA" w:sz="4"/>
            </w:tcBorders>
            <w:shd w:fill="FFF8D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2 werkdagen</w:t>
            </w:r>
          </w:p>
        </w:tc>
      </w:tr>
      <w:tr>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Prio 3 — Laag</w:t>
            </w:r>
          </w:p>
        </w:tc>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Beperkte hinder, workaround beschikbaar</w:t>
            </w:r>
          </w:p>
        </w:tc>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2 werkdagen</w:t>
            </w:r>
          </w:p>
        </w:tc>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5 werkdagen</w:t>
            </w:r>
          </w:p>
        </w:tc>
      </w:tr>
    </w:tbl>
    <w:p>
      <w:pPr>
        <w:spacing w:after="0" w:before="80"/>
      </w:pPr>
    </w:p>
    <w:p>
      <w:pPr>
        <w:pStyle w:val="Heading2"/>
        <w:spacing w:after="55" w:before="170"/>
      </w:pPr>
      <w:r>
        <w:rPr>
          <w:rFonts w:ascii="Arial" w:cs="Arial" w:eastAsia="Arial" w:hAnsi="Arial"/>
          <w:b/>
          <w:bCs/>
          <w:color w:val="1A5276"/>
          <w:sz w:val="21"/>
          <w:szCs w:val="21"/>
        </w:rPr>
        <w:t xml:space="preserve">4.3 Dedicated support Colruyt Group</w:t>
      </w:r>
    </w:p>
    <w:p>
      <w:pPr>
        <w:spacing w:after="52" w:before="52"/>
        <w:jc w:val="both"/>
      </w:pPr>
      <w:r>
        <w:rPr>
          <w:rFonts w:ascii="Arial" w:cs="Arial" w:eastAsia="Arial" w:hAnsi="Arial"/>
          <w:sz w:val="19"/>
          <w:szCs w:val="19"/>
        </w:rPr>
        <w:t xml:space="preserve">Colruyt Group beschikt over een exclusief supportkanaal, voorbehouden aan haar eigen medewerkers:</w:t>
      </w:r>
    </w:p>
    <w:p>
      <w:pPr>
        <w:pStyle w:val="ListParagraph"/>
        <w:numPr>
          <w:ilvl w:val="0"/>
          <w:numId w:val="2"/>
        </w:numPr>
        <w:spacing w:after="44" w:before="44"/>
      </w:pPr>
      <w:r>
        <w:rPr>
          <w:rFonts w:ascii="Arial" w:cs="Arial" w:eastAsia="Arial" w:hAnsi="Arial"/>
          <w:sz w:val="19"/>
          <w:szCs w:val="19"/>
        </w:rPr>
        <w:t xml:space="preserve">Dedicated supportlijn: +32 2 123 45 67 (uitsluitend bereikbaar voor geautoriseerde Colruyt-medewerkers, maandag t/m vrijdag van 08u00 tot 18u00);</w:t>
      </w:r>
    </w:p>
    <w:p>
      <w:pPr>
        <w:pStyle w:val="ListParagraph"/>
        <w:numPr>
          <w:ilvl w:val="0"/>
          <w:numId w:val="2"/>
        </w:numPr>
        <w:spacing w:after="44" w:before="44"/>
      </w:pPr>
      <w:r>
        <w:rPr>
          <w:rFonts w:ascii="Arial" w:cs="Arial" w:eastAsia="Arial" w:hAnsi="Arial"/>
          <w:sz w:val="19"/>
          <w:szCs w:val="19"/>
        </w:rPr>
        <w:t xml:space="preserve">Vaste contactpersoon bij EASI Group: Arne Albrecht — a.albrecht@easi.net.</w:t>
      </w:r>
    </w:p>
    <w:p>
      <w:pPr>
        <w:spacing w:after="0" w:before="40"/>
      </w:pPr>
    </w:p>
    <w:p>
      <w:pPr>
        <w:spacing w:after="52" w:before="52"/>
        <w:jc w:val="both"/>
      </w:pPr>
      <w:r>
        <w:rPr>
          <w:rFonts w:ascii="Arial" w:cs="Arial" w:eastAsia="Arial" w:hAnsi="Arial"/>
          <w:sz w:val="19"/>
          <w:szCs w:val="19"/>
        </w:rPr>
        <w:t xml:space="preserve">Het gebruik van het algemeen ticketsysteem van EASI Group is voor Colruyt Group uitdrukkelijk uitgesloten. Alle support­verzoeken, incidentmeldingen en operationele communicatie verlopen uitsluitend via de dedicated supportlijn of rechtstreeks via de vaste contactpersoon Arne Albrecht. Meldingen die via het algemeen ticketsysteem binnenkomen, worden niet als geldig incident­rapport beschouwd en tellen niet mee voor de responstijden bedoeld in Artikel 4.2.</w:t>
      </w:r>
    </w:p>
    <w:p>
      <w:pPr>
        <w:spacing w:after="0" w:before="70"/>
      </w:pPr>
    </w:p>
    <w:p>
      <w:pPr>
        <w:pStyle w:val="Heading1"/>
        <w:pBdr>
          <w:bottom w:val="single" w:color="003366" w:sz="6" w:space="2"/>
        </w:pBdr>
        <w:spacing w:after="90" w:before="280"/>
      </w:pPr>
      <w:r>
        <w:rPr>
          <w:rFonts w:ascii="Arial" w:cs="Arial" w:eastAsia="Arial" w:hAnsi="Arial"/>
          <w:b/>
          <w:bCs/>
          <w:color w:val="003366"/>
          <w:sz w:val="24"/>
          <w:szCs w:val="24"/>
        </w:rPr>
        <w:t xml:space="preserve">Artikel 5 — Intellectuele Eigendom</w:t>
      </w:r>
    </w:p>
    <w:p>
      <w:pPr>
        <w:pStyle w:val="Heading2"/>
        <w:spacing w:after="55" w:before="170"/>
      </w:pPr>
      <w:r>
        <w:rPr>
          <w:rFonts w:ascii="Arial" w:cs="Arial" w:eastAsia="Arial" w:hAnsi="Arial"/>
          <w:b/>
          <w:bCs/>
          <w:color w:val="1A5276"/>
          <w:sz w:val="21"/>
          <w:szCs w:val="21"/>
        </w:rPr>
        <w:t xml:space="preserve">5.1 Eigendom platform</w:t>
      </w:r>
    </w:p>
    <w:p>
      <w:pPr>
        <w:spacing w:after="52" w:before="52"/>
        <w:jc w:val="both"/>
      </w:pPr>
      <w:r>
        <w:rPr>
          <w:rFonts w:ascii="Arial" w:cs="Arial" w:eastAsia="Arial" w:hAnsi="Arial"/>
          <w:sz w:val="19"/>
          <w:szCs w:val="19"/>
        </w:rPr>
        <w:t xml:space="preserve">Het SmartSales platform, met inbegrip van alle broncode, algoritmen, architectuurdocumentatie, gebruikersinterfaces, updates en aanverwante technische documentatie, is en blijft de exclusieve intellectuele eigendom van EASI Group NV. Geen enkele bepaling van deze Overeenkomst kan worden geïnterpreteerd als een overdracht — geheel of gedeeltelijk — van intellectuele eigendomsrechten aan Colruyt Group. EASI Group verleent Colruyt Group een niet-exclusieve, niet-overdraagbare gebruikslicentie op het Platform voor de duur van de Overeenkomst en uitsluitend voor de in Artikel 1 omschreven doeleinden.</w:t>
      </w:r>
    </w:p>
    <w:p>
      <w:pPr>
        <w:pStyle w:val="Heading2"/>
        <w:spacing w:after="55" w:before="170"/>
      </w:pPr>
      <w:r>
        <w:rPr>
          <w:rFonts w:ascii="Arial" w:cs="Arial" w:eastAsia="Arial" w:hAnsi="Arial"/>
          <w:b/>
          <w:bCs/>
          <w:color w:val="1A5276"/>
          <w:sz w:val="21"/>
          <w:szCs w:val="21"/>
        </w:rPr>
        <w:t xml:space="preserve">5.2 Eigendom data</w:t>
      </w:r>
    </w:p>
    <w:p>
      <w:pPr>
        <w:spacing w:after="52" w:before="52"/>
        <w:jc w:val="both"/>
      </w:pPr>
      <w:r>
        <w:rPr>
          <w:rFonts w:ascii="Arial" w:cs="Arial" w:eastAsia="Arial" w:hAnsi="Arial"/>
          <w:sz w:val="19"/>
          <w:szCs w:val="19"/>
        </w:rPr>
        <w:t xml:space="preserve">Alle data die door Colruyt Group of haar vestigingen via het Platform worden gegenereerd, geregistreerd of verwerkt — met inbegrip van verkoopsdata, bezoekersstromen, voorraadgegevens en afgeleide analyses — zijn en blijven de exclusieve eigendom van Colruyt Group NV. EASI Group heeft geen recht op commercieel gebruik, verdere verwerking, aggregatie of doorverkoop van deze data zonder de uitdrukkelijke voorafgaande schriftelijke toestemming van Colruyt Group. Bij beëindiging van de Overeenkomst stelt EASI Group alle data ter beschikking van Colruyt Group in een gangbaar exportformaat binnen dertig (30) kalenderdagen en verwijdert zij deze vervolgens aantoonbaar uit haar systemen.</w:t>
      </w:r>
    </w:p>
    <w:p>
      <w:pPr>
        <w:pStyle w:val="Heading2"/>
        <w:spacing w:after="55" w:before="170"/>
      </w:pPr>
      <w:r>
        <w:rPr>
          <w:rFonts w:ascii="Arial" w:cs="Arial" w:eastAsia="Arial" w:hAnsi="Arial"/>
          <w:b/>
          <w:bCs/>
          <w:color w:val="1A5276"/>
          <w:sz w:val="21"/>
          <w:szCs w:val="21"/>
        </w:rPr>
        <w:t xml:space="preserve">5.3 Op maat gemaakte ontwikkelingen</w:t>
      </w:r>
    </w:p>
    <w:p>
      <w:pPr>
        <w:spacing w:after="52" w:before="52"/>
        <w:jc w:val="both"/>
      </w:pPr>
      <w:r>
        <w:rPr>
          <w:rFonts w:ascii="Arial" w:cs="Arial" w:eastAsia="Arial" w:hAnsi="Arial"/>
          <w:sz w:val="19"/>
          <w:szCs w:val="19"/>
        </w:rPr>
        <w:t xml:space="preserve">Maatwerkfunctionaliteiten die exclusief voor Colruyt Group worden ontwikkeld en waarvoor Colruyt Group de volledige ontwikkelingskost heeft gedragen, worden het gezamenlijke intellectuele eigendom van beide Partijen, tenzij in een afzonderlijk schriftelijk addendum anders overeengekomen.</w:t>
      </w:r>
    </w:p>
    <w:p>
      <w:pPr>
        <w:spacing w:after="0" w:before="70"/>
      </w:pPr>
    </w:p>
    <w:p>
      <w:pPr>
        <w:pStyle w:val="Heading1"/>
        <w:pBdr>
          <w:bottom w:val="single" w:color="003366" w:sz="6" w:space="2"/>
        </w:pBdr>
        <w:spacing w:after="90" w:before="280"/>
      </w:pPr>
      <w:r>
        <w:rPr>
          <w:rFonts w:ascii="Arial" w:cs="Arial" w:eastAsia="Arial" w:hAnsi="Arial"/>
          <w:b/>
          <w:bCs/>
          <w:color w:val="003366"/>
          <w:sz w:val="24"/>
          <w:szCs w:val="24"/>
        </w:rPr>
        <w:t xml:space="preserve">Artikel 6 — Vertrouwelijkheid en Gegevensbescherming</w:t>
      </w:r>
    </w:p>
    <w:p>
      <w:pPr>
        <w:pStyle w:val="Heading2"/>
        <w:spacing w:after="55" w:before="170"/>
      </w:pPr>
      <w:r>
        <w:rPr>
          <w:rFonts w:ascii="Arial" w:cs="Arial" w:eastAsia="Arial" w:hAnsi="Arial"/>
          <w:b/>
          <w:bCs/>
          <w:color w:val="1A5276"/>
          <w:sz w:val="21"/>
          <w:szCs w:val="21"/>
        </w:rPr>
        <w:t xml:space="preserve">6.1 Geheimhoudingsverplichting</w:t>
      </w:r>
    </w:p>
    <w:p>
      <w:pPr>
        <w:spacing w:after="52" w:before="52"/>
        <w:jc w:val="both"/>
      </w:pPr>
      <w:r>
        <w:rPr>
          <w:rFonts w:ascii="Arial" w:cs="Arial" w:eastAsia="Arial" w:hAnsi="Arial"/>
          <w:sz w:val="19"/>
          <w:szCs w:val="19"/>
        </w:rPr>
        <w:t xml:space="preserve">De Partijen verbinden zich ertoe alle vertrouwelijke informatie die zij in het kader van deze Overeenkomst van de andere Partij ontvangen — waaronder maar niet beperkt tot technische specificaties, commerciële gegevens, klantinformatie, bedrijfsstrategische documenten en personeelsgegevens — strikt vertrouwelijk te behandelen en niet aan derden bekend te maken, tenzij met uitdrukkelijke schriftelijke toestemming van de andere Partij of krachtens een dwingende wettelijke verplichting. Deze geheimhoudingsverplichting geldt gedurende de volledige looptijd van de Overeenkomst en vijf (5) jaar na de beëindiging ervan.</w:t>
      </w:r>
    </w:p>
    <w:p>
      <w:pPr>
        <w:pStyle w:val="Heading2"/>
        <w:spacing w:after="55" w:before="170"/>
      </w:pPr>
      <w:r>
        <w:rPr>
          <w:rFonts w:ascii="Arial" w:cs="Arial" w:eastAsia="Arial" w:hAnsi="Arial"/>
          <w:b/>
          <w:bCs/>
          <w:color w:val="1A5276"/>
          <w:sz w:val="21"/>
          <w:szCs w:val="21"/>
        </w:rPr>
        <w:t xml:space="preserve">6.2 Gegevensbescherming (AVG/GDPR)</w:t>
      </w:r>
    </w:p>
    <w:p>
      <w:pPr>
        <w:spacing w:after="52" w:before="52"/>
        <w:jc w:val="both"/>
      </w:pPr>
      <w:r>
        <w:rPr>
          <w:rFonts w:ascii="Arial" w:cs="Arial" w:eastAsia="Arial" w:hAnsi="Arial"/>
          <w:sz w:val="19"/>
          <w:szCs w:val="19"/>
        </w:rPr>
        <w:t xml:space="preserve">De Partijen erkennen dat de uitvoering van deze Overeenkomst de verwerking van persoonsgegevens kan inhouden in de zin van Verordening (EU) 2016/679 (hierna: “AVG”). In dat kader treedt Colruyt Group op als verwerkingsverantwoordelijke en EASI Group als verwerker. De Partijen sluiten, als integraal onderdeel van deze Overeenkomst, een afzonderlijke verwerkersovereenkomst (zie Bijlage 3) overeenkomstig artikel 28 AVG.</w:t>
      </w:r>
    </w:p>
    <w:p>
      <w:pPr>
        <w:spacing w:after="0" w:before="40"/>
      </w:pPr>
    </w:p>
    <w:p>
      <w:pPr>
        <w:spacing w:after="52" w:before="52"/>
        <w:jc w:val="both"/>
      </w:pPr>
      <w:r>
        <w:rPr>
          <w:rFonts w:ascii="Arial" w:cs="Arial" w:eastAsia="Arial" w:hAnsi="Arial"/>
          <w:sz w:val="19"/>
          <w:szCs w:val="19"/>
        </w:rPr>
        <w:t xml:space="preserve">EASI Group verbindt zich ertoe: (i) persoonsgegevens uitsluitend te verwerken op gedocumenteerde instructie van Colruyt Group; (ii) passende technische en organisatorische beveiligingsmaatregelen te treffen conform artikel 32 AVG; (iii) Colruyt Group onverwijld en uiterlijk binnen 48 uur te informeren bij elk vermoeden van een inbreuk in verband met persoonsgegevens; (iv) medewerking te verlenen aan de uitoefening van rechten door betrokkenen.</w:t>
      </w:r>
    </w:p>
    <w:p>
      <w:pPr>
        <w:spacing w:after="0" w:before="70"/>
      </w:pPr>
    </w:p>
    <w:p>
      <w:pPr>
        <w:pStyle w:val="Heading1"/>
        <w:pBdr>
          <w:bottom w:val="single" w:color="003366" w:sz="6" w:space="2"/>
        </w:pBdr>
        <w:spacing w:after="90" w:before="280"/>
      </w:pPr>
      <w:r>
        <w:rPr>
          <w:rFonts w:ascii="Arial" w:cs="Arial" w:eastAsia="Arial" w:hAnsi="Arial"/>
          <w:b/>
          <w:bCs/>
          <w:color w:val="003366"/>
          <w:sz w:val="24"/>
          <w:szCs w:val="24"/>
        </w:rPr>
        <w:t xml:space="preserve">Artikel 7 — Aansprakelijkheid</w:t>
      </w:r>
    </w:p>
    <w:p>
      <w:pPr>
        <w:pStyle w:val="Heading2"/>
        <w:spacing w:after="55" w:before="170"/>
      </w:pPr>
      <w:r>
        <w:rPr>
          <w:rFonts w:ascii="Arial" w:cs="Arial" w:eastAsia="Arial" w:hAnsi="Arial"/>
          <w:b/>
          <w:bCs/>
          <w:color w:val="1A5276"/>
          <w:sz w:val="21"/>
          <w:szCs w:val="21"/>
        </w:rPr>
        <w:t xml:space="preserve">7.1 Beperking</w:t>
      </w:r>
    </w:p>
    <w:p>
      <w:pPr>
        <w:spacing w:after="52" w:before="52"/>
        <w:jc w:val="both"/>
      </w:pPr>
      <w:r>
        <w:rPr>
          <w:rFonts w:ascii="Arial" w:cs="Arial" w:eastAsia="Arial" w:hAnsi="Arial"/>
          <w:sz w:val="19"/>
          <w:szCs w:val="19"/>
        </w:rPr>
        <w:t xml:space="preserve">De aansprakelijkheid van EASI Group voor directe schade is beperkt tot het totaalbedrag van de door Colruyt Group betaalde vergoedingen in de twaalf (12) maanden voorafgaand aan het schadeveroorzakende feit. EASI Group is in geen geval aansprakelijk voor indirecte schade, gevolgschade, winstderving, omzetderving of reputatieschade, zelfs indien zij op de hoogte was van de mogelijkheid van dergelijke schade.</w:t>
      </w:r>
    </w:p>
    <w:p>
      <w:pPr>
        <w:pStyle w:val="Heading2"/>
        <w:spacing w:after="55" w:before="170"/>
      </w:pPr>
      <w:r>
        <w:rPr>
          <w:rFonts w:ascii="Arial" w:cs="Arial" w:eastAsia="Arial" w:hAnsi="Arial"/>
          <w:b/>
          <w:bCs/>
          <w:color w:val="1A5276"/>
          <w:sz w:val="21"/>
          <w:szCs w:val="21"/>
        </w:rPr>
        <w:t xml:space="preserve">7.2 Overmacht</w:t>
      </w:r>
    </w:p>
    <w:p>
      <w:pPr>
        <w:spacing w:after="52" w:before="52"/>
        <w:jc w:val="both"/>
      </w:pPr>
      <w:r>
        <w:rPr>
          <w:rFonts w:ascii="Arial" w:cs="Arial" w:eastAsia="Arial" w:hAnsi="Arial"/>
          <w:sz w:val="19"/>
          <w:szCs w:val="19"/>
        </w:rPr>
        <w:t xml:space="preserve">Geen der Partijen is aansprakelijk voor niet-nakoming van haar verplichtingen als gevolg van overmacht. De Partij die een beroep doet op overmacht, stelt de andere Partij hiervan onmiddellijk schriftelijk in kennis, met opgave van de aard, de verwachte duur en de genomen maatregelen. Indien de overmacht langer dan zestig (60) kalenderdagen aanhoudt, heeft elk der Partijen het recht de Overeenkomst te beëindigen zonder schadevergoeding.</w:t>
      </w:r>
    </w:p>
    <w:p>
      <w:pPr>
        <w:spacing w:after="0" w:before="70"/>
      </w:pPr>
    </w:p>
    <w:p>
      <w:pPr>
        <w:pStyle w:val="Heading1"/>
        <w:pBdr>
          <w:bottom w:val="single" w:color="003366" w:sz="6" w:space="2"/>
        </w:pBdr>
        <w:spacing w:after="90" w:before="280"/>
      </w:pPr>
      <w:r>
        <w:rPr>
          <w:rFonts w:ascii="Arial" w:cs="Arial" w:eastAsia="Arial" w:hAnsi="Arial"/>
          <w:b/>
          <w:bCs/>
          <w:color w:val="003366"/>
          <w:sz w:val="24"/>
          <w:szCs w:val="24"/>
        </w:rPr>
        <w:t xml:space="preserve">Artikel 8 — Looptijd en Beëindiging</w:t>
      </w:r>
    </w:p>
    <w:p>
      <w:pPr>
        <w:spacing w:after="52" w:before="52"/>
        <w:jc w:val="both"/>
      </w:pPr>
      <w:r>
        <w:rPr>
          <w:rFonts w:ascii="Arial" w:cs="Arial" w:eastAsia="Arial" w:hAnsi="Arial"/>
          <w:sz w:val="19"/>
          <w:szCs w:val="19"/>
        </w:rPr>
        <w:t xml:space="preserve">De Overeenkomst treedt in werking op de datum van ondertekening en heeft een initiële looptijd tot en met de datum van formele oplevering en aanvaarding van Fase 2, of, bij niet-activering van Fase 2, tot twaalf (12) maanden na de go-live van Fase 1. Na de initiële looptijd wordt de Overeenkomst stilzwijgend verlengd met opeenvolgende perioden van twaalf (12) maanden, tenzij één der Partijen de Overeenkomst opzegt via aangetekend schrijven met een opzegtermijn van drie (3) maanden vóór het einde van de lopende periode.</w:t>
      </w:r>
    </w:p>
    <w:p>
      <w:pPr>
        <w:spacing w:after="0" w:before="40"/>
      </w:pPr>
    </w:p>
    <w:p>
      <w:pPr>
        <w:spacing w:after="52" w:before="52"/>
        <w:jc w:val="both"/>
      </w:pPr>
      <w:r>
        <w:rPr>
          <w:rFonts w:ascii="Arial" w:cs="Arial" w:eastAsia="Arial" w:hAnsi="Arial"/>
          <w:sz w:val="19"/>
          <w:szCs w:val="19"/>
        </w:rPr>
        <w:t xml:space="preserve">Elke Partij kan de Overeenkomst met onmiddellijke ingang beëindigen bij grove of herhaalde tekortkoming van de andere Partij die niet is hersteld binnen dertig (30) kalenderdagen na schriftelijke ingebrekestelling, of bij faillissement of kennelijke staat van onvermogen van de andere Partij.</w:t>
      </w:r>
    </w:p>
    <w:p>
      <w:pPr>
        <w:spacing w:after="0" w:before="70"/>
      </w:pPr>
    </w:p>
    <w:p>
      <w:pPr>
        <w:pStyle w:val="Heading1"/>
        <w:pBdr>
          <w:bottom w:val="single" w:color="003366" w:sz="6" w:space="2"/>
        </w:pBdr>
        <w:spacing w:after="90" w:before="280"/>
      </w:pPr>
      <w:r>
        <w:rPr>
          <w:rFonts w:ascii="Arial" w:cs="Arial" w:eastAsia="Arial" w:hAnsi="Arial"/>
          <w:b/>
          <w:bCs/>
          <w:color w:val="003366"/>
          <w:sz w:val="24"/>
          <w:szCs w:val="24"/>
        </w:rPr>
        <w:t xml:space="preserve">Artikel 9 — Toepasselijk Recht en Bevoegde Rechtbank</w:t>
      </w:r>
    </w:p>
    <w:p>
      <w:pPr>
        <w:spacing w:after="52" w:before="52"/>
        <w:jc w:val="both"/>
      </w:pPr>
      <w:r>
        <w:rPr>
          <w:rFonts w:ascii="Arial" w:cs="Arial" w:eastAsia="Arial" w:hAnsi="Arial"/>
          <w:sz w:val="19"/>
          <w:szCs w:val="19"/>
        </w:rPr>
        <w:t xml:space="preserve">Deze Overeenkomst wordt beheerst door en geïnterpreteerd overeenkomstig het Belgisch recht. Alle geschillen die voortvloeien uit of verband houden met deze Overeenkomst, en die niet langs minnelijke weg kunnen worden opgelost, worden voorgelegd aan de exclusieve bevoegdheid van de Nederlandstalige Ondernemingsrechtbank Brussel.</w:t>
      </w:r>
    </w:p>
    <w:p>
      <w:pPr>
        <w:spacing w:after="0" w:before="70"/>
      </w:pPr>
    </w:p>
    <w:p>
      <w:pPr>
        <w:pStyle w:val="Heading1"/>
        <w:pBdr>
          <w:bottom w:val="single" w:color="003366" w:sz="6" w:space="2"/>
        </w:pBdr>
        <w:spacing w:after="90" w:before="280"/>
      </w:pPr>
      <w:r>
        <w:rPr>
          <w:rFonts w:ascii="Arial" w:cs="Arial" w:eastAsia="Arial" w:hAnsi="Arial"/>
          <w:b/>
          <w:bCs/>
          <w:color w:val="003366"/>
          <w:sz w:val="24"/>
          <w:szCs w:val="24"/>
        </w:rPr>
        <w:t xml:space="preserve">Artikel 10 — Diverse Bepalingen</w:t>
      </w:r>
    </w:p>
    <w:p>
      <w:pPr>
        <w:spacing w:after="52" w:before="52"/>
        <w:jc w:val="both"/>
      </w:pPr>
      <w:r>
        <w:rPr>
          <w:rFonts w:ascii="Arial" w:cs="Arial" w:eastAsia="Arial" w:hAnsi="Arial"/>
          <w:sz w:val="19"/>
          <w:szCs w:val="19"/>
        </w:rPr>
        <w:t xml:space="preserve">Deze Overeenkomst vormt, samen met haar Bijlagen, de volledige overeenkomst tussen de Partijen en vervangt alle voorafgaande afspraken. Wijzigingen zijn slechts geldig indien schriftelijk vastgelegd en door beide Partijen ondertekend. Indien een bepaling nietig of niet-afdwingbaar wordt verklaard, blijven de overige bepalingen onverminderd van kracht. Geen der Partijen mag haar rechten of verplichtingen overdragen zonder schriftelijke toestemming van de andere Partij, behoudens overdracht aan een verbonden onderneming.</w:t>
      </w:r>
    </w:p>
    <w:p>
      <w:pPr>
        <w:spacing w:after="0" w:before="90"/>
      </w:pPr>
    </w:p>
    <w:p>
      <w:pPr>
        <w:pStyle w:val="Heading1"/>
        <w:pBdr>
          <w:bottom w:val="single" w:color="003366" w:sz="6" w:space="2"/>
        </w:pBdr>
        <w:spacing w:after="90" w:before="280"/>
      </w:pPr>
      <w:r>
        <w:rPr>
          <w:rFonts w:ascii="Arial" w:cs="Arial" w:eastAsia="Arial" w:hAnsi="Arial"/>
          <w:b/>
          <w:bCs/>
          <w:color w:val="003366"/>
          <w:sz w:val="24"/>
          <w:szCs w:val="24"/>
        </w:rPr>
        <w:t xml:space="preserve">Ondertekening</w:t>
      </w:r>
    </w:p>
    <w:p>
      <w:pPr>
        <w:spacing w:after="52" w:before="52"/>
        <w:jc w:val="both"/>
      </w:pPr>
      <w:r>
        <w:rPr>
          <w:rFonts w:ascii="Arial" w:cs="Arial" w:eastAsia="Arial" w:hAnsi="Arial"/>
          <w:sz w:val="19"/>
          <w:szCs w:val="19"/>
        </w:rPr>
        <w:t xml:space="preserve">Aldus opgemaakt en ondertekend in twee (2) originele exemplaren te Brussel, op 3 maart 2026.</w:t>
      </w:r>
    </w:p>
    <w:p>
      <w:pPr>
        <w:spacing w:after="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none"/>
              <w:left w:val="none"/>
              <w:bottom w:val="none"/>
              <w:right w:val="none"/>
            </w:tcBorders>
            <w:tcMar>
              <w:top w:type="dxa" w:w="0"/>
              <w:left w:type="dxa" w:w="0"/>
              <w:bottom w:type="dxa" w:w="0"/>
              <w:right w:type="dxa" w:w="120"/>
            </w:tcMar>
            <w:vAlign w:val="top"/>
          </w:tcPr>
          <w:p>
            <w:r>
              <w:rPr>
                <w:rFonts w:ascii="Arial" w:cs="Arial" w:eastAsia="Arial" w:hAnsi="Arial"/>
                <w:b/>
                <w:bCs/>
                <w:color w:val="003366"/>
                <w:sz w:val="19"/>
                <w:szCs w:val="19"/>
              </w:rPr>
              <w:t xml:space="preserve">Voor EASI Group NV:</w:t>
            </w:r>
          </w:p>
          <w:p>
            <w:pPr>
              <w:spacing w:after="0" w:before="110"/>
            </w:pPr>
          </w:p>
          <w:p>
            <w:pPr>
              <w:spacing w:after="0" w:before="110"/>
            </w:pPr>
          </w:p>
          <w:p>
            <w:pPr>
              <w:spacing w:after="0" w:before="110"/>
            </w:pPr>
          </w:p>
          <w:p>
            <w:pPr>
              <w:pBdr>
                <w:top w:val="single" w:color="333333" w:sz="4" w:space="2"/>
              </w:pBdr>
              <w:spacing w:after="35" w:before="0"/>
            </w:pPr>
            <w:r>
              <w:rPr>
                <w:rFonts w:ascii="Arial" w:cs="Arial" w:eastAsia="Arial" w:hAnsi="Arial"/>
                <w:b/>
                <w:bCs/>
                <w:sz w:val="19"/>
                <w:szCs w:val="19"/>
              </w:rPr>
              <w:t xml:space="preserve">Patrick De Coster</w:t>
            </w:r>
          </w:p>
          <w:p>
            <w:r>
              <w:rPr>
                <w:rFonts w:ascii="Arial" w:cs="Arial" w:eastAsia="Arial" w:hAnsi="Arial"/>
                <w:i/>
                <w:iCs/>
                <w:color w:val="555555"/>
                <w:sz w:val="17"/>
                <w:szCs w:val="17"/>
              </w:rPr>
              <w:t xml:space="preserve">Chief Executive Officer</w:t>
            </w:r>
          </w:p>
          <w:p>
            <w:r>
              <w:rPr>
                <w:rFonts w:ascii="Arial" w:cs="Arial" w:eastAsia="Arial" w:hAnsi="Arial"/>
                <w:color w:val="555555"/>
                <w:sz w:val="17"/>
                <w:szCs w:val="17"/>
              </w:rPr>
              <w:t xml:space="preserve">Brussel, 3 maart 2026</w:t>
            </w:r>
          </w:p>
        </w:tc>
        <w:tc>
          <w:tcPr>
            <w:tcBorders>
              <w:top w:val="none"/>
              <w:left w:val="none"/>
              <w:bottom w:val="none"/>
              <w:right w:val="none"/>
            </w:tcBorders>
            <w:tcMar>
              <w:top w:type="dxa" w:w="0"/>
              <w:left w:type="dxa" w:w="0"/>
              <w:bottom w:type="dxa" w:w="0"/>
              <w:right w:type="dxa" w:w="120"/>
            </w:tcMar>
            <w:vAlign w:val="top"/>
          </w:tcPr>
          <w:p>
            <w:r>
              <w:rPr>
                <w:rFonts w:ascii="Arial" w:cs="Arial" w:eastAsia="Arial" w:hAnsi="Arial"/>
                <w:b/>
                <w:bCs/>
                <w:color w:val="1A6B3C"/>
                <w:sz w:val="19"/>
                <w:szCs w:val="19"/>
              </w:rPr>
              <w:t xml:space="preserve">Voor Colruyt Group NV:</w:t>
            </w:r>
          </w:p>
          <w:p>
            <w:pPr>
              <w:spacing w:after="0" w:before="110"/>
            </w:pPr>
          </w:p>
          <w:p>
            <w:pPr>
              <w:spacing w:after="0" w:before="110"/>
            </w:pPr>
          </w:p>
          <w:p>
            <w:pPr>
              <w:spacing w:after="0" w:before="110"/>
            </w:pPr>
          </w:p>
          <w:p>
            <w:pPr>
              <w:pBdr>
                <w:top w:val="single" w:color="333333" w:sz="4" w:space="2"/>
              </w:pBdr>
              <w:spacing w:after="35" w:before="0"/>
            </w:pPr>
            <w:r>
              <w:rPr>
                <w:rFonts w:ascii="Arial" w:cs="Arial" w:eastAsia="Arial" w:hAnsi="Arial"/>
                <w:i/>
                <w:iCs/>
                <w:sz w:val="19"/>
                <w:szCs w:val="19"/>
              </w:rPr>
              <w:t xml:space="preserve">[naam bevoegde vertegenwoordiger]</w:t>
            </w:r>
          </w:p>
          <w:p>
            <w:r>
              <w:rPr>
                <w:rFonts w:ascii="Arial" w:cs="Arial" w:eastAsia="Arial" w:hAnsi="Arial"/>
                <w:i/>
                <w:iCs/>
                <w:color w:val="555555"/>
                <w:sz w:val="17"/>
                <w:szCs w:val="17"/>
              </w:rPr>
              <w:t xml:space="preserve">[functietitel]</w:t>
            </w:r>
          </w:p>
          <w:p>
            <w:r>
              <w:rPr>
                <w:rFonts w:ascii="Arial" w:cs="Arial" w:eastAsia="Arial" w:hAnsi="Arial"/>
                <w:color w:val="555555"/>
                <w:sz w:val="17"/>
                <w:szCs w:val="17"/>
              </w:rPr>
              <w:t xml:space="preserve">Halle / Brussel, 3 maart 2026</w:t>
            </w:r>
          </w:p>
        </w:tc>
      </w:tr>
    </w:tbl>
    <w:p>
      <w:pPr>
        <w:spacing w:after="0" w:before="80"/>
      </w:pPr>
    </w:p>
    <w:p>
      <w:pPr>
        <w:spacing w:after="52" w:before="52"/>
        <w:jc w:val="both"/>
      </w:pPr>
      <w:r>
        <w:rPr>
          <w:rFonts w:ascii="Arial" w:cs="Arial" w:eastAsia="Arial" w:hAnsi="Arial"/>
          <w:b/>
          <w:bCs/>
          <w:sz w:val="19"/>
          <w:szCs w:val="19"/>
        </w:rPr>
        <w:t xml:space="preserve">Bijlagen (integraal deel van deze Overeenkomst):</w:t>
      </w:r>
    </w:p>
    <w:p>
      <w:pPr>
        <w:pStyle w:val="ListParagraph"/>
        <w:numPr>
          <w:ilvl w:val="0"/>
          <w:numId w:val="2"/>
        </w:numPr>
        <w:spacing w:after="44" w:before="44"/>
      </w:pPr>
      <w:r>
        <w:rPr>
          <w:rFonts w:ascii="Arial" w:cs="Arial" w:eastAsia="Arial" w:hAnsi="Arial"/>
          <w:sz w:val="19"/>
          <w:szCs w:val="19"/>
        </w:rPr>
        <w:t xml:space="preserve">Bijlage 1 — Technische specificaties SmartSales platform</w:t>
      </w:r>
    </w:p>
    <w:p>
      <w:pPr>
        <w:pStyle w:val="ListParagraph"/>
        <w:numPr>
          <w:ilvl w:val="0"/>
          <w:numId w:val="2"/>
        </w:numPr>
        <w:spacing w:after="44" w:before="44"/>
      </w:pPr>
      <w:r>
        <w:rPr>
          <w:rFonts w:ascii="Arial" w:cs="Arial" w:eastAsia="Arial" w:hAnsi="Arial"/>
          <w:sz w:val="19"/>
          <w:szCs w:val="19"/>
        </w:rPr>
        <w:t xml:space="preserve">Bijlage 2 — Gedetailleerd projectplan en mijlpalenschema</w:t>
      </w:r>
    </w:p>
    <w:p>
      <w:pPr>
        <w:pStyle w:val="ListParagraph"/>
        <w:numPr>
          <w:ilvl w:val="0"/>
          <w:numId w:val="2"/>
        </w:numPr>
        <w:spacing w:after="44" w:before="44"/>
      </w:pPr>
      <w:r>
        <w:rPr>
          <w:rFonts w:ascii="Arial" w:cs="Arial" w:eastAsia="Arial" w:hAnsi="Arial"/>
          <w:sz w:val="19"/>
          <w:szCs w:val="19"/>
        </w:rPr>
        <w:t xml:space="preserve">Bijlage 3 — Verwerkersovereenkomst (DPA) conform artikel 28 AVG</w:t>
      </w:r>
    </w:p>
    <w:p>
      <w:pPr>
        <w:pStyle w:val="ListParagraph"/>
        <w:numPr>
          <w:ilvl w:val="0"/>
          <w:numId w:val="2"/>
        </w:numPr>
        <w:spacing w:after="44" w:before="44"/>
      </w:pPr>
      <w:r>
        <w:rPr>
          <w:rFonts w:ascii="Arial" w:cs="Arial" w:eastAsia="Arial" w:hAnsi="Arial"/>
          <w:sz w:val="19"/>
          <w:szCs w:val="19"/>
        </w:rPr>
        <w:t xml:space="preserve">Bijlage 4 — SLA-rapporteringsformat en escalatiematrix</w:t>
      </w:r>
    </w:p>
    <w:sectPr>
      <w:headerReference w:type="default" r:id="rId7"/>
      <w:footerReference w:type="default" r:id="rId8"/>
      <w:pgSz w:w="11906" w:h="16838" w:orient="portrait"/>
      <w:pgMar w:top="1150" w:right="1150" w:bottom="11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2"/>
      </w:pBdr>
      <w:spacing w:before="130"/>
    </w:pPr>
    <w:r>
      <w:rPr>
        <w:rFonts w:ascii="Arial" w:cs="Arial" w:eastAsia="Arial" w:hAnsi="Arial"/>
        <w:color w:val="888888"/>
        <w:sz w:val="15"/>
        <w:szCs w:val="15"/>
      </w:rPr>
      <w:t xml:space="preserve">Versie 1.0 — Brussel, 3 maart 2026 — Strikt vertrouwelijk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2"/>
      </w:pBdr>
      <w:tabs>
        <w:tab w:val="right" w:pos="8600"/>
      </w:tabs>
      <w:spacing w:after="130"/>
    </w:pPr>
    <w:r>
      <w:rPr>
        <w:rFonts w:ascii="Arial" w:cs="Arial" w:eastAsia="Arial" w:hAnsi="Arial"/>
        <w:b/>
        <w:bCs/>
        <w:color w:val="003366"/>
        <w:sz w:val="16"/>
        <w:szCs w:val="16"/>
      </w:rPr>
      <w:t xml:space="preserve">SAMENWERKINGSOVEREENKOMST — EASI Group / Colruyt Group — SmartSales</w:t>
    </w:r>
    <w:r>
      <w:rPr>
        <w:sz w:val="16"/>
        <w:szCs w:val="16"/>
      </w:rPr>
      <w:t xml:space="preserve">	</w:t>
    </w:r>
    <w:r>
      <w:rPr>
        <w:rFonts w:ascii="Arial" w:cs="Arial" w:eastAsia="Arial" w:hAnsi="Arial"/>
        <w:i/>
        <w:iCs/>
        <w:color w:val="888888"/>
        <w:sz w:val="15"/>
        <w:szCs w:val="15"/>
      </w:rPr>
      <w:t xml:space="preserve">Vertrouwelijk — Ref. SOK-2026-CG-001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80"/>
      <w:outlineLvl w:val="0"/>
    </w:pPr>
    <w:rPr>
      <w:rFonts w:ascii="Arial" w:cs="Arial" w:eastAsia="Arial" w:hAnsi="Arial"/>
      <w:b/>
      <w:bCs/>
      <w:color w:val="003366"/>
      <w:sz w:val="24"/>
      <w:szCs w:val="24"/>
    </w:rPr>
  </w:style>
  <w:style w:type="paragraph" w:styleId="Heading2">
    <w:name w:val="Heading 2"/>
    <w:basedOn w:val="Normal"/>
    <w:next w:val="Normal"/>
    <w:qFormat/>
    <w:pPr>
      <w:spacing w:after="55" w:before="170"/>
      <w:outlineLvl w:val="1"/>
    </w:pPr>
    <w:rPr>
      <w:rFonts w:ascii="Arial" w:cs="Arial" w:eastAsia="Arial" w:hAnsi="Arial"/>
      <w:b/>
      <w:bCs/>
      <w:color w:val="1A527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2026-04-29T13:10:50.957Z</dcterms:created>
  <dcterms:modified xsi:type="dcterms:W3CDTF">2026-04-29T13:10:50.958Z</dcterms:modified>
</cp:coreProperties>
</file>

<file path=docProps/custom.xml><?xml version="1.0" encoding="utf-8"?>
<Properties xmlns="http://schemas.openxmlformats.org/officeDocument/2006/custom-properties" xmlns:vt="http://schemas.openxmlformats.org/officeDocument/2006/docPropsVTypes"/>
</file>