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rFonts w:ascii="Arial" w:cs="Arial" w:eastAsia="Arial" w:hAnsi="Arial"/>
          <w:b/>
          <w:bCs/>
          <w:color w:val="003366"/>
          <w:sz w:val="44"/>
          <w:szCs w:val="44"/>
        </w:rPr>
        <w:t xml:space="preserve">RAAMOVEREENKOMST</w:t>
      </w:r>
    </w:p>
    <w:p>
      <w:pPr>
        <w:spacing w:after="60" w:before="0"/>
        <w:jc w:val="center"/>
      </w:pPr>
      <w:r>
        <w:rPr>
          <w:rFonts w:ascii="Arial" w:cs="Arial" w:eastAsia="Arial" w:hAnsi="Arial"/>
          <w:b/>
          <w:bCs/>
          <w:color w:val="1A5276"/>
          <w:sz w:val="28"/>
          <w:szCs w:val="28"/>
        </w:rPr>
        <w:t xml:space="preserve">Levering van Industriële Componenten</w:t>
      </w:r>
    </w:p>
    <w:p>
      <w:pPr>
        <w:spacing w:after="60" w:before="0"/>
        <w:jc w:val="center"/>
      </w:pPr>
      <w:r>
        <w:rPr>
          <w:rFonts w:ascii="Arial" w:cs="Arial" w:eastAsia="Arial" w:hAnsi="Arial"/>
          <w:i/>
          <w:iCs/>
          <w:color w:val="555555"/>
          <w:sz w:val="19"/>
          <w:szCs w:val="19"/>
        </w:rPr>
        <w:t xml:space="preserve">Referentie: RO-2025-001</w:t>
      </w:r>
    </w:p>
    <w:p>
      <w:pPr>
        <w:pBdr>
          <w:top w:val="single" w:color="003366" w:sz="6" w:space="4"/>
          <w:bottom w:val="single" w:color="003366" w:sz="6" w:space="4"/>
        </w:pBdr>
        <w:spacing w:after="160" w:before="160"/>
        <w:jc w:val="center"/>
      </w:pPr>
      <w:r>
        <w:rPr>
          <w:rFonts w:ascii="Arial" w:cs="Arial" w:eastAsia="Arial" w:hAnsi="Arial"/>
          <w:b/>
          <w:bCs/>
          <w:color w:val="003366"/>
          <w:sz w:val="19"/>
          <w:szCs w:val="19"/>
        </w:rPr>
        <w:t xml:space="preserve">Gesloten te Brussel op 15 januari 2025</w:t>
      </w:r>
    </w:p>
    <w:p>
      <w:pPr>
        <w:spacing w:after="0" w:before="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Borders>
              <w:top w:val="single" w:color="AAAAAA" w:sz="4"/>
              <w:left w:val="single" w:color="AAAAAA" w:sz="4"/>
              <w:bottom w:val="single" w:color="AAAAAA" w:sz="4"/>
              <w:right w:val="single" w:color="AAAAAA" w:sz="4"/>
            </w:tcBorders>
            <w:shd w:fill="00336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 KLANT</w:t>
            </w:r>
          </w:p>
        </w:tc>
        <w:tc>
          <w:tcPr>
            <w:tcBorders>
              <w:top w:val="single" w:color="AAAAAA" w:sz="4"/>
              <w:left w:val="single" w:color="AAAAAA" w:sz="4"/>
              <w:bottom w:val="single" w:color="AAAAAA" w:sz="4"/>
              <w:right w:val="single" w:color="AAAAAA" w:sz="4"/>
            </w:tcBorders>
            <w:shd w:fill="00336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 LEVERANCIER</w:t>
            </w:r>
          </w:p>
        </w:tc>
      </w:tr>
      <w:tr>
        <w:tc>
          <w:tcPr>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19"/>
                <w:szCs w:val="19"/>
              </w:rPr>
              <w:t xml:space="preserve">EASI Group NV</w:t>
            </w:r>
          </w:p>
          <w:p>
            <w:r>
              <w:rPr>
                <w:rFonts w:ascii="Arial" w:cs="Arial" w:eastAsia="Arial" w:hAnsi="Arial"/>
                <w:sz w:val="17"/>
                <w:szCs w:val="17"/>
              </w:rPr>
              <w:t xml:space="preserve">Maatschappelijke zetel: 1000 Brussel</w:t>
            </w:r>
          </w:p>
          <w:p>
            <w:r>
              <w:rPr>
                <w:rFonts w:ascii="Arial" w:cs="Arial" w:eastAsia="Arial" w:hAnsi="Arial"/>
                <w:sz w:val="17"/>
                <w:szCs w:val="17"/>
              </w:rPr>
              <w:t xml:space="preserve">Ondernemingsnummer: BE 0123.456.789</w:t>
            </w:r>
          </w:p>
          <w:p>
            <w:r>
              <w:rPr>
                <w:rFonts w:ascii="Arial" w:cs="Arial" w:eastAsia="Arial" w:hAnsi="Arial"/>
                <w:sz w:val="17"/>
                <w:szCs w:val="17"/>
              </w:rPr>
              <w:t xml:space="preserve">Vertegenwoordigd door: Patrick De Coster, CEO</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19"/>
                <w:szCs w:val="19"/>
              </w:rPr>
              <w:t xml:space="preserve">supplier1 BV</w:t>
            </w:r>
          </w:p>
          <w:p>
            <w:r>
              <w:rPr>
                <w:rFonts w:ascii="Arial" w:cs="Arial" w:eastAsia="Arial" w:hAnsi="Arial"/>
                <w:sz w:val="17"/>
                <w:szCs w:val="17"/>
              </w:rPr>
              <w:t xml:space="preserve">Maatschappelijke zetel: [adres leverancier]</w:t>
            </w:r>
          </w:p>
          <w:p>
            <w:r>
              <w:rPr>
                <w:rFonts w:ascii="Arial" w:cs="Arial" w:eastAsia="Arial" w:hAnsi="Arial"/>
                <w:sz w:val="17"/>
                <w:szCs w:val="17"/>
              </w:rPr>
              <w:t xml:space="preserve">Ondernemingsnummer: BE 0987.654.321</w:t>
            </w:r>
          </w:p>
          <w:p>
            <w:r>
              <w:rPr>
                <w:rFonts w:ascii="Arial" w:cs="Arial" w:eastAsia="Arial" w:hAnsi="Arial"/>
                <w:sz w:val="17"/>
                <w:szCs w:val="17"/>
              </w:rPr>
              <w:t xml:space="preserve">Vertegenwoordigd door: Luc Van den Berg</w:t>
            </w:r>
          </w:p>
        </w:tc>
      </w:tr>
    </w:tbl>
    <w:p>
      <w:pPr>
        <w:spacing w:after="0" w:before="80"/>
      </w:pPr>
    </w:p>
    <w:p>
      <w:pPr>
        <w:spacing w:after="55" w:before="55"/>
        <w:jc w:val="both"/>
      </w:pPr>
      <w:r>
        <w:rPr>
          <w:rFonts w:ascii="Arial" w:cs="Arial" w:eastAsia="Arial" w:hAnsi="Arial"/>
          <w:sz w:val="19"/>
          <w:szCs w:val="19"/>
        </w:rPr>
        <w:t xml:space="preserve">Hierna afzonderlijk aangeduid als “de Partij” en gezamenlijk als “de Partijen”.</w:t>
      </w:r>
    </w:p>
    <w:p>
      <w:pPr>
        <w:spacing w:after="0" w:before="80"/>
      </w:pPr>
    </w:p>
    <w:p>
      <w:pPr>
        <w:spacing w:after="55" w:before="55"/>
        <w:jc w:val="both"/>
      </w:pPr>
      <w:r>
        <w:rPr>
          <w:rFonts w:ascii="Arial" w:cs="Arial" w:eastAsia="Arial" w:hAnsi="Arial"/>
          <w:b/>
          <w:bCs/>
          <w:sz w:val="19"/>
          <w:szCs w:val="19"/>
        </w:rPr>
        <w:t xml:space="preserve">HEBBEN OVERWOGEN ALS VOLGT:</w:t>
      </w:r>
    </w:p>
    <w:p>
      <w:pPr>
        <w:spacing w:after="0" w:before="40"/>
      </w:pPr>
    </w:p>
    <w:p>
      <w:pPr>
        <w:spacing w:after="55" w:before="55"/>
        <w:jc w:val="both"/>
      </w:pPr>
      <w:r>
        <w:rPr>
          <w:rFonts w:ascii="Arial" w:cs="Arial" w:eastAsia="Arial" w:hAnsi="Arial"/>
          <w:sz w:val="19"/>
          <w:szCs w:val="19"/>
        </w:rPr>
        <w:t xml:space="preserve">(A) EASI Group wenst te voorzien in de geregelde levering van industriële componenten ter ondersteuning van haar operationele activiteiten en projecten;</w:t>
      </w:r>
    </w:p>
    <w:p>
      <w:pPr>
        <w:spacing w:after="55" w:before="55"/>
        <w:jc w:val="both"/>
      </w:pPr>
      <w:r>
        <w:rPr>
          <w:rFonts w:ascii="Arial" w:cs="Arial" w:eastAsia="Arial" w:hAnsi="Arial"/>
          <w:sz w:val="19"/>
          <w:szCs w:val="19"/>
        </w:rPr>
        <w:t xml:space="preserve">(B) supplier1 BV is een gespecialiseerde onderneming die actief is in de productie en distributie van industriële componenten en beschikt over de vereiste technische expertise, middelen en certificeringen;</w:t>
      </w:r>
    </w:p>
    <w:p>
      <w:pPr>
        <w:spacing w:after="55" w:before="55"/>
        <w:jc w:val="both"/>
      </w:pPr>
      <w:r>
        <w:rPr>
          <w:rFonts w:ascii="Arial" w:cs="Arial" w:eastAsia="Arial" w:hAnsi="Arial"/>
          <w:sz w:val="19"/>
          <w:szCs w:val="19"/>
        </w:rPr>
        <w:t xml:space="preserve">(C) De Partijen wensen de voorwaarden voor deze samenwerking vast te leggen in een raamovereenkomst die als basis dient voor individuele bestellingen, zonder dat EASI Group gehouden is tot enige minimumafname.</w:t>
      </w:r>
    </w:p>
    <w:p>
      <w:pPr>
        <w:spacing w:after="0" w:before="50"/>
      </w:pPr>
    </w:p>
    <w:p>
      <w:pPr>
        <w:spacing w:after="55" w:before="55"/>
        <w:jc w:val="both"/>
      </w:pPr>
      <w:r>
        <w:rPr>
          <w:rFonts w:ascii="Arial" w:cs="Arial" w:eastAsia="Arial" w:hAnsi="Arial"/>
          <w:b/>
          <w:bCs/>
          <w:sz w:val="19"/>
          <w:szCs w:val="19"/>
        </w:rPr>
        <w:t xml:space="preserve">EN ZIJN ALS VOLGT OVEREENGEKOMEN:</w:t>
      </w:r>
    </w:p>
    <w:p>
      <w:pPr>
        <w:spacing w:after="0" w:before="80"/>
      </w:pPr>
    </w:p>
    <w:p>
      <w:pPr>
        <w:pStyle w:val="Heading1"/>
        <w:pBdr>
          <w:bottom w:val="single" w:color="003366" w:sz="6" w:space="2"/>
        </w:pBdr>
        <w:spacing w:after="100" w:before="300"/>
      </w:pPr>
      <w:r>
        <w:rPr>
          <w:rFonts w:ascii="Arial" w:cs="Arial" w:eastAsia="Arial" w:hAnsi="Arial"/>
          <w:b/>
          <w:bCs/>
          <w:color w:val="003366"/>
          <w:sz w:val="24"/>
          <w:szCs w:val="24"/>
        </w:rPr>
        <w:t xml:space="preserve">Artikel 1 — Voorwerp en Looptijd</w:t>
      </w:r>
    </w:p>
    <w:p>
      <w:pPr>
        <w:pStyle w:val="Heading2"/>
        <w:spacing w:after="60" w:before="180"/>
      </w:pPr>
      <w:r>
        <w:rPr>
          <w:rFonts w:ascii="Arial" w:cs="Arial" w:eastAsia="Arial" w:hAnsi="Arial"/>
          <w:b/>
          <w:bCs/>
          <w:color w:val="1A5276"/>
          <w:sz w:val="21"/>
          <w:szCs w:val="21"/>
        </w:rPr>
        <w:t xml:space="preserve">1.1 Voorwerp</w:t>
      </w:r>
    </w:p>
    <w:p>
      <w:pPr>
        <w:spacing w:after="55" w:before="55"/>
        <w:jc w:val="both"/>
      </w:pPr>
      <w:r>
        <w:rPr>
          <w:rFonts w:ascii="Arial" w:cs="Arial" w:eastAsia="Arial" w:hAnsi="Arial"/>
          <w:sz w:val="19"/>
          <w:szCs w:val="19"/>
        </w:rPr>
        <w:t xml:space="preserve">Deze raamovereenkomst (hierna: “de Overeenkomst”) regelt de algemene voorwaarden waaronder supplier1 BV industriële componenten levert aan EASI Group NV. De Overeenkomst vormt het contractuele kader voor alle individuele bestellingen (hierna: “de Bestelling(en)”) die EASI Group gedurende de looptijd plaatst. Elke Bestelling vormt een zelfstandige overeenkomst die onderworpen is aan de bepalingen van deze Overeenkomst. Bij strijdigheid tussen de bepalingen van een individuele Bestelling en deze Overeenkomst, hebben de bepalingen van deze Overeenkomst voorrang, tenzij de Partijen uitdrukkelijk en schriftelijk anders zijn overeengekomen.</w:t>
      </w:r>
    </w:p>
    <w:p>
      <w:pPr>
        <w:spacing w:after="0" w:before="40"/>
      </w:pPr>
    </w:p>
    <w:p>
      <w:pPr>
        <w:spacing w:after="55" w:before="55"/>
        <w:jc w:val="both"/>
      </w:pPr>
      <w:r>
        <w:rPr>
          <w:rFonts w:ascii="Arial" w:cs="Arial" w:eastAsia="Arial" w:hAnsi="Arial"/>
          <w:sz w:val="19"/>
          <w:szCs w:val="19"/>
        </w:rPr>
        <w:t xml:space="preserve">De te leveren componenten worden nader omschreven in de technische productcataloog van supplier1 BV, zoals gehecht als Bijlage 1 bij deze Overeenkomst en integraal deel uitmakend van de Overeenkomst.</w:t>
      </w:r>
    </w:p>
    <w:p>
      <w:pPr>
        <w:pStyle w:val="Heading2"/>
        <w:spacing w:after="60" w:before="180"/>
      </w:pPr>
      <w:r>
        <w:rPr>
          <w:rFonts w:ascii="Arial" w:cs="Arial" w:eastAsia="Arial" w:hAnsi="Arial"/>
          <w:b/>
          <w:bCs/>
          <w:color w:val="1A5276"/>
          <w:sz w:val="21"/>
          <w:szCs w:val="21"/>
        </w:rPr>
        <w:t xml:space="preserve">1.2 Looptijd</w:t>
      </w:r>
    </w:p>
    <w:p>
      <w:pPr>
        <w:spacing w:after="55" w:before="55"/>
        <w:jc w:val="both"/>
      </w:pPr>
      <w:r>
        <w:rPr>
          <w:rFonts w:ascii="Arial" w:cs="Arial" w:eastAsia="Arial" w:hAnsi="Arial"/>
          <w:sz w:val="19"/>
          <w:szCs w:val="19"/>
        </w:rPr>
        <w:t xml:space="preserve">De Overeenkomst treedt in werking op 1 januari 2025 en heeft een initiële looptijd tot en met 31 december 2025. Na het verstrijken van de initiële looptijd wordt de Overeenkomst stilzwijgend verlengd met opeenvolgende perioden van twaalf (12) maanden, tenzij één der Partijen de Overeenkomst schriftelijk opzegt via aangetekend schrijven met een opzegtermijn van minimaal drie (3) maanden vóór het einde van de lopende periode.</w:t>
      </w:r>
    </w:p>
    <w:p>
      <w:pPr>
        <w:spacing w:after="0" w:before="80"/>
      </w:pPr>
    </w:p>
    <w:p>
      <w:pPr>
        <w:pStyle w:val="Heading1"/>
        <w:pBdr>
          <w:bottom w:val="single" w:color="003366" w:sz="6" w:space="2"/>
        </w:pBdr>
        <w:spacing w:after="100" w:before="300"/>
      </w:pPr>
      <w:r>
        <w:rPr>
          <w:rFonts w:ascii="Arial" w:cs="Arial" w:eastAsia="Arial" w:hAnsi="Arial"/>
          <w:b/>
          <w:bCs/>
          <w:color w:val="003366"/>
          <w:sz w:val="24"/>
          <w:szCs w:val="24"/>
        </w:rPr>
        <w:t xml:space="preserve">Artikel 2 — Prijzen en Betalingsvoorwaarden</w:t>
      </w:r>
    </w:p>
    <w:p>
      <w:pPr>
        <w:pStyle w:val="Heading2"/>
        <w:spacing w:after="60" w:before="180"/>
      </w:pPr>
      <w:r>
        <w:rPr>
          <w:rFonts w:ascii="Arial" w:cs="Arial" w:eastAsia="Arial" w:hAnsi="Arial"/>
          <w:b/>
          <w:bCs/>
          <w:color w:val="1A5276"/>
          <w:sz w:val="21"/>
          <w:szCs w:val="21"/>
        </w:rPr>
        <w:t xml:space="preserve">2.1 Prijzen</w:t>
      </w:r>
    </w:p>
    <w:p>
      <w:pPr>
        <w:spacing w:after="55" w:before="55"/>
        <w:jc w:val="both"/>
      </w:pPr>
      <w:r>
        <w:rPr>
          <w:rFonts w:ascii="Arial" w:cs="Arial" w:eastAsia="Arial" w:hAnsi="Arial"/>
          <w:sz w:val="19"/>
          <w:szCs w:val="19"/>
        </w:rPr>
        <w:t xml:space="preserve">De toepasselijke prijzen voor de in Bijlage 1 opgenomen componenten zijn vastgesteld in de prijslijst van supplier1 BV geldig op de datum van elke Bestelling, zoals nader bepaald in Bijlage 2. Alle vermelde prijzen zijn exclusief BTW en exclusief eventuele milieubijdragen, heffingen of andere wettelijk verplichte toeslagen, welke steeds ten laste vallen van EASI Group. Prijswijzigingen worden uiterlijk dertig (30) kalenderdagen voorafgaand aan hun inwerkingtreding schriftelijk meegedeeld aan EASI Group. Tijdens de opzegtermijn zijn de op dat ogenblik geldende prijzen van toepassing.</w:t>
      </w:r>
    </w:p>
    <w:p>
      <w:pPr>
        <w:pStyle w:val="Heading2"/>
        <w:spacing w:after="60" w:before="180"/>
      </w:pPr>
      <w:r>
        <w:rPr>
          <w:rFonts w:ascii="Arial" w:cs="Arial" w:eastAsia="Arial" w:hAnsi="Arial"/>
          <w:b/>
          <w:bCs/>
          <w:color w:val="1A5276"/>
          <w:sz w:val="21"/>
          <w:szCs w:val="21"/>
        </w:rPr>
        <w:t xml:space="preserve">2.2 Indexatie via ABEX</w:t>
      </w:r>
    </w:p>
    <w:p>
      <w:pPr>
        <w:spacing w:after="55" w:before="55"/>
        <w:jc w:val="both"/>
      </w:pPr>
      <w:r>
        <w:rPr>
          <w:rFonts w:ascii="Arial" w:cs="Arial" w:eastAsia="Arial" w:hAnsi="Arial"/>
          <w:sz w:val="19"/>
          <w:szCs w:val="19"/>
        </w:rPr>
        <w:t xml:space="preserve">De prijzen zijn koppelbaar aan de ABEX-index (index voor bouwkosten, gepubliceerd door de Belgische Confederatie van het Bouwbedrijf) of, bij gebreke van een toepasselijke sectorele index, aan de gezondheidsindex. Een indexaanpassing kan éénmaal per kalenderjaar worden doorgevoerd, op de verjaardag van de inwerkingtreding van de Overeenkomst, op basis van de volgende formule:</w:t>
      </w:r>
    </w:p>
    <w:p>
      <w:pPr>
        <w:spacing w:after="0" w:before="40"/>
      </w:pPr>
    </w:p>
    <w:p>
      <w:pPr>
        <w:pBdr>
          <w:top w:val="single" w:color="AAAAAA" w:sz="4"/>
          <w:left w:val="single" w:color="AAAAAA" w:sz="4"/>
          <w:bottom w:val="single" w:color="AAAAAA" w:sz="4"/>
          <w:right w:val="single" w:color="AAAAAA" w:sz="4"/>
        </w:pBdr>
        <w:shd w:fill="D6E4F0" w:val="clear"/>
        <w:spacing w:after="60" w:before="60"/>
        <w:jc w:val="center"/>
      </w:pPr>
      <w:r>
        <w:rPr>
          <w:rFonts w:ascii="Arial" w:cs="Arial" w:eastAsia="Arial" w:hAnsi="Arial"/>
          <w:b/>
          <w:bCs/>
          <w:i/>
          <w:iCs/>
          <w:color w:val="003366"/>
          <w:sz w:val="19"/>
          <w:szCs w:val="19"/>
        </w:rPr>
        <w:t xml:space="preserve">Nieuwe prijs = Basisprijs × (Nieuwe ABEX-index / ABEX-index op datum inwerkingtreding)</w:t>
      </w:r>
    </w:p>
    <w:p>
      <w:pPr>
        <w:spacing w:after="0" w:before="40"/>
      </w:pPr>
    </w:p>
    <w:p>
      <w:pPr>
        <w:spacing w:after="55" w:before="55"/>
        <w:jc w:val="both"/>
      </w:pPr>
      <w:r>
        <w:rPr>
          <w:rFonts w:ascii="Arial" w:cs="Arial" w:eastAsia="Arial" w:hAnsi="Arial"/>
          <w:sz w:val="19"/>
          <w:szCs w:val="19"/>
        </w:rPr>
        <w:t xml:space="preserve">De indexaanpassing kan nooit meer bedragen dan vijf procent (5%) op jaarbasis. Een hogere aanpassing vereist de schriftelijke instemming van EASI Group.</w:t>
      </w:r>
    </w:p>
    <w:p>
      <w:pPr>
        <w:pStyle w:val="Heading2"/>
        <w:spacing w:after="60" w:before="180"/>
      </w:pPr>
      <w:r>
        <w:rPr>
          <w:rFonts w:ascii="Arial" w:cs="Arial" w:eastAsia="Arial" w:hAnsi="Arial"/>
          <w:b/>
          <w:bCs/>
          <w:color w:val="1A5276"/>
          <w:sz w:val="21"/>
          <w:szCs w:val="21"/>
        </w:rPr>
        <w:t xml:space="preserve">2.3 Betalingstermijn</w:t>
      </w:r>
    </w:p>
    <w:p>
      <w:pPr>
        <w:spacing w:after="55" w:before="55"/>
        <w:jc w:val="both"/>
      </w:pPr>
      <w:r>
        <w:rPr>
          <w:rFonts w:ascii="Arial" w:cs="Arial" w:eastAsia="Arial" w:hAnsi="Arial"/>
          <w:sz w:val="19"/>
          <w:szCs w:val="19"/>
        </w:rPr>
        <w:t xml:space="preserve">Facturen zijn betaalbaar binnen dertig (30) kalenderdagen na de factuurdatum (netto 30 dagen), op de bankrekening vermeld op de factuur. Facturen dienen te voldoen aan alle wettelijke vereisten en dienen te verwijzen naar het Bestelnummer van EASI Group. Bij gebreke van een geldig Bestelnummer kan EASI Group de factuur terugsturen zonder dat de betalingstermijn begint te lopen. Bij laattijdige betaling zijn van rechtswege en zonder ingebrekestelling verwijlintresten verschuldigd conform de wet van 2 augustus 2002 betreffende de bestrijding van betalingsachterstand bij handelstransacties.</w:t>
      </w:r>
    </w:p>
    <w:p>
      <w:pPr>
        <w:spacing w:after="0" w:before="80"/>
      </w:pPr>
    </w:p>
    <w:p>
      <w:pPr>
        <w:pStyle w:val="Heading1"/>
        <w:pBdr>
          <w:bottom w:val="single" w:color="003366" w:sz="6" w:space="2"/>
        </w:pBdr>
        <w:spacing w:after="100" w:before="300"/>
      </w:pPr>
      <w:r>
        <w:rPr>
          <w:rFonts w:ascii="Arial" w:cs="Arial" w:eastAsia="Arial" w:hAnsi="Arial"/>
          <w:b/>
          <w:bCs/>
          <w:color w:val="003366"/>
          <w:sz w:val="24"/>
          <w:szCs w:val="24"/>
        </w:rPr>
        <w:t xml:space="preserve">Artikel 3 — Leveringstermijnen en Service Level Agreement (SLA)</w:t>
      </w:r>
    </w:p>
    <w:p>
      <w:pPr>
        <w:pStyle w:val="Heading2"/>
        <w:spacing w:after="60" w:before="180"/>
      </w:pPr>
      <w:r>
        <w:rPr>
          <w:rFonts w:ascii="Arial" w:cs="Arial" w:eastAsia="Arial" w:hAnsi="Arial"/>
          <w:b/>
          <w:bCs/>
          <w:color w:val="1A5276"/>
          <w:sz w:val="21"/>
          <w:szCs w:val="21"/>
        </w:rPr>
        <w:t xml:space="preserve">3.1 Standaardleveringstermijn</w:t>
      </w:r>
    </w:p>
    <w:p>
      <w:pPr>
        <w:spacing w:after="55" w:before="55"/>
        <w:jc w:val="both"/>
      </w:pPr>
      <w:r>
        <w:rPr>
          <w:rFonts w:ascii="Arial" w:cs="Arial" w:eastAsia="Arial" w:hAnsi="Arial"/>
          <w:sz w:val="19"/>
          <w:szCs w:val="19"/>
        </w:rPr>
        <w:t xml:space="preserve">Bestellingen worden geleverd binnen vijf (5) werkdagen na schriftelijke orderbevestiging door supplier1 BV. Leveringen geschieden op het door EASI Group opgegeven leveringsadres. De leveringstermijn begint te lopen op de werkdag volgend op de datum van de orderbevestiging. supplier1 BV bevestigt elke Bestelling uiterlijk de werkdag na ontvangst.</w:t>
      </w:r>
    </w:p>
    <w:p>
      <w:pPr>
        <w:pStyle w:val="Heading2"/>
        <w:spacing w:after="60" w:before="180"/>
      </w:pPr>
      <w:r>
        <w:rPr>
          <w:rFonts w:ascii="Arial" w:cs="Arial" w:eastAsia="Arial" w:hAnsi="Arial"/>
          <w:b/>
          <w:bCs/>
          <w:color w:val="1A5276"/>
          <w:sz w:val="21"/>
          <w:szCs w:val="21"/>
        </w:rPr>
        <w:t xml:space="preserve">3.2 Spoedleveringen</w:t>
      </w:r>
    </w:p>
    <w:p>
      <w:pPr>
        <w:spacing w:after="55" w:before="55"/>
        <w:jc w:val="both"/>
      </w:pPr>
      <w:r>
        <w:rPr>
          <w:rFonts w:ascii="Arial" w:cs="Arial" w:eastAsia="Arial" w:hAnsi="Arial"/>
          <w:sz w:val="19"/>
          <w:szCs w:val="19"/>
        </w:rPr>
        <w:t xml:space="preserve">Op uitdrukkelijk verzoek van EASI Group kan supplier1 BV een spoedlevering uitvoeren binnen achtenveertig (48) uur na bevestiging. Spoedleveringen zijn onderworpen aan een toeslag zoals bepaald in Bijlage 2, en zijn slechts beschikbaar voor componenten die op voorraad zijn bij supplier1 BV. De beschikbaarheid van spoedleveringen wordt door supplier1 BV bevestigd uiterlijk twee (2) uur na ontvangst van het spoedverzoek.</w:t>
      </w:r>
    </w:p>
    <w:p>
      <w:pPr>
        <w:pStyle w:val="Heading2"/>
        <w:spacing w:after="60" w:before="180"/>
      </w:pPr>
      <w:r>
        <w:rPr>
          <w:rFonts w:ascii="Arial" w:cs="Arial" w:eastAsia="Arial" w:hAnsi="Arial"/>
          <w:b/>
          <w:bCs/>
          <w:color w:val="1A5276"/>
          <w:sz w:val="21"/>
          <w:szCs w:val="21"/>
        </w:rPr>
        <w:t xml:space="preserve">3.3 Vertraging en boetebeding</w:t>
      </w:r>
    </w:p>
    <w:p>
      <w:pPr>
        <w:spacing w:after="55" w:before="55"/>
        <w:jc w:val="both"/>
      </w:pPr>
      <w:r>
        <w:rPr>
          <w:rFonts w:ascii="Arial" w:cs="Arial" w:eastAsia="Arial" w:hAnsi="Arial"/>
          <w:sz w:val="19"/>
          <w:szCs w:val="19"/>
        </w:rPr>
        <w:t xml:space="preserve">Bij overschrijding van de overeengekomen leveringstermijn met meer dan twee (2) werkdagen, zonder dat EASI Group hiervoor voorafgaand en schriftelijk haar akkoord heeft gegeven, is supplier1 BV een forfaitaire vertragingtoeslag verschuldigd van 0,5% van de waarde van de betrokken Bestelling per begonnen werkdag vertraging, met een maximum van 10% van de Bestellingswaarde. De toepassing van dit boetebeding laat het recht van EASI Group op bijkomende schadevergoeding onverlet.</w:t>
      </w:r>
    </w:p>
    <w:p>
      <w:pPr>
        <w:pStyle w:val="Heading2"/>
        <w:spacing w:after="60" w:before="180"/>
      </w:pPr>
      <w:r>
        <w:rPr>
          <w:rFonts w:ascii="Arial" w:cs="Arial" w:eastAsia="Arial" w:hAnsi="Arial"/>
          <w:b/>
          <w:bCs/>
          <w:color w:val="1A5276"/>
          <w:sz w:val="21"/>
          <w:szCs w:val="21"/>
        </w:rPr>
        <w:t xml:space="preserve">3.4 Eigendomsvoorbehoud en risico-overgang</w:t>
      </w:r>
    </w:p>
    <w:p>
      <w:pPr>
        <w:spacing w:after="55" w:before="55"/>
        <w:jc w:val="both"/>
      </w:pPr>
      <w:r>
        <w:rPr>
          <w:rFonts w:ascii="Arial" w:cs="Arial" w:eastAsia="Arial" w:hAnsi="Arial"/>
          <w:sz w:val="19"/>
          <w:szCs w:val="19"/>
        </w:rPr>
        <w:t xml:space="preserve">De eigendom van de geleverde componenten gaat over op EASI Group op het moment van volledige betaling van de overeenstemmende factuur. Het risico van verlies of beschadiging gaat over op EASI Group op het moment van effectieve levering op het opgegeven leveringsadres, na ondertekening van de leveringsbon.</w:t>
      </w:r>
    </w:p>
    <w:p>
      <w:pPr>
        <w:spacing w:after="0" w:before="80"/>
      </w:pPr>
    </w:p>
    <w:p>
      <w:pPr>
        <w:pStyle w:val="Heading1"/>
        <w:pBdr>
          <w:bottom w:val="single" w:color="003366" w:sz="6" w:space="2"/>
        </w:pBdr>
        <w:spacing w:after="100" w:before="300"/>
      </w:pPr>
      <w:r>
        <w:rPr>
          <w:rFonts w:ascii="Arial" w:cs="Arial" w:eastAsia="Arial" w:hAnsi="Arial"/>
          <w:b/>
          <w:bCs/>
          <w:color w:val="003366"/>
          <w:sz w:val="24"/>
          <w:szCs w:val="24"/>
        </w:rPr>
        <w:t xml:space="preserve">Artikel 4 — Communicatie en Escalatieprocedure</w:t>
      </w:r>
    </w:p>
    <w:p>
      <w:pPr>
        <w:pStyle w:val="Heading2"/>
        <w:spacing w:after="60" w:before="180"/>
      </w:pPr>
      <w:r>
        <w:rPr>
          <w:rFonts w:ascii="Arial" w:cs="Arial" w:eastAsia="Arial" w:hAnsi="Arial"/>
          <w:b/>
          <w:bCs/>
          <w:color w:val="1A5276"/>
          <w:sz w:val="21"/>
          <w:szCs w:val="21"/>
        </w:rPr>
        <w:t xml:space="preserve">4.1 Operationeel communicatiekanaal</w:t>
      </w:r>
    </w:p>
    <w:p>
      <w:pPr>
        <w:spacing w:after="55" w:before="55"/>
        <w:jc w:val="both"/>
      </w:pPr>
      <w:r>
        <w:rPr>
          <w:rFonts w:ascii="Arial" w:cs="Arial" w:eastAsia="Arial" w:hAnsi="Arial"/>
          <w:sz w:val="19"/>
          <w:szCs w:val="19"/>
        </w:rPr>
        <w:t xml:space="preserve">Alle operationele communicatie tussen de Partijen, met inbegrip van bestellingen, leveringsbevestigingen, technische vragen en dagdagelijks overleg, verloopt uitsluitend via het daartoe aangewezen kanaal op het Microsoft Teams-platform, meer bepaald het kanaal “EASI–supplier1 Operaties” (hierna: “het Teams-kanaal”). Communicatie die via andere kanalen wordt verstuurd, geldt niet als officieel en kan door de ontvangende Partij worden genegeerd zonder dat hieruit enige aansprakelijkheid of verplichting voortvloeit.</w:t>
      </w:r>
    </w:p>
    <w:p>
      <w:pPr>
        <w:spacing w:after="0" w:before="40"/>
      </w:pPr>
    </w:p>
    <w:p>
      <w:pPr>
        <w:spacing w:after="55" w:before="55"/>
        <w:jc w:val="both"/>
      </w:pPr>
      <w:r>
        <w:rPr>
          <w:rFonts w:ascii="Arial" w:cs="Arial" w:eastAsia="Arial" w:hAnsi="Arial"/>
          <w:b w:val="false"/>
          <w:bCs w:val="false"/>
          <w:sz w:val="19"/>
          <w:szCs w:val="19"/>
        </w:rPr>
        <w:t xml:space="preserve">E-mail wordt uitdrukkelijk NIET aanvaard als officieel communicatie- of escalatiekanaal in het kader van deze Overeenkomst, tenzij uitdrukkelijk anders bepaald in dit artikel of in geval van technische onbeschikbaarheid van het Teams-platform voor een aaneengesloten periode van meer dan vier (4) uur, waarbij e-mail als tijdelijk noodkanaal geldt.</w:t>
      </w:r>
    </w:p>
    <w:p>
      <w:pPr>
        <w:pStyle w:val="Heading2"/>
        <w:spacing w:after="60" w:before="180"/>
      </w:pPr>
      <w:r>
        <w:rPr>
          <w:rFonts w:ascii="Arial" w:cs="Arial" w:eastAsia="Arial" w:hAnsi="Arial"/>
          <w:b/>
          <w:bCs/>
          <w:color w:val="1A5276"/>
          <w:sz w:val="21"/>
          <w:szCs w:val="21"/>
        </w:rPr>
        <w:t xml:space="preserve">4.2 Contactpersonen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400"/>
      </w:tblGrid>
      <w:tr>
        <w:tc>
          <w:tcPr>
            <w:tcBorders>
              <w:top w:val="single" w:color="AAAAAA" w:sz="4"/>
              <w:left w:val="single" w:color="AAAAAA" w:sz="4"/>
              <w:bottom w:val="single" w:color="AAAAAA" w:sz="4"/>
              <w:right w:val="single" w:color="AAAAAA" w:sz="4"/>
            </w:tcBorders>
            <w:shd w:fill="003366" w:val="clear"/>
            <w:tcMar>
              <w:top w:type="dxa" w:w="70"/>
              <w:left w:type="dxa" w:w="110"/>
              <w:bottom w:type="dxa" w:w="70"/>
              <w:right w:type="dxa" w:w="110"/>
            </w:tcMar>
          </w:tcPr>
          <w:p>
            <w:r>
              <w:rPr>
                <w:rFonts w:ascii="Arial" w:cs="Arial" w:eastAsia="Arial" w:hAnsi="Arial"/>
                <w:b/>
                <w:bCs/>
                <w:color w:val="FFFFFF"/>
                <w:sz w:val="17"/>
                <w:szCs w:val="17"/>
              </w:rPr>
              <w:t xml:space="preserve">Rol</w:t>
            </w:r>
          </w:p>
        </w:tc>
        <w:tc>
          <w:tcPr>
            <w:tcBorders>
              <w:top w:val="single" w:color="AAAAAA" w:sz="4"/>
              <w:left w:val="single" w:color="AAAAAA" w:sz="4"/>
              <w:bottom w:val="single" w:color="AAAAAA" w:sz="4"/>
              <w:right w:val="single" w:color="AAAAAA" w:sz="4"/>
            </w:tcBorders>
            <w:shd w:fill="003366" w:val="clear"/>
            <w:tcMar>
              <w:top w:type="dxa" w:w="70"/>
              <w:left w:type="dxa" w:w="110"/>
              <w:bottom w:type="dxa" w:w="70"/>
              <w:right w:type="dxa" w:w="110"/>
            </w:tcMar>
          </w:tcPr>
          <w:p>
            <w:r>
              <w:rPr>
                <w:rFonts w:ascii="Arial" w:cs="Arial" w:eastAsia="Arial" w:hAnsi="Arial"/>
                <w:b/>
                <w:bCs/>
                <w:color w:val="FFFFFF"/>
                <w:sz w:val="17"/>
                <w:szCs w:val="17"/>
              </w:rPr>
              <w:t xml:space="preserve">Naam</w:t>
            </w:r>
          </w:p>
        </w:tc>
        <w:tc>
          <w:tcPr>
            <w:tcBorders>
              <w:top w:val="single" w:color="AAAAAA" w:sz="4"/>
              <w:left w:val="single" w:color="AAAAAA" w:sz="4"/>
              <w:bottom w:val="single" w:color="AAAAAA" w:sz="4"/>
              <w:right w:val="single" w:color="AAAAAA" w:sz="4"/>
            </w:tcBorders>
            <w:shd w:fill="003366" w:val="clear"/>
            <w:tcMar>
              <w:top w:type="dxa" w:w="70"/>
              <w:left w:type="dxa" w:w="110"/>
              <w:bottom w:type="dxa" w:w="70"/>
              <w:right w:type="dxa" w:w="110"/>
            </w:tcMar>
          </w:tcPr>
          <w:p>
            <w:r>
              <w:rPr>
                <w:rFonts w:ascii="Arial" w:cs="Arial" w:eastAsia="Arial" w:hAnsi="Arial"/>
                <w:b/>
                <w:bCs/>
                <w:color w:val="FFFFFF"/>
                <w:sz w:val="17"/>
                <w:szCs w:val="17"/>
              </w:rPr>
              <w:t xml:space="preserve">E-mail (enkel noodkanaal)</w:t>
            </w:r>
          </w:p>
        </w:tc>
        <w:tc>
          <w:tcPr>
            <w:tcBorders>
              <w:top w:val="single" w:color="AAAAAA" w:sz="4"/>
              <w:left w:val="single" w:color="AAAAAA" w:sz="4"/>
              <w:bottom w:val="single" w:color="AAAAAA" w:sz="4"/>
              <w:right w:val="single" w:color="AAAAAA" w:sz="4"/>
            </w:tcBorders>
            <w:shd w:fill="003366" w:val="clear"/>
            <w:tcMar>
              <w:top w:type="dxa" w:w="70"/>
              <w:left w:type="dxa" w:w="110"/>
              <w:bottom w:type="dxa" w:w="70"/>
              <w:right w:type="dxa" w:w="110"/>
            </w:tcMar>
          </w:tcPr>
          <w:p>
            <w:r>
              <w:rPr>
                <w:rFonts w:ascii="Arial" w:cs="Arial" w:eastAsia="Arial" w:hAnsi="Arial"/>
                <w:b/>
                <w:bCs/>
                <w:color w:val="FFFFFF"/>
                <w:sz w:val="17"/>
                <w:szCs w:val="17"/>
              </w:rPr>
              <w:t xml:space="preserve">Teams-alias</w:t>
            </w:r>
          </w:p>
        </w:tc>
      </w:tr>
      <w:tr>
        <w:tc>
          <w:tcPr>
            <w:tcBorders>
              <w:top w:val="single" w:color="AAAAAA" w:sz="4"/>
              <w:left w:val="single" w:color="AAAAAA" w:sz="4"/>
              <w:bottom w:val="single" w:color="AAAAAA" w:sz="4"/>
              <w:right w:val="single" w:color="AAAAAA" w:sz="4"/>
            </w:tcBorders>
            <w:shd w:fill="D6E4F0" w:val="clear"/>
            <w:tcMar>
              <w:top w:type="dxa" w:w="70"/>
              <w:left w:type="dxa" w:w="110"/>
              <w:bottom w:type="dxa" w:w="70"/>
              <w:right w:type="dxa" w:w="110"/>
            </w:tcMar>
          </w:tcPr>
          <w:p>
            <w:r>
              <w:rPr>
                <w:rFonts w:ascii="Arial" w:cs="Arial" w:eastAsia="Arial" w:hAnsi="Arial"/>
                <w:sz w:val="17"/>
                <w:szCs w:val="17"/>
              </w:rPr>
              <w:t xml:space="preserve">Accountbeheerder supplier1 (L1)</w:t>
            </w:r>
          </w:p>
        </w:tc>
        <w:tc>
          <w:tcPr>
            <w:tcBorders>
              <w:top w:val="single" w:color="AAAAAA" w:sz="4"/>
              <w:left w:val="single" w:color="AAAAAA" w:sz="4"/>
              <w:bottom w:val="single" w:color="AAAAAA" w:sz="4"/>
              <w:right w:val="single" w:color="AAAAAA" w:sz="4"/>
            </w:tcBorders>
            <w:shd w:fill="D6E4F0" w:val="clear"/>
            <w:tcMar>
              <w:top w:type="dxa" w:w="70"/>
              <w:left w:type="dxa" w:w="110"/>
              <w:bottom w:type="dxa" w:w="70"/>
              <w:right w:type="dxa" w:w="110"/>
            </w:tcMar>
          </w:tcPr>
          <w:p>
            <w:r>
              <w:rPr>
                <w:rFonts w:ascii="Arial" w:cs="Arial" w:eastAsia="Arial" w:hAnsi="Arial"/>
                <w:b/>
                <w:bCs/>
                <w:sz w:val="17"/>
                <w:szCs w:val="17"/>
              </w:rPr>
              <w:t xml:space="preserve">Marc Supplier</w:t>
            </w:r>
          </w:p>
        </w:tc>
        <w:tc>
          <w:tcPr>
            <w:tcBorders>
              <w:top w:val="single" w:color="AAAAAA" w:sz="4"/>
              <w:left w:val="single" w:color="AAAAAA" w:sz="4"/>
              <w:bottom w:val="single" w:color="AAAAAA" w:sz="4"/>
              <w:right w:val="single" w:color="AAAAAA" w:sz="4"/>
            </w:tcBorders>
            <w:shd w:fill="D6E4F0" w:val="clear"/>
            <w:tcMar>
              <w:top w:type="dxa" w:w="70"/>
              <w:left w:type="dxa" w:w="110"/>
              <w:bottom w:type="dxa" w:w="70"/>
              <w:right w:type="dxa" w:w="110"/>
            </w:tcMar>
          </w:tcPr>
          <w:p>
            <w:r>
              <w:rPr>
                <w:rFonts w:ascii="Arial" w:cs="Arial" w:eastAsia="Arial" w:hAnsi="Arial"/>
                <w:sz w:val="17"/>
                <w:szCs w:val="17"/>
              </w:rPr>
              <w:t xml:space="preserve">marc.supplier@supplier1.be</w:t>
            </w:r>
          </w:p>
        </w:tc>
        <w:tc>
          <w:tcPr>
            <w:tcBorders>
              <w:top w:val="single" w:color="AAAAAA" w:sz="4"/>
              <w:left w:val="single" w:color="AAAAAA" w:sz="4"/>
              <w:bottom w:val="single" w:color="AAAAAA" w:sz="4"/>
              <w:right w:val="single" w:color="AAAAAA" w:sz="4"/>
            </w:tcBorders>
            <w:shd w:fill="D6E4F0" w:val="clear"/>
            <w:tcMar>
              <w:top w:type="dxa" w:w="70"/>
              <w:left w:type="dxa" w:w="110"/>
              <w:bottom w:type="dxa" w:w="70"/>
              <w:right w:type="dxa" w:w="110"/>
            </w:tcMar>
          </w:tcPr>
          <w:p>
            <w:r>
              <w:rPr>
                <w:rFonts w:ascii="Arial" w:cs="Arial" w:eastAsia="Arial" w:hAnsi="Arial"/>
                <w:b/>
                <w:bCs/>
                <w:sz w:val="17"/>
                <w:szCs w:val="17"/>
              </w:rPr>
              <w:t xml:space="preserve">marc.supplier</w:t>
            </w:r>
          </w:p>
        </w:tc>
      </w:tr>
      <w:tr>
        <w:tc>
          <w:tcPr>
            <w:tcBorders>
              <w:top w:val="single" w:color="AAAAAA" w:sz="4"/>
              <w:left w:val="single" w:color="AAAAAA" w:sz="4"/>
              <w:bottom w:val="single" w:color="AAAAAA" w:sz="4"/>
              <w:right w:val="single" w:color="AAAAAA" w:sz="4"/>
            </w:tcBorders>
            <w:shd w:fill="F2F2F2" w:val="clear"/>
            <w:tcMar>
              <w:top w:type="dxa" w:w="70"/>
              <w:left w:type="dxa" w:w="110"/>
              <w:bottom w:type="dxa" w:w="70"/>
              <w:right w:type="dxa" w:w="110"/>
            </w:tcMar>
          </w:tcPr>
          <w:p>
            <w:r>
              <w:rPr>
                <w:rFonts w:ascii="Arial" w:cs="Arial" w:eastAsia="Arial" w:hAnsi="Arial"/>
                <w:sz w:val="17"/>
                <w:szCs w:val="17"/>
              </w:rPr>
              <w:t xml:space="preserve">Directeur Operations supplier1 (L2)</w:t>
            </w:r>
          </w:p>
        </w:tc>
        <w:tc>
          <w:tcPr>
            <w:tcBorders>
              <w:top w:val="single" w:color="AAAAAA" w:sz="4"/>
              <w:left w:val="single" w:color="AAAAAA" w:sz="4"/>
              <w:bottom w:val="single" w:color="AAAAAA" w:sz="4"/>
              <w:right w:val="single" w:color="AAAAAA" w:sz="4"/>
            </w:tcBorders>
            <w:shd w:fill="F2F2F2" w:val="clear"/>
            <w:tcMar>
              <w:top w:type="dxa" w:w="70"/>
              <w:left w:type="dxa" w:w="110"/>
              <w:bottom w:type="dxa" w:w="70"/>
              <w:right w:type="dxa" w:w="110"/>
            </w:tcMar>
          </w:tcPr>
          <w:p>
            <w:r>
              <w:rPr>
                <w:rFonts w:ascii="Arial" w:cs="Arial" w:eastAsia="Arial" w:hAnsi="Arial"/>
                <w:i/>
                <w:iCs/>
                <w:sz w:val="17"/>
                <w:szCs w:val="17"/>
              </w:rPr>
              <w:t xml:space="preserve">[naam directeur]</w:t>
            </w:r>
          </w:p>
        </w:tc>
        <w:tc>
          <w:tcPr>
            <w:tcBorders>
              <w:top w:val="single" w:color="AAAAAA" w:sz="4"/>
              <w:left w:val="single" w:color="AAAAAA" w:sz="4"/>
              <w:bottom w:val="single" w:color="AAAAAA" w:sz="4"/>
              <w:right w:val="single" w:color="AAAAAA" w:sz="4"/>
            </w:tcBorders>
            <w:shd w:fill="F2F2F2" w:val="clear"/>
            <w:tcMar>
              <w:top w:type="dxa" w:w="70"/>
              <w:left w:type="dxa" w:w="110"/>
              <w:bottom w:type="dxa" w:w="70"/>
              <w:right w:type="dxa" w:w="110"/>
            </w:tcMar>
          </w:tcPr>
          <w:p>
            <w:r>
              <w:rPr>
                <w:rFonts w:ascii="Arial" w:cs="Arial" w:eastAsia="Arial" w:hAnsi="Arial"/>
                <w:i/>
                <w:iCs/>
                <w:sz w:val="17"/>
                <w:szCs w:val="17"/>
              </w:rPr>
              <w:t xml:space="preserve">[e-mail directeur]</w:t>
            </w:r>
          </w:p>
        </w:tc>
        <w:tc>
          <w:tcPr>
            <w:tcBorders>
              <w:top w:val="single" w:color="AAAAAA" w:sz="4"/>
              <w:left w:val="single" w:color="AAAAAA" w:sz="4"/>
              <w:bottom w:val="single" w:color="AAAAAA" w:sz="4"/>
              <w:right w:val="single" w:color="AAAAAA" w:sz="4"/>
            </w:tcBorders>
            <w:shd w:fill="F2F2F2" w:val="clear"/>
            <w:tcMar>
              <w:top w:type="dxa" w:w="70"/>
              <w:left w:type="dxa" w:w="110"/>
              <w:bottom w:type="dxa" w:w="70"/>
              <w:right w:type="dxa" w:w="110"/>
            </w:tcMar>
          </w:tcPr>
          <w:p>
            <w:r>
              <w:rPr>
                <w:rFonts w:ascii="Arial" w:cs="Arial" w:eastAsia="Arial" w:hAnsi="Arial"/>
                <w:i/>
                <w:iCs/>
                <w:sz w:val="17"/>
                <w:szCs w:val="17"/>
              </w:rPr>
              <w:t xml:space="preserve">[Teams-alias directeur]</w:t>
            </w:r>
          </w:p>
        </w:tc>
      </w:tr>
    </w:tbl>
    <w:p>
      <w:pPr>
        <w:spacing w:after="0" w:before="100"/>
      </w:pPr>
    </w:p>
    <w:p>
      <w:pPr>
        <w:pStyle w:val="Heading2"/>
        <w:spacing w:after="60" w:before="180"/>
      </w:pPr>
      <w:r>
        <w:rPr>
          <w:rFonts w:ascii="Arial" w:cs="Arial" w:eastAsia="Arial" w:hAnsi="Arial"/>
          <w:b/>
          <w:bCs/>
          <w:color w:val="1A5276"/>
          <w:sz w:val="21"/>
          <w:szCs w:val="21"/>
        </w:rPr>
        <w:t xml:space="preserve">4.3 Escalatieprocedure</w:t>
      </w:r>
    </w:p>
    <w:p>
      <w:pPr>
        <w:spacing w:after="55" w:before="55"/>
        <w:jc w:val="both"/>
      </w:pPr>
      <w:r>
        <w:rPr>
          <w:rFonts w:ascii="Arial" w:cs="Arial" w:eastAsia="Arial" w:hAnsi="Arial"/>
          <w:sz w:val="19"/>
          <w:szCs w:val="19"/>
        </w:rPr>
        <w:t xml:space="preserve">Bij operationele incidenten, meningsverschillen of niet-naleving van de SLA-bepalingen geldt de volgende escalatieprocedure, waarbij e-mail als officieel escalatiekanaal uitdrukkelijk is uitgesloten:</w:t>
      </w:r>
    </w:p>
    <w:p>
      <w:pPr>
        <w:spacing w:after="0" w:before="40"/>
      </w:pPr>
    </w:p>
    <w:p>
      <w:pPr>
        <w:pStyle w:val="ListParagraph"/>
        <w:numPr>
          <w:ilvl w:val="0"/>
          <w:numId w:val="2"/>
        </w:numPr>
        <w:spacing w:after="45" w:before="45"/>
      </w:pPr>
      <w:r>
        <w:rPr>
          <w:rFonts w:ascii="Arial" w:cs="Arial" w:eastAsia="Arial" w:hAnsi="Arial"/>
          <w:sz w:val="19"/>
          <w:szCs w:val="19"/>
        </w:rPr>
        <w:t xml:space="preserve">Niveau 1 (Operationeel): De betrokken medewerkers van beide Partijen treden in overleg via het Teams-kanaal “EASI–supplier1 Operaties”. Doel: oplossing binnen één (1) werkdag.</w:t>
      </w:r>
    </w:p>
    <w:p>
      <w:pPr>
        <w:pStyle w:val="ListParagraph"/>
        <w:numPr>
          <w:ilvl w:val="0"/>
          <w:numId w:val="2"/>
        </w:numPr>
        <w:spacing w:after="45" w:before="45"/>
      </w:pPr>
      <w:r>
        <w:rPr>
          <w:rFonts w:ascii="Arial" w:cs="Arial" w:eastAsia="Arial" w:hAnsi="Arial"/>
          <w:sz w:val="19"/>
          <w:szCs w:val="19"/>
        </w:rPr>
        <w:t xml:space="preserve">Niveau 2 (Management): Indien het incident niet binnen één werkdag is opgelost, wordt de accountbeheerder van supplier1 (Marc Supplier, Teams-alias: marc.supplier) ingelicht via een direct bericht in het Teams-kanaal. De accountbeheerder heeft twee (2) werkdagen om een oplossing voor te stellen.</w:t>
      </w:r>
    </w:p>
    <w:p>
      <w:pPr>
        <w:pStyle w:val="ListParagraph"/>
        <w:numPr>
          <w:ilvl w:val="0"/>
          <w:numId w:val="2"/>
        </w:numPr>
        <w:spacing w:after="45" w:before="45"/>
      </w:pPr>
      <w:r>
        <w:rPr>
          <w:rFonts w:ascii="Arial" w:cs="Arial" w:eastAsia="Arial" w:hAnsi="Arial"/>
          <w:sz w:val="19"/>
          <w:szCs w:val="19"/>
        </w:rPr>
        <w:t xml:space="preserve">Niveau 3 (Directie): Indien na twee werkdagen geen oplossing is bereikt op niveau 2, wordt een gestructureerde Teams-meeting gepland met de Directeur Operations van supplier1. Deze meeting wordt uitsluitend via de Teams-agendafunctie gepland en niet via e-mail of andere communicatiekanalen. Doel: definitieve afhandeling binnen drie (3) werkdagen na de escalatie.</w:t>
      </w:r>
    </w:p>
    <w:p>
      <w:pPr>
        <w:pStyle w:val="ListParagraph"/>
        <w:numPr>
          <w:ilvl w:val="0"/>
          <w:numId w:val="2"/>
        </w:numPr>
        <w:spacing w:after="45" w:before="45"/>
      </w:pPr>
      <w:r>
        <w:rPr>
          <w:rFonts w:ascii="Arial" w:cs="Arial" w:eastAsia="Arial" w:hAnsi="Arial"/>
          <w:sz w:val="19"/>
          <w:szCs w:val="19"/>
        </w:rPr>
        <w:t xml:space="preserve">Niveau 4 (Juridisch): Indien het geschil niet wordt opgelost langs de bovenstaande weg, zijn de bepalingen van Artikel 7 (Toepasselijk Recht en Bevoegde Rechtbank) van toepassing.</w:t>
      </w:r>
    </w:p>
    <w:p>
      <w:pPr>
        <w:spacing w:after="0" w:before="80"/>
      </w:pPr>
    </w:p>
    <w:p>
      <w:pPr>
        <w:pStyle w:val="Heading1"/>
        <w:pBdr>
          <w:bottom w:val="single" w:color="003366" w:sz="6" w:space="2"/>
        </w:pBdr>
        <w:spacing w:after="100" w:before="300"/>
      </w:pPr>
      <w:r>
        <w:rPr>
          <w:rFonts w:ascii="Arial" w:cs="Arial" w:eastAsia="Arial" w:hAnsi="Arial"/>
          <w:b/>
          <w:bCs/>
          <w:color w:val="003366"/>
          <w:sz w:val="24"/>
          <w:szCs w:val="24"/>
        </w:rPr>
        <w:t xml:space="preserve">Artikel 5 — Aansprakelijkheid en Verzekering</w:t>
      </w:r>
    </w:p>
    <w:p>
      <w:pPr>
        <w:pStyle w:val="Heading2"/>
        <w:spacing w:after="60" w:before="180"/>
      </w:pPr>
      <w:r>
        <w:rPr>
          <w:rFonts w:ascii="Arial" w:cs="Arial" w:eastAsia="Arial" w:hAnsi="Arial"/>
          <w:b/>
          <w:bCs/>
          <w:color w:val="1A5276"/>
          <w:sz w:val="21"/>
          <w:szCs w:val="21"/>
        </w:rPr>
        <w:t xml:space="preserve">5.1 Beperking van aansprakelijkheid</w:t>
      </w:r>
    </w:p>
    <w:p>
      <w:pPr>
        <w:spacing w:after="55" w:before="55"/>
        <w:jc w:val="both"/>
      </w:pPr>
      <w:r>
        <w:rPr>
          <w:rFonts w:ascii="Arial" w:cs="Arial" w:eastAsia="Arial" w:hAnsi="Arial"/>
          <w:sz w:val="19"/>
          <w:szCs w:val="19"/>
        </w:rPr>
        <w:t xml:space="preserve">De aansprakelijkheid van supplier1 BV voor directe schade voortvloeiend uit de niet-nakoming van haar verplichtingen krachtens deze Overeenkomst is beperkt tot het bedrag dat door EASI Group werd betaald voor de specifieke Bestelling in het kader waarvan de schade is ontstaan. In geen geval is supplier1 BV aansprakelijk voor indirecte schade, gevolgschade, winstderving, productieverlies, bedrijfsonderbreking of schade aan de reputatie van EASI Group, zelfs indien supplier1 BV op voorhand in kennis was gesteld van de mogelijkheid van dergelijke schade.</w:t>
      </w:r>
    </w:p>
    <w:p>
      <w:pPr>
        <w:spacing w:after="0" w:before="40"/>
      </w:pPr>
    </w:p>
    <w:p>
      <w:pPr>
        <w:spacing w:after="55" w:before="55"/>
        <w:jc w:val="both"/>
      </w:pPr>
      <w:r>
        <w:rPr>
          <w:rFonts w:ascii="Arial" w:cs="Arial" w:eastAsia="Arial" w:hAnsi="Arial"/>
          <w:sz w:val="19"/>
          <w:szCs w:val="19"/>
        </w:rPr>
        <w:t xml:space="preserve">Evenmin is EASI Group aansprakelijk voor indirecte of gevolgschade aan de zijde van supplier1 BV. De aansprakelijkheid van EASI Group is in ieder geval beperkt tot de waarde van de onbetaalde facturen op het ogenblik van het schadeveroorzakende feit.</w:t>
      </w:r>
    </w:p>
    <w:p>
      <w:pPr>
        <w:pStyle w:val="Heading2"/>
        <w:spacing w:after="60" w:before="180"/>
      </w:pPr>
      <w:r>
        <w:rPr>
          <w:rFonts w:ascii="Arial" w:cs="Arial" w:eastAsia="Arial" w:hAnsi="Arial"/>
          <w:b/>
          <w:bCs/>
          <w:color w:val="1A5276"/>
          <w:sz w:val="21"/>
          <w:szCs w:val="21"/>
        </w:rPr>
        <w:t xml:space="preserve">5.2 Overmacht</w:t>
      </w:r>
    </w:p>
    <w:p>
      <w:pPr>
        <w:spacing w:after="55" w:before="55"/>
        <w:jc w:val="both"/>
      </w:pPr>
      <w:r>
        <w:rPr>
          <w:rFonts w:ascii="Arial" w:cs="Arial" w:eastAsia="Arial" w:hAnsi="Arial"/>
          <w:sz w:val="19"/>
          <w:szCs w:val="19"/>
        </w:rPr>
        <w:t xml:space="preserve">Geen der Partijen is aansprakelijk voor de niet-nakoming van haar verplichtingen indien en voor zover deze niet-nakoming het gevolg is van overmacht. Onder overmacht wordt verstaan: elke onvoorzienbare en onvermijdbare gebeurtenis buiten de redelijke controle van de betrokken Partij, met inbegrip van maar niet beperkt tot: natuurrampen, oorlog, stakingen, brand, epidemieën of overheidsmaatregelen. De Partij die zich op overmacht beroept, stelt de andere Partij hiervan onverwijld in kennis via het Teams-kanaal.</w:t>
      </w:r>
    </w:p>
    <w:p>
      <w:pPr>
        <w:pStyle w:val="Heading2"/>
        <w:spacing w:after="60" w:before="180"/>
      </w:pPr>
      <w:r>
        <w:rPr>
          <w:rFonts w:ascii="Arial" w:cs="Arial" w:eastAsia="Arial" w:hAnsi="Arial"/>
          <w:b/>
          <w:bCs/>
          <w:color w:val="1A5276"/>
          <w:sz w:val="21"/>
          <w:szCs w:val="21"/>
        </w:rPr>
        <w:t xml:space="preserve">5.3 Verzekeringsplicht</w:t>
      </w:r>
    </w:p>
    <w:p>
      <w:pPr>
        <w:spacing w:after="55" w:before="55"/>
        <w:jc w:val="both"/>
      </w:pPr>
      <w:r>
        <w:rPr>
          <w:rFonts w:ascii="Arial" w:cs="Arial" w:eastAsia="Arial" w:hAnsi="Arial"/>
          <w:sz w:val="19"/>
          <w:szCs w:val="19"/>
        </w:rPr>
        <w:t xml:space="preserve">supplier1 BV is gehouden gedurende de volledige looptijd van de Overeenkomst de volgende verzekeringen aan te houden bij een erkende Belgische verzekeraar:</w:t>
      </w:r>
    </w:p>
    <w:p>
      <w:pPr>
        <w:pStyle w:val="ListParagraph"/>
        <w:numPr>
          <w:ilvl w:val="0"/>
          <w:numId w:val="2"/>
        </w:numPr>
        <w:spacing w:after="45" w:before="45"/>
      </w:pPr>
      <w:r>
        <w:rPr>
          <w:rFonts w:ascii="Arial" w:cs="Arial" w:eastAsia="Arial" w:hAnsi="Arial"/>
          <w:sz w:val="19"/>
          <w:szCs w:val="19"/>
        </w:rPr>
        <w:t xml:space="preserve">Burgerlijke aansprakelijkheid Onderneming (BA Uitbating en BA na Levering), met een dekking van minimaal € 2.500.000 per schadegeval;</w:t>
      </w:r>
    </w:p>
    <w:p>
      <w:pPr>
        <w:pStyle w:val="ListParagraph"/>
        <w:numPr>
          <w:ilvl w:val="0"/>
          <w:numId w:val="2"/>
        </w:numPr>
        <w:spacing w:after="45" w:before="45"/>
      </w:pPr>
      <w:r>
        <w:rPr>
          <w:rFonts w:ascii="Arial" w:cs="Arial" w:eastAsia="Arial" w:hAnsi="Arial"/>
          <w:sz w:val="19"/>
          <w:szCs w:val="19"/>
        </w:rPr>
        <w:t xml:space="preserve">Productaansprakelijkheidsverzekering met een dekking van minimaal € 2.500.000 per schadegeval;</w:t>
      </w:r>
    </w:p>
    <w:p>
      <w:pPr>
        <w:pStyle w:val="ListParagraph"/>
        <w:numPr>
          <w:ilvl w:val="0"/>
          <w:numId w:val="2"/>
        </w:numPr>
        <w:spacing w:after="45" w:before="45"/>
      </w:pPr>
      <w:r>
        <w:rPr>
          <w:rFonts w:ascii="Arial" w:cs="Arial" w:eastAsia="Arial" w:hAnsi="Arial"/>
          <w:sz w:val="19"/>
          <w:szCs w:val="19"/>
        </w:rPr>
        <w:t xml:space="preserve">Arbeidsongevallenverzekering conform de Belgische wettelijke verplichtingen.</w:t>
      </w:r>
    </w:p>
    <w:p>
      <w:pPr>
        <w:spacing w:after="0" w:before="40"/>
      </w:pPr>
    </w:p>
    <w:p>
      <w:pPr>
        <w:spacing w:after="55" w:before="55"/>
        <w:jc w:val="both"/>
      </w:pPr>
      <w:r>
        <w:rPr>
          <w:rFonts w:ascii="Arial" w:cs="Arial" w:eastAsia="Arial" w:hAnsi="Arial"/>
          <w:sz w:val="19"/>
          <w:szCs w:val="19"/>
        </w:rPr>
        <w:t xml:space="preserve">Op eerste verzoek van EASI Group legt supplier1 BV de verzekeringsattesten voor. Het niet-naleven van deze verzekeringsplicht geeft EASI Group het recht de Overeenkomst onmiddellijk en zonder schadevergoeding te beëindigen.</w:t>
      </w:r>
    </w:p>
    <w:p>
      <w:pPr>
        <w:spacing w:after="0" w:before="80"/>
      </w:pPr>
    </w:p>
    <w:p>
      <w:pPr>
        <w:pStyle w:val="Heading1"/>
        <w:pBdr>
          <w:bottom w:val="single" w:color="003366" w:sz="6" w:space="2"/>
        </w:pBdr>
        <w:spacing w:after="100" w:before="300"/>
      </w:pPr>
      <w:r>
        <w:rPr>
          <w:rFonts w:ascii="Arial" w:cs="Arial" w:eastAsia="Arial" w:hAnsi="Arial"/>
          <w:b/>
          <w:bCs/>
          <w:color w:val="003366"/>
          <w:sz w:val="24"/>
          <w:szCs w:val="24"/>
        </w:rPr>
        <w:t xml:space="preserve">Artikel 6 — Vertrouwelijkheid en Intellectuele Eigendom</w:t>
      </w:r>
    </w:p>
    <w:p>
      <w:pPr>
        <w:pStyle w:val="Heading2"/>
        <w:spacing w:after="60" w:before="180"/>
      </w:pPr>
      <w:r>
        <w:rPr>
          <w:rFonts w:ascii="Arial" w:cs="Arial" w:eastAsia="Arial" w:hAnsi="Arial"/>
          <w:b/>
          <w:bCs/>
          <w:color w:val="1A5276"/>
          <w:sz w:val="21"/>
          <w:szCs w:val="21"/>
        </w:rPr>
        <w:t xml:space="preserve">6.1 Geheimhoudingsverplichting</w:t>
      </w:r>
    </w:p>
    <w:p>
      <w:pPr>
        <w:spacing w:after="55" w:before="55"/>
        <w:jc w:val="both"/>
      </w:pPr>
      <w:r>
        <w:rPr>
          <w:rFonts w:ascii="Arial" w:cs="Arial" w:eastAsia="Arial" w:hAnsi="Arial"/>
          <w:sz w:val="19"/>
          <w:szCs w:val="19"/>
        </w:rPr>
        <w:t xml:space="preserve">De Partijen verbinden zich ertoe alle vertrouwelijke informatie — met inbegrip van maar niet beperkt tot technische specificaties, prijsinformatie, bedrijfsstrategieën en klantgegevens — die zij in het kader van de uitvoering van deze Overeenkomst van de andere Partij ontvangen, strikt vertrouwelijk te behandelen en niet aan derden bekend te maken zonder de uitdrukkelijke voorafgaande schriftelijke toestemming van de andere Partij. Deze verplichting blijft gelden gedurende vijf (5) jaar na de beëindiging van de Overeenkomst.</w:t>
      </w:r>
    </w:p>
    <w:p>
      <w:pPr>
        <w:pStyle w:val="Heading2"/>
        <w:spacing w:after="60" w:before="180"/>
      </w:pPr>
      <w:r>
        <w:rPr>
          <w:rFonts w:ascii="Arial" w:cs="Arial" w:eastAsia="Arial" w:hAnsi="Arial"/>
          <w:b/>
          <w:bCs/>
          <w:color w:val="1A5276"/>
          <w:sz w:val="21"/>
          <w:szCs w:val="21"/>
        </w:rPr>
        <w:t xml:space="preserve">6.2 Gegevensbescherming</w:t>
      </w:r>
    </w:p>
    <w:p>
      <w:pPr>
        <w:spacing w:after="55" w:before="55"/>
        <w:jc w:val="both"/>
      </w:pPr>
      <w:r>
        <w:rPr>
          <w:rFonts w:ascii="Arial" w:cs="Arial" w:eastAsia="Arial" w:hAnsi="Arial"/>
          <w:sz w:val="19"/>
          <w:szCs w:val="19"/>
        </w:rPr>
        <w:t xml:space="preserve">De verwerking van persoonsgegevens in het kader van deze Overeenkomst geschiedt conform Verordening (EU) 2016/679 (AVG/GDPR). Partijen sluiten, voor zover noodzakelijk, een afzonderlijke verwerkersovereenkomst.</w:t>
      </w:r>
    </w:p>
    <w:p>
      <w:pPr>
        <w:spacing w:after="0" w:before="80"/>
      </w:pPr>
    </w:p>
    <w:p>
      <w:pPr>
        <w:pStyle w:val="Heading1"/>
        <w:pBdr>
          <w:bottom w:val="single" w:color="003366" w:sz="6" w:space="2"/>
        </w:pBdr>
        <w:spacing w:after="100" w:before="300"/>
      </w:pPr>
      <w:r>
        <w:rPr>
          <w:rFonts w:ascii="Arial" w:cs="Arial" w:eastAsia="Arial" w:hAnsi="Arial"/>
          <w:b/>
          <w:bCs/>
          <w:color w:val="003366"/>
          <w:sz w:val="24"/>
          <w:szCs w:val="24"/>
        </w:rPr>
        <w:t xml:space="preserve">Artikel 7 — Beëindiging</w:t>
      </w:r>
    </w:p>
    <w:p>
      <w:pPr>
        <w:spacing w:after="55" w:before="55"/>
        <w:jc w:val="both"/>
      </w:pPr>
      <w:r>
        <w:rPr>
          <w:rFonts w:ascii="Arial" w:cs="Arial" w:eastAsia="Arial" w:hAnsi="Arial"/>
          <w:sz w:val="19"/>
          <w:szCs w:val="19"/>
        </w:rPr>
        <w:t xml:space="preserve">Naast de opzegmogelijkheid bedoeld in Artikel 1.2 kan elke Partij de Overeenkomst met onmiddellijke ingang en zonder schadevergoeding beëindigen bij:</w:t>
      </w:r>
    </w:p>
    <w:p>
      <w:pPr>
        <w:pStyle w:val="ListParagraph"/>
        <w:numPr>
          <w:ilvl w:val="0"/>
          <w:numId w:val="2"/>
        </w:numPr>
        <w:spacing w:after="45" w:before="45"/>
      </w:pPr>
      <w:r>
        <w:rPr>
          <w:rFonts w:ascii="Arial" w:cs="Arial" w:eastAsia="Arial" w:hAnsi="Arial"/>
          <w:sz w:val="19"/>
          <w:szCs w:val="19"/>
        </w:rPr>
        <w:t xml:space="preserve">Grove of herhaalde niet-nakoming door de andere Partij, die niet is hersteld binnen dertig (30) kalenderdagen na ingebrekestelling;</w:t>
      </w:r>
    </w:p>
    <w:p>
      <w:pPr>
        <w:pStyle w:val="ListParagraph"/>
        <w:numPr>
          <w:ilvl w:val="0"/>
          <w:numId w:val="2"/>
        </w:numPr>
        <w:spacing w:after="45" w:before="45"/>
      </w:pPr>
      <w:r>
        <w:rPr>
          <w:rFonts w:ascii="Arial" w:cs="Arial" w:eastAsia="Arial" w:hAnsi="Arial"/>
          <w:sz w:val="19"/>
          <w:szCs w:val="19"/>
        </w:rPr>
        <w:t xml:space="preserve">Faillissement, gerechtelijke reorganisatie of kennelijke staat van onvermogen van de andere Partij;</w:t>
      </w:r>
    </w:p>
    <w:p>
      <w:pPr>
        <w:pStyle w:val="ListParagraph"/>
        <w:numPr>
          <w:ilvl w:val="0"/>
          <w:numId w:val="2"/>
        </w:numPr>
        <w:spacing w:after="45" w:before="45"/>
      </w:pPr>
      <w:r>
        <w:rPr>
          <w:rFonts w:ascii="Arial" w:cs="Arial" w:eastAsia="Arial" w:hAnsi="Arial"/>
          <w:sz w:val="19"/>
          <w:szCs w:val="19"/>
        </w:rPr>
        <w:t xml:space="preserve">Overmacht die langer duurt dan zestig (60) opeenvolgende kalenderdagen.</w:t>
      </w:r>
    </w:p>
    <w:p>
      <w:pPr>
        <w:spacing w:after="0" w:before="40"/>
      </w:pPr>
    </w:p>
    <w:p>
      <w:pPr>
        <w:spacing w:after="55" w:before="55"/>
        <w:jc w:val="both"/>
      </w:pPr>
      <w:r>
        <w:rPr>
          <w:rFonts w:ascii="Arial" w:cs="Arial" w:eastAsia="Arial" w:hAnsi="Arial"/>
          <w:sz w:val="19"/>
          <w:szCs w:val="19"/>
        </w:rPr>
        <w:t xml:space="preserve">Bij beëindiging van de Overeenkomst blijven lopende Bestellingen uitgevoerd worden conform de bepalingen van de Overeenkomst, tenzij de beëindiging het gevolg is van een ernstige wanprestatie door de leverancier.</w:t>
      </w:r>
    </w:p>
    <w:p>
      <w:pPr>
        <w:spacing w:after="0" w:before="80"/>
      </w:pPr>
    </w:p>
    <w:p>
      <w:pPr>
        <w:pStyle w:val="Heading1"/>
        <w:pBdr>
          <w:bottom w:val="single" w:color="003366" w:sz="6" w:space="2"/>
        </w:pBdr>
        <w:spacing w:after="100" w:before="300"/>
      </w:pPr>
      <w:r>
        <w:rPr>
          <w:rFonts w:ascii="Arial" w:cs="Arial" w:eastAsia="Arial" w:hAnsi="Arial"/>
          <w:b/>
          <w:bCs/>
          <w:color w:val="003366"/>
          <w:sz w:val="24"/>
          <w:szCs w:val="24"/>
        </w:rPr>
        <w:t xml:space="preserve">Artikel 8 — Toepasselijk Recht en Bevoegde Rechtbank</w:t>
      </w:r>
    </w:p>
    <w:p>
      <w:pPr>
        <w:spacing w:after="55" w:before="55"/>
        <w:jc w:val="both"/>
      </w:pPr>
      <w:r>
        <w:rPr>
          <w:rFonts w:ascii="Arial" w:cs="Arial" w:eastAsia="Arial" w:hAnsi="Arial"/>
          <w:sz w:val="19"/>
          <w:szCs w:val="19"/>
        </w:rPr>
        <w:t xml:space="preserve">Deze Overeenkomst wordt beheerst door en geïnterpreteerd overeenkomstig het Belgisch recht, met uitsluiting van het Verdrag der Verenigde Naties inzake internationale koopovereenkomsten betreffende roerende zaken (CISG).</w:t>
      </w:r>
    </w:p>
    <w:p>
      <w:pPr>
        <w:spacing w:after="0" w:before="40"/>
      </w:pPr>
    </w:p>
    <w:p>
      <w:pPr>
        <w:spacing w:after="55" w:before="55"/>
        <w:jc w:val="both"/>
      </w:pPr>
      <w:r>
        <w:rPr>
          <w:rFonts w:ascii="Arial" w:cs="Arial" w:eastAsia="Arial" w:hAnsi="Arial"/>
          <w:sz w:val="19"/>
          <w:szCs w:val="19"/>
        </w:rPr>
        <w:t xml:space="preserve">Alle geschillen die voortvloeien uit of verband houden met deze Overeenkomst, waarover de Partijen niet langs minnelijke weg tot een oplossing konden komen overeenkomstig de escalatieprocedure beschreven in Artikel 4.3, worden voorgelegd aan de exclusieve bevoegdheid van de rechtbanken van het gerechtelijk arrondissement Brussel, meer bepaald de Nederlandstalige Ondernemingsrechtbank Brussel.</w:t>
      </w:r>
    </w:p>
    <w:p>
      <w:pPr>
        <w:spacing w:after="0" w:before="80"/>
      </w:pPr>
    </w:p>
    <w:p>
      <w:pPr>
        <w:pStyle w:val="Heading1"/>
        <w:pBdr>
          <w:bottom w:val="single" w:color="003366" w:sz="6" w:space="2"/>
        </w:pBdr>
        <w:spacing w:after="100" w:before="300"/>
      </w:pPr>
      <w:r>
        <w:rPr>
          <w:rFonts w:ascii="Arial" w:cs="Arial" w:eastAsia="Arial" w:hAnsi="Arial"/>
          <w:b/>
          <w:bCs/>
          <w:color w:val="003366"/>
          <w:sz w:val="24"/>
          <w:szCs w:val="24"/>
        </w:rPr>
        <w:t xml:space="preserve">Artikel 9 — Diverse Bepalingen</w:t>
      </w:r>
    </w:p>
    <w:p>
      <w:pPr>
        <w:pStyle w:val="Heading2"/>
        <w:spacing w:after="60" w:before="180"/>
      </w:pPr>
      <w:r>
        <w:rPr>
          <w:rFonts w:ascii="Arial" w:cs="Arial" w:eastAsia="Arial" w:hAnsi="Arial"/>
          <w:b/>
          <w:bCs/>
          <w:color w:val="1A5276"/>
          <w:sz w:val="21"/>
          <w:szCs w:val="21"/>
        </w:rPr>
        <w:t xml:space="preserve">9.1 Volledigheid</w:t>
      </w:r>
    </w:p>
    <w:p>
      <w:pPr>
        <w:spacing w:after="55" w:before="55"/>
        <w:jc w:val="both"/>
      </w:pPr>
      <w:r>
        <w:rPr>
          <w:rFonts w:ascii="Arial" w:cs="Arial" w:eastAsia="Arial" w:hAnsi="Arial"/>
          <w:sz w:val="19"/>
          <w:szCs w:val="19"/>
        </w:rPr>
        <w:t xml:space="preserve">Deze Overeenkomst, samen met haar Bijlagen, vormt de volledige overeenkomst tussen de Partijen met betrekking tot het voorwerp ervan en vervangt alle voorafgaande schriftelijke of mondelinge afspraken, onderhandelingen en overeenkomsten.</w:t>
      </w:r>
    </w:p>
    <w:p>
      <w:pPr>
        <w:pStyle w:val="Heading2"/>
        <w:spacing w:after="60" w:before="180"/>
      </w:pPr>
      <w:r>
        <w:rPr>
          <w:rFonts w:ascii="Arial" w:cs="Arial" w:eastAsia="Arial" w:hAnsi="Arial"/>
          <w:b/>
          <w:bCs/>
          <w:color w:val="1A5276"/>
          <w:sz w:val="21"/>
          <w:szCs w:val="21"/>
        </w:rPr>
        <w:t xml:space="preserve">9.2 Wijzigingen</w:t>
      </w:r>
    </w:p>
    <w:p>
      <w:pPr>
        <w:spacing w:after="55" w:before="55"/>
        <w:jc w:val="both"/>
      </w:pPr>
      <w:r>
        <w:rPr>
          <w:rFonts w:ascii="Arial" w:cs="Arial" w:eastAsia="Arial" w:hAnsi="Arial"/>
          <w:sz w:val="19"/>
          <w:szCs w:val="19"/>
        </w:rPr>
        <w:t xml:space="preserve">Wijzigingen aan deze Overeenkomst zijn slechts geldig indien zij schriftelijk zijn vastgelegd en door beide Partijen zijn ondertekend via een door beide Partijen ondertekend addendum.</w:t>
      </w:r>
    </w:p>
    <w:p>
      <w:pPr>
        <w:pStyle w:val="Heading2"/>
        <w:spacing w:after="60" w:before="180"/>
      </w:pPr>
      <w:r>
        <w:rPr>
          <w:rFonts w:ascii="Arial" w:cs="Arial" w:eastAsia="Arial" w:hAnsi="Arial"/>
          <w:b/>
          <w:bCs/>
          <w:color w:val="1A5276"/>
          <w:sz w:val="21"/>
          <w:szCs w:val="21"/>
        </w:rPr>
        <w:t xml:space="preserve">9.3 Deelbaarheid</w:t>
      </w:r>
    </w:p>
    <w:p>
      <w:pPr>
        <w:spacing w:after="55" w:before="55"/>
        <w:jc w:val="both"/>
      </w:pPr>
      <w:r>
        <w:rPr>
          <w:rFonts w:ascii="Arial" w:cs="Arial" w:eastAsia="Arial" w:hAnsi="Arial"/>
          <w:sz w:val="19"/>
          <w:szCs w:val="19"/>
        </w:rPr>
        <w:t xml:space="preserve">Indien een bepaling van deze Overeenkomst geheel of gedeeltelijk nietig of niet-afdwingbaar wordt verklaard, tast dit de geldigheid van de overige bepalingen niet aan. De nietige of niet-afdwingbare bepaling wordt vervangen door een geldige bepaling die zo nauw mogelijk aansluit bij de economische bedoeling van de oorspronkelijke bepaling.</w:t>
      </w:r>
    </w:p>
    <w:p>
      <w:pPr>
        <w:pStyle w:val="Heading2"/>
        <w:spacing w:after="60" w:before="180"/>
      </w:pPr>
      <w:r>
        <w:rPr>
          <w:rFonts w:ascii="Arial" w:cs="Arial" w:eastAsia="Arial" w:hAnsi="Arial"/>
          <w:b/>
          <w:bCs/>
          <w:color w:val="1A5276"/>
          <w:sz w:val="21"/>
          <w:szCs w:val="21"/>
        </w:rPr>
        <w:t xml:space="preserve">9.4 Niet-overdraagbaarheid</w:t>
      </w:r>
    </w:p>
    <w:p>
      <w:pPr>
        <w:spacing w:after="55" w:before="55"/>
        <w:jc w:val="both"/>
      </w:pPr>
      <w:r>
        <w:rPr>
          <w:rFonts w:ascii="Arial" w:cs="Arial" w:eastAsia="Arial" w:hAnsi="Arial"/>
          <w:sz w:val="19"/>
          <w:szCs w:val="19"/>
        </w:rPr>
        <w:t xml:space="preserve">Geen der Partijen mag de rechten en verplichtingen voortvloeiend uit deze Overeenkomst geheel of gedeeltelijk overdragen aan een derde zonder de voorafgaande schriftelijke toestemming van de andere Partij, behoudens overdracht aan een verbonden onderneming in het kader van een herstructurering of fusie.</w:t>
      </w:r>
    </w:p>
    <w:p>
      <w:pPr>
        <w:spacing w:after="0" w:before="100"/>
      </w:pPr>
    </w:p>
    <w:p>
      <w:pPr>
        <w:pStyle w:val="Heading1"/>
        <w:pBdr>
          <w:bottom w:val="single" w:color="003366" w:sz="6" w:space="2"/>
        </w:pBdr>
        <w:spacing w:after="100" w:before="300"/>
      </w:pPr>
      <w:r>
        <w:rPr>
          <w:rFonts w:ascii="Arial" w:cs="Arial" w:eastAsia="Arial" w:hAnsi="Arial"/>
          <w:b/>
          <w:bCs/>
          <w:color w:val="003366"/>
          <w:sz w:val="24"/>
          <w:szCs w:val="24"/>
        </w:rPr>
        <w:t xml:space="preserve">Ondertekening</w:t>
      </w:r>
    </w:p>
    <w:p>
      <w:pPr>
        <w:spacing w:after="55" w:before="55"/>
        <w:jc w:val="both"/>
      </w:pPr>
      <w:r>
        <w:rPr>
          <w:rFonts w:ascii="Arial" w:cs="Arial" w:eastAsia="Arial" w:hAnsi="Arial"/>
          <w:sz w:val="19"/>
          <w:szCs w:val="19"/>
        </w:rPr>
        <w:t xml:space="preserve">Aldus opgemaakt en ondertekend in twee (2) originele exemplaren, elk der Partijen erkennende één (1) origineel te hebben ontvangen.</w:t>
      </w:r>
    </w:p>
    <w:p>
      <w:pPr>
        <w:spacing w:after="0" w:before="1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Borders>
              <w:top w:val="none"/>
              <w:left w:val="none"/>
              <w:bottom w:val="none"/>
              <w:right w:val="none"/>
            </w:tcBorders>
            <w:tcMar>
              <w:top w:type="dxa" w:w="0"/>
              <w:left w:type="dxa" w:w="0"/>
              <w:bottom w:type="dxa" w:w="0"/>
              <w:right w:type="dxa" w:w="200"/>
            </w:tcMar>
          </w:tcPr>
          <w:p>
            <w:r>
              <w:rPr>
                <w:rFonts w:ascii="Arial" w:cs="Arial" w:eastAsia="Arial" w:hAnsi="Arial"/>
                <w:b/>
                <w:bCs/>
                <w:color w:val="003366"/>
                <w:sz w:val="19"/>
                <w:szCs w:val="19"/>
              </w:rPr>
              <w:t xml:space="preserve">Voor EASI Group NV:</w:t>
            </w:r>
          </w:p>
          <w:p>
            <w:pPr>
              <w:spacing w:after="0" w:before="120"/>
            </w:pPr>
          </w:p>
          <w:p>
            <w:pPr>
              <w:spacing w:after="0" w:before="120"/>
            </w:pPr>
          </w:p>
          <w:p>
            <w:pPr>
              <w:spacing w:after="0" w:before="120"/>
            </w:pPr>
          </w:p>
          <w:p>
            <w:pPr>
              <w:pBdr>
                <w:top w:val="single" w:color="333333" w:sz="4" w:space="2"/>
              </w:pBdr>
              <w:spacing w:after="40" w:before="0"/>
            </w:pPr>
            <w:r>
              <w:rPr>
                <w:rFonts w:ascii="Arial" w:cs="Arial" w:eastAsia="Arial" w:hAnsi="Arial"/>
                <w:b/>
                <w:bCs/>
                <w:sz w:val="19"/>
                <w:szCs w:val="19"/>
              </w:rPr>
              <w:t xml:space="preserve">Patrick De Coster</w:t>
            </w:r>
          </w:p>
          <w:p>
            <w:r>
              <w:rPr>
                <w:rFonts w:ascii="Arial" w:cs="Arial" w:eastAsia="Arial" w:hAnsi="Arial"/>
                <w:i/>
                <w:iCs/>
                <w:color w:val="555555"/>
                <w:sz w:val="17"/>
                <w:szCs w:val="17"/>
              </w:rPr>
              <w:t xml:space="preserve">Chief Executive Officer</w:t>
            </w:r>
          </w:p>
          <w:p>
            <w:r>
              <w:rPr>
                <w:rFonts w:ascii="Arial" w:cs="Arial" w:eastAsia="Arial" w:hAnsi="Arial"/>
                <w:color w:val="555555"/>
                <w:sz w:val="17"/>
                <w:szCs w:val="17"/>
              </w:rPr>
              <w:t xml:space="preserve">Brussel, 15 januari 2025</w:t>
            </w:r>
          </w:p>
        </w:tc>
        <w:tc>
          <w:tcPr>
            <w:tcBorders>
              <w:top w:val="none"/>
              <w:left w:val="none"/>
              <w:bottom w:val="none"/>
              <w:right w:val="none"/>
            </w:tcBorders>
            <w:tcMar>
              <w:top w:type="dxa" w:w="0"/>
              <w:left w:type="dxa" w:w="200"/>
              <w:bottom w:type="dxa" w:w="0"/>
              <w:right w:type="dxa" w:w="0"/>
            </w:tcMar>
          </w:tcPr>
          <w:p>
            <w:r>
              <w:rPr>
                <w:rFonts w:ascii="Arial" w:cs="Arial" w:eastAsia="Arial" w:hAnsi="Arial"/>
                <w:b/>
                <w:bCs/>
                <w:color w:val="003366"/>
                <w:sz w:val="19"/>
                <w:szCs w:val="19"/>
              </w:rPr>
              <w:t xml:space="preserve">Voor supplier1 BV:</w:t>
            </w:r>
          </w:p>
          <w:p>
            <w:pPr>
              <w:spacing w:after="0" w:before="120"/>
            </w:pPr>
          </w:p>
          <w:p>
            <w:pPr>
              <w:spacing w:after="0" w:before="120"/>
            </w:pPr>
          </w:p>
          <w:p>
            <w:pPr>
              <w:spacing w:after="0" w:before="120"/>
            </w:pPr>
          </w:p>
          <w:p>
            <w:pPr>
              <w:pBdr>
                <w:top w:val="single" w:color="333333" w:sz="4" w:space="2"/>
              </w:pBdr>
              <w:spacing w:after="40" w:before="0"/>
            </w:pPr>
            <w:r>
              <w:rPr>
                <w:rFonts w:ascii="Arial" w:cs="Arial" w:eastAsia="Arial" w:hAnsi="Arial"/>
                <w:b/>
                <w:bCs/>
                <w:sz w:val="19"/>
                <w:szCs w:val="19"/>
              </w:rPr>
              <w:t xml:space="preserve">Luc Van den Berg</w:t>
            </w:r>
          </w:p>
          <w:p>
            <w:r>
              <w:rPr>
                <w:rFonts w:ascii="Arial" w:cs="Arial" w:eastAsia="Arial" w:hAnsi="Arial"/>
                <w:i/>
                <w:iCs/>
                <w:color w:val="555555"/>
                <w:sz w:val="17"/>
                <w:szCs w:val="17"/>
              </w:rPr>
              <w:t xml:space="preserve">Zaakvoerder / Bevoegde vertegenwoordiger</w:t>
            </w:r>
          </w:p>
          <w:p>
            <w:r>
              <w:rPr>
                <w:rFonts w:ascii="Arial" w:cs="Arial" w:eastAsia="Arial" w:hAnsi="Arial"/>
                <w:color w:val="555555"/>
                <w:sz w:val="17"/>
                <w:szCs w:val="17"/>
              </w:rPr>
              <w:t xml:space="preserve">Brussel, 15 januari 2025</w:t>
            </w:r>
          </w:p>
        </w:tc>
      </w:tr>
    </w:tbl>
    <w:p>
      <w:pPr>
        <w:spacing w:after="0" w:before="80"/>
      </w:pPr>
    </w:p>
    <w:p>
      <w:pPr>
        <w:spacing w:after="55" w:before="55"/>
        <w:jc w:val="both"/>
      </w:pPr>
      <w:r>
        <w:rPr>
          <w:rFonts w:ascii="Arial" w:cs="Arial" w:eastAsia="Arial" w:hAnsi="Arial"/>
          <w:b/>
          <w:bCs/>
          <w:sz w:val="19"/>
          <w:szCs w:val="19"/>
        </w:rPr>
        <w:t xml:space="preserve">Bijlagen:</w:t>
      </w:r>
    </w:p>
    <w:p>
      <w:pPr>
        <w:pStyle w:val="ListParagraph"/>
        <w:numPr>
          <w:ilvl w:val="0"/>
          <w:numId w:val="2"/>
        </w:numPr>
        <w:spacing w:after="45" w:before="45"/>
      </w:pPr>
      <w:r>
        <w:rPr>
          <w:rFonts w:ascii="Arial" w:cs="Arial" w:eastAsia="Arial" w:hAnsi="Arial"/>
          <w:sz w:val="19"/>
          <w:szCs w:val="19"/>
        </w:rPr>
        <w:t xml:space="preserve">Bijlage 1 — Productcatalogus industriële componenten</w:t>
      </w:r>
    </w:p>
    <w:p>
      <w:pPr>
        <w:pStyle w:val="ListParagraph"/>
        <w:numPr>
          <w:ilvl w:val="0"/>
          <w:numId w:val="2"/>
        </w:numPr>
        <w:spacing w:after="45" w:before="45"/>
      </w:pPr>
      <w:r>
        <w:rPr>
          <w:rFonts w:ascii="Arial" w:cs="Arial" w:eastAsia="Arial" w:hAnsi="Arial"/>
          <w:sz w:val="19"/>
          <w:szCs w:val="19"/>
        </w:rPr>
        <w:t xml:space="preserve">Bijlage 2 — Prijslijst en toeslagen (inclusief spoedleveringstoeslag)</w:t>
      </w:r>
    </w:p>
    <w:p>
      <w:pPr>
        <w:pStyle w:val="ListParagraph"/>
        <w:numPr>
          <w:ilvl w:val="0"/>
          <w:numId w:val="2"/>
        </w:numPr>
        <w:spacing w:after="45" w:before="45"/>
      </w:pPr>
      <w:r>
        <w:rPr>
          <w:rFonts w:ascii="Arial" w:cs="Arial" w:eastAsia="Arial" w:hAnsi="Arial"/>
          <w:sz w:val="19"/>
          <w:szCs w:val="19"/>
        </w:rPr>
        <w:t xml:space="preserve">Bijlage 3 — SLA-parameters en rapporteringsformaat</w:t>
      </w:r>
    </w:p>
    <w:sectPr>
      <w:headerReference w:type="default" r:id="rId7"/>
      <w:footerReference w:type="default" r:id="rId8"/>
      <w:pgSz w:w="11906" w:h="16838" w:orient="portrait"/>
      <w:pgMar w:top="1200" w:right="12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2"/>
      </w:pBdr>
      <w:spacing w:before="140"/>
    </w:pPr>
    <w:r>
      <w:rPr>
        <w:rFonts w:ascii="Arial" w:cs="Arial" w:eastAsia="Arial" w:hAnsi="Arial"/>
        <w:color w:val="888888"/>
        <w:sz w:val="15"/>
        <w:szCs w:val="15"/>
      </w:rPr>
      <w:t xml:space="preserve">Versie 1.0 — Brussel, 15 januari 2025 — Vertrouwelijk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4" w:space="2"/>
      </w:pBdr>
      <w:tabs>
        <w:tab w:val="right" w:pos="8400"/>
      </w:tabs>
      <w:spacing w:after="140"/>
    </w:pPr>
    <w:r>
      <w:rPr>
        <w:rFonts w:ascii="Arial" w:cs="Arial" w:eastAsia="Arial" w:hAnsi="Arial"/>
        <w:b/>
        <w:bCs/>
        <w:color w:val="003366"/>
        <w:sz w:val="17"/>
        <w:szCs w:val="17"/>
      </w:rPr>
      <w:t xml:space="preserve">RAAMOVEREENKOMST — EASI Group NV / supplier1 BV</w:t>
    </w:r>
    <w:r>
      <w:rPr>
        <w:sz w:val="17"/>
        <w:szCs w:val="17"/>
      </w:rPr>
      <w:t xml:space="preserve">	</w:t>
    </w:r>
    <w:r>
      <w:rPr>
        <w:rFonts w:ascii="Arial" w:cs="Arial" w:eastAsia="Arial" w:hAnsi="Arial"/>
        <w:i/>
        <w:iCs/>
        <w:color w:val="888888"/>
        <w:sz w:val="15"/>
        <w:szCs w:val="15"/>
      </w:rPr>
      <w:t xml:space="preserve">Vertrouwelijk — Ref. RO-2025-001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Arial" w:cs="Arial" w:eastAsia="Arial" w:hAnsi="Arial"/>
      <w:b/>
      <w:bCs/>
      <w:color w:val="003366"/>
      <w:sz w:val="24"/>
      <w:szCs w:val="24"/>
    </w:rPr>
  </w:style>
  <w:style w:type="paragraph" w:styleId="Heading2">
    <w:name w:val="Heading 2"/>
    <w:basedOn w:val="Normal"/>
    <w:next w:val="Normal"/>
    <w:qFormat/>
    <w:pPr>
      <w:spacing w:after="60" w:before="180"/>
      <w:outlineLvl w:val="1"/>
    </w:pPr>
    <w:rPr>
      <w:rFonts w:ascii="Arial" w:cs="Arial" w:eastAsia="Arial" w:hAnsi="Arial"/>
      <w:b/>
      <w:bCs/>
      <w:color w:val="1A527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2026-04-29T13:03:11.828Z</dcterms:created>
  <dcterms:modified xsi:type="dcterms:W3CDTF">2026-04-29T13:03:11.829Z</dcterms:modified>
</cp:coreProperties>
</file>

<file path=docProps/custom.xml><?xml version="1.0" encoding="utf-8"?>
<Properties xmlns="http://schemas.openxmlformats.org/officeDocument/2006/custom-properties" xmlns:vt="http://schemas.openxmlformats.org/officeDocument/2006/docPropsVTypes"/>
</file>