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
        <w:jc w:val="center"/>
      </w:pPr>
      <w:r>
        <w:rPr>
          <w:rFonts w:ascii="Arial" w:cs="Arial" w:eastAsia="Arial" w:hAnsi="Arial"/>
          <w:b/>
          <w:bCs/>
          <w:color w:val="003366"/>
          <w:sz w:val="40"/>
          <w:szCs w:val="40"/>
        </w:rPr>
        <w:t xml:space="preserve">EASI GROUP</w:t>
      </w:r>
    </w:p>
    <w:p>
      <w:pPr>
        <w:spacing w:after="40" w:before="0"/>
        <w:jc w:val="center"/>
      </w:pPr>
      <w:r>
        <w:rPr>
          <w:rFonts w:ascii="Arial" w:cs="Arial" w:eastAsia="Arial" w:hAnsi="Arial"/>
          <w:b/>
          <w:bCs/>
          <w:color w:val="1A5276"/>
          <w:sz w:val="28"/>
          <w:szCs w:val="28"/>
        </w:rPr>
        <w:t xml:space="preserve">Interne Procedure — Klachtenafhandeling</w:t>
      </w:r>
    </w:p>
    <w:p>
      <w:pPr>
        <w:spacing w:after="40" w:before="0"/>
        <w:jc w:val="center"/>
      </w:pPr>
      <w:r>
        <w:rPr>
          <w:rFonts w:ascii="Arial" w:cs="Arial" w:eastAsia="Arial" w:hAnsi="Arial"/>
          <w:i/>
          <w:iCs/>
          <w:color w:val="555555"/>
          <w:sz w:val="19"/>
          <w:szCs w:val="19"/>
        </w:rPr>
        <w:t xml:space="preserve">Afdeling Sales &amp; Customer Success</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Versie</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Datum</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Status</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Proceseigenaar</w:t>
            </w:r>
          </w:p>
        </w:tc>
      </w:tr>
      <w:tr>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center"/>
            </w:pPr>
            <w:r>
              <w:rPr>
                <w:rFonts w:ascii="Arial" w:cs="Arial" w:eastAsia="Arial" w:hAnsi="Arial"/>
                <w:b/>
                <w:bCs/>
                <w:i w:val="false"/>
                <w:iCs w:val="false"/>
                <w:color w:val="000000"/>
                <w:sz w:val="17"/>
                <w:szCs w:val="17"/>
              </w:rPr>
              <w:t xml:space="preserve">2.1</w:t>
            </w:r>
          </w:p>
        </w:tc>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center"/>
            </w:pPr>
            <w:r>
              <w:rPr>
                <w:rFonts w:ascii="Arial" w:cs="Arial" w:eastAsia="Arial" w:hAnsi="Arial"/>
                <w:b w:val="false"/>
                <w:bCs w:val="false"/>
                <w:i w:val="false"/>
                <w:iCs w:val="false"/>
                <w:color w:val="000000"/>
                <w:sz w:val="17"/>
                <w:szCs w:val="17"/>
              </w:rPr>
              <w:t xml:space="preserve">Januari 2025</w:t>
            </w:r>
          </w:p>
        </w:tc>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center"/>
            </w:pPr>
            <w:r>
              <w:rPr>
                <w:rFonts w:ascii="Arial" w:cs="Arial" w:eastAsia="Arial" w:hAnsi="Arial"/>
                <w:b/>
                <w:bCs/>
                <w:i w:val="false"/>
                <w:iCs w:val="false"/>
                <w:color w:val="1E8449"/>
                <w:sz w:val="17"/>
                <w:szCs w:val="17"/>
              </w:rPr>
              <w:t xml:space="preserve">Actief</w:t>
            </w:r>
          </w:p>
        </w:tc>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center"/>
            </w:pPr>
            <w:r>
              <w:rPr>
                <w:rFonts w:ascii="Arial" w:cs="Arial" w:eastAsia="Arial" w:hAnsi="Arial"/>
                <w:b w:val="false"/>
                <w:bCs w:val="false"/>
                <w:i w:val="false"/>
                <w:iCs w:val="false"/>
                <w:color w:val="000000"/>
                <w:sz w:val="17"/>
                <w:szCs w:val="17"/>
              </w:rPr>
              <w:t xml:space="preserve">Nathalie Pieters</w:t>
            </w:r>
          </w:p>
        </w:tc>
      </w:tr>
    </w:tbl>
    <w:p>
      <w:pPr>
        <w:spacing w:after="0" w:before="55"/>
      </w:pPr>
    </w:p>
    <w:p>
      <w:pPr>
        <w:spacing w:after="50" w:before="50"/>
        <w:jc w:val="both"/>
      </w:pPr>
      <w:r>
        <w:rPr>
          <w:rFonts w:ascii="Arial" w:cs="Arial" w:eastAsia="Arial" w:hAnsi="Arial"/>
          <w:sz w:val="19"/>
          <w:szCs w:val="19"/>
        </w:rPr>
        <w:t xml:space="preserve">Deze procedure beschrijft hoe EASI Group omgaat met klachten van klanten. Ze is bindend voor alle medewerkers die rechtstreeks of onrechtstreeks klantcontact hebben. Het doel is tweeledig: klanten snel en professioneel helpen, en intern leren uit elke klacht zodat we herhaling vermijden. Volg deze stappen altijd — ook als de situatie “overwaaien” lijkt.</w:t>
      </w:r>
    </w:p>
    <w:p>
      <w:pPr>
        <w:spacing w:after="0" w:before="70"/>
      </w:pPr>
    </w:p>
    <w:p>
      <w:pPr>
        <w:pStyle w:val="Heading1"/>
        <w:pBdr>
          <w:bottom w:val="single" w:color="003366" w:sz="6" w:space="2"/>
        </w:pBdr>
        <w:spacing w:after="85" w:before="270"/>
      </w:pPr>
      <w:r>
        <w:rPr>
          <w:rFonts w:ascii="Arial" w:cs="Arial" w:eastAsia="Arial" w:hAnsi="Arial"/>
          <w:b/>
          <w:bCs/>
          <w:color w:val="003366"/>
          <w:sz w:val="24"/>
          <w:szCs w:val="24"/>
        </w:rPr>
        <w:t xml:space="preserve">1. Toepassingsgebied en Definities</w:t>
      </w:r>
    </w:p>
    <w:p>
      <w:pPr>
        <w:pStyle w:val="Heading2"/>
        <w:spacing w:after="55" w:before="160"/>
      </w:pPr>
      <w:r>
        <w:rPr>
          <w:rFonts w:ascii="Arial" w:cs="Arial" w:eastAsia="Arial" w:hAnsi="Arial"/>
          <w:b/>
          <w:bCs/>
          <w:color w:val="1A5276"/>
          <w:sz w:val="21"/>
          <w:szCs w:val="21"/>
        </w:rPr>
        <w:t xml:space="preserve">1.1 Toepassingsgebied</w:t>
      </w:r>
    </w:p>
    <w:p>
      <w:pPr>
        <w:spacing w:after="50" w:before="50"/>
        <w:jc w:val="both"/>
      </w:pPr>
      <w:r>
        <w:rPr>
          <w:rFonts w:ascii="Arial" w:cs="Arial" w:eastAsia="Arial" w:hAnsi="Arial"/>
          <w:sz w:val="19"/>
          <w:szCs w:val="19"/>
        </w:rPr>
        <w:t xml:space="preserve">Deze procedure geldt voor alle B2B-klachten ontvangen via gelijk welk kanaal (telefoon, Teams, e-mail, face-to-face). Ze is van toepassing op alle medewerkers van EASI Group die klantcontact hebben, in het bijzonder accountmanagers, projectmanagers en leden van het Customer Success-team.</w:t>
      </w:r>
    </w:p>
    <w:p>
      <w:pPr>
        <w:pStyle w:val="Heading2"/>
        <w:spacing w:after="55" w:before="160"/>
      </w:pPr>
      <w:r>
        <w:rPr>
          <w:rFonts w:ascii="Arial" w:cs="Arial" w:eastAsia="Arial" w:hAnsi="Arial"/>
          <w:b/>
          <w:bCs/>
          <w:color w:val="1A5276"/>
          <w:sz w:val="21"/>
          <w:szCs w:val="21"/>
        </w:rPr>
        <w:t xml:space="preserve">1.2 Wat is een klacht?</w:t>
      </w:r>
    </w:p>
    <w:p>
      <w:pPr>
        <w:spacing w:after="50" w:before="50"/>
        <w:jc w:val="both"/>
      </w:pPr>
      <w:r>
        <w:rPr>
          <w:rFonts w:ascii="Arial" w:cs="Arial" w:eastAsia="Arial" w:hAnsi="Arial"/>
          <w:sz w:val="19"/>
          <w:szCs w:val="19"/>
        </w:rPr>
        <w:t xml:space="preserve">Een klacht is elke uiting van ontevredenheid door een klant over een product, dienst, persoon of procedure van EASI Group, waarbij de klant een reactie of herstel verwacht. Louter informatievragen of neutrale feedback zijn geen klachten in de zin van deze procedure.</w:t>
      </w:r>
    </w:p>
    <w:p>
      <w:pPr>
        <w:spacing w:after="0" w:before="50"/>
      </w:pPr>
    </w:p>
    <w:p>
      <w:pPr>
        <w:pStyle w:val="Heading2"/>
        <w:spacing w:after="55" w:before="160"/>
      </w:pPr>
      <w:r>
        <w:rPr>
          <w:rFonts w:ascii="Arial" w:cs="Arial" w:eastAsia="Arial" w:hAnsi="Arial"/>
          <w:b/>
          <w:bCs/>
          <w:color w:val="1A5276"/>
          <w:sz w:val="21"/>
          <w:szCs w:val="21"/>
        </w:rPr>
        <w:t xml:space="preserve">1.3 Klachtniveaus</w:t>
      </w:r>
    </w:p>
    <w:p>
      <w:pPr>
        <w:spacing w:after="50" w:before="50"/>
        <w:jc w:val="both"/>
      </w:pPr>
      <w:r>
        <w:rPr>
          <w:rFonts w:ascii="Arial" w:cs="Arial" w:eastAsia="Arial" w:hAnsi="Arial"/>
          <w:sz w:val="19"/>
          <w:szCs w:val="19"/>
        </w:rPr>
        <w:t xml:space="preserve">Elke klacht wordt bij ontvangst ingedeeld in één van de drie niveaus hieronder. Twijfel je? Ga altijd voor het hóógste niveau dat redelijkerwijze van toepassing kan zijn.</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600"/>
        <w:gridCol w:w="2400"/>
      </w:tblGrid>
      <w:tr>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Niveau</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Omschrijving</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Typische signalen</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Wie is verantwoordelijk?</w:t>
            </w:r>
          </w:p>
        </w:tc>
      </w:tr>
      <w:tr>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bCs/>
                <w:i w:val="false"/>
                <w:iCs w:val="false"/>
                <w:color w:val="1E8449"/>
                <w:sz w:val="17"/>
                <w:szCs w:val="17"/>
              </w:rPr>
              <w:t xml:space="preserve">Niveau 1</w:t>
            </w:r>
          </w:p>
        </w:tc>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Onvrede — herstelbaar via accountmanager</w:t>
            </w:r>
          </w:p>
        </w:tc>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Klacht over levering, factuur, communicatie; klant blijft constructief</w:t>
            </w:r>
          </w:p>
        </w:tc>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Accountmanager (zelfstandig)</w:t>
            </w:r>
          </w:p>
        </w:tc>
      </w:tr>
      <w:tr>
        <w:tc>
          <w:tcPr>
            <w:tcBorders>
              <w:top w:val="single" w:color="AAAAAA" w:sz="4"/>
              <w:left w:val="single" w:color="AAAAAA" w:sz="4"/>
              <w:bottom w:val="single" w:color="AAAAAA" w:sz="4"/>
              <w:right w:val="single" w:color="AAAAAA" w:sz="4"/>
            </w:tcBorders>
            <w:shd w:fill="FEF9E7" w:val="clear"/>
            <w:tcMar>
              <w:top w:type="dxa" w:w="65"/>
              <w:left w:type="dxa" w:w="100"/>
              <w:bottom w:type="dxa" w:w="65"/>
              <w:right w:type="dxa" w:w="100"/>
            </w:tcMar>
            <w:vAlign w:val="center"/>
          </w:tcPr>
          <w:p>
            <w:pPr>
              <w:jc w:val="left"/>
            </w:pPr>
            <w:r>
              <w:rPr>
                <w:rFonts w:ascii="Arial" w:cs="Arial" w:eastAsia="Arial" w:hAnsi="Arial"/>
                <w:b/>
                <w:bCs/>
                <w:i w:val="false"/>
                <w:iCs w:val="false"/>
                <w:color w:val="F39C12"/>
                <w:sz w:val="17"/>
                <w:szCs w:val="17"/>
              </w:rPr>
              <w:t xml:space="preserve">Niveau 2</w:t>
            </w:r>
          </w:p>
        </w:tc>
        <w:tc>
          <w:tcPr>
            <w:tcBorders>
              <w:top w:val="single" w:color="AAAAAA" w:sz="4"/>
              <w:left w:val="single" w:color="AAAAAA" w:sz="4"/>
              <w:bottom w:val="single" w:color="AAAAAA" w:sz="4"/>
              <w:right w:val="single" w:color="AAAAAA" w:sz="4"/>
            </w:tcBorders>
            <w:shd w:fill="FEF9E7"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Dreiging contractbeëindiging — directie-interventie vereist</w:t>
            </w:r>
          </w:p>
        </w:tc>
        <w:tc>
          <w:tcPr>
            <w:tcBorders>
              <w:top w:val="single" w:color="AAAAAA" w:sz="4"/>
              <w:left w:val="single" w:color="AAAAAA" w:sz="4"/>
              <w:bottom w:val="single" w:color="AAAAAA" w:sz="4"/>
              <w:right w:val="single" w:color="AAAAAA" w:sz="4"/>
            </w:tcBorders>
            <w:shd w:fill="FEF9E7"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Klant spreekt over opzeg, alternatieve leverancier of escalatie naar eigen management</w:t>
            </w:r>
          </w:p>
        </w:tc>
        <w:tc>
          <w:tcPr>
            <w:tcBorders>
              <w:top w:val="single" w:color="AAAAAA" w:sz="4"/>
              <w:left w:val="single" w:color="AAAAAA" w:sz="4"/>
              <w:bottom w:val="single" w:color="AAAAAA" w:sz="4"/>
              <w:right w:val="single" w:color="AAAAAA" w:sz="4"/>
            </w:tcBorders>
            <w:shd w:fill="FEF9E7"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Sales Director (verplicht betrokken)</w:t>
            </w:r>
          </w:p>
        </w:tc>
      </w:tr>
      <w:tr>
        <w:tc>
          <w:tcPr>
            <w:tcBorders>
              <w:top w:val="single" w:color="AAAAAA" w:sz="4"/>
              <w:left w:val="single" w:color="AAAAAA" w:sz="4"/>
              <w:bottom w:val="single" w:color="AAAAAA" w:sz="4"/>
              <w:right w:val="single" w:color="AAAAAA" w:sz="4"/>
            </w:tcBorders>
            <w:shd w:fill="FDECEA" w:val="clear"/>
            <w:tcMar>
              <w:top w:type="dxa" w:w="65"/>
              <w:left w:type="dxa" w:w="100"/>
              <w:bottom w:type="dxa" w:w="65"/>
              <w:right w:type="dxa" w:w="100"/>
            </w:tcMar>
            <w:vAlign w:val="center"/>
          </w:tcPr>
          <w:p>
            <w:pPr>
              <w:jc w:val="left"/>
            </w:pPr>
            <w:r>
              <w:rPr>
                <w:rFonts w:ascii="Arial" w:cs="Arial" w:eastAsia="Arial" w:hAnsi="Arial"/>
                <w:b/>
                <w:bCs/>
                <w:i w:val="false"/>
                <w:iCs w:val="false"/>
                <w:color w:val="C0392B"/>
                <w:sz w:val="17"/>
                <w:szCs w:val="17"/>
              </w:rPr>
              <w:t xml:space="preserve">Niveau 3</w:t>
            </w:r>
          </w:p>
        </w:tc>
        <w:tc>
          <w:tcPr>
            <w:tcBorders>
              <w:top w:val="single" w:color="AAAAAA" w:sz="4"/>
              <w:left w:val="single" w:color="AAAAAA" w:sz="4"/>
              <w:bottom w:val="single" w:color="AAAAAA" w:sz="4"/>
              <w:right w:val="single" w:color="AAAAAA" w:sz="4"/>
            </w:tcBorders>
            <w:shd w:fill="FDECEA"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Juridische stap of publieke escalatie</w:t>
            </w:r>
          </w:p>
        </w:tc>
        <w:tc>
          <w:tcPr>
            <w:tcBorders>
              <w:top w:val="single" w:color="AAAAAA" w:sz="4"/>
              <w:left w:val="single" w:color="AAAAAA" w:sz="4"/>
              <w:bottom w:val="single" w:color="AAAAAA" w:sz="4"/>
              <w:right w:val="single" w:color="AAAAAA" w:sz="4"/>
            </w:tcBorders>
            <w:shd w:fill="FDECEA"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Ingebrekestelling, advocaat, sociale media, pers, of dreiging met rechtszaak</w:t>
            </w:r>
          </w:p>
        </w:tc>
        <w:tc>
          <w:tcPr>
            <w:tcBorders>
              <w:top w:val="single" w:color="AAAAAA" w:sz="4"/>
              <w:left w:val="single" w:color="AAAAAA" w:sz="4"/>
              <w:bottom w:val="single" w:color="AAAAAA" w:sz="4"/>
              <w:right w:val="single" w:color="AAAAAA" w:sz="4"/>
            </w:tcBorders>
            <w:shd w:fill="FDECEA"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CEO + Juridische dienst (onmiddellijk)</w:t>
            </w:r>
          </w:p>
        </w:tc>
      </w:tr>
    </w:tbl>
    <w:p>
      <w:pPr>
        <w:spacing w:after="0" w:before="80"/>
      </w:pPr>
    </w:p>
    <w:p>
      <w:pPr>
        <w:pStyle w:val="Heading1"/>
        <w:pBdr>
          <w:bottom w:val="single" w:color="003366" w:sz="6" w:space="2"/>
        </w:pBdr>
        <w:spacing w:after="85" w:before="270"/>
      </w:pPr>
      <w:r>
        <w:rPr>
          <w:rFonts w:ascii="Arial" w:cs="Arial" w:eastAsia="Arial" w:hAnsi="Arial"/>
          <w:b/>
          <w:bCs/>
          <w:color w:val="003366"/>
          <w:sz w:val="24"/>
          <w:szCs w:val="24"/>
        </w:rPr>
        <w:t xml:space="preserve">2. Aanpak per Klachtniveau</w:t>
      </w:r>
    </w:p>
    <w:p>
      <w:pPr>
        <w:pStyle w:val="Heading2"/>
        <w:spacing w:after="55" w:before="160"/>
      </w:pPr>
      <w:r>
        <w:rPr>
          <w:rFonts w:ascii="Arial" w:cs="Arial" w:eastAsia="Arial" w:hAnsi="Arial"/>
          <w:b/>
          <w:bCs/>
          <w:color w:val="1A5276"/>
          <w:sz w:val="21"/>
          <w:szCs w:val="21"/>
        </w:rPr>
        <w:t xml:space="preserve">2.1 Niveau 1 — Operationele onvrede</w:t>
      </w:r>
    </w:p>
    <w:p>
      <w:pPr>
        <w:spacing w:after="50" w:before="50"/>
        <w:jc w:val="both"/>
      </w:pPr>
      <w:r>
        <w:rPr>
          <w:rFonts w:ascii="Arial" w:cs="Arial" w:eastAsia="Arial" w:hAnsi="Arial"/>
          <w:sz w:val="19"/>
          <w:szCs w:val="19"/>
        </w:rPr>
        <w:t xml:space="preserve">De accountmanager behandelt niveau-1-klachten zelfstandig. Hij of zij neemt binnen vier (4) kantooruren contact op met de klant, erkent de klacht expliciet en biedt een concrete oplossing of tijdlijn aan. De klacht wordt geregistreerd in Salesforce (zie Sectie 4). Indien de situatie dreigt te escaleren naar niveau 2, informeert de accountmanager de Sales Director pro-actief zonder te wachten op formele escalatie.</w:t>
      </w:r>
    </w:p>
    <w:p>
      <w:pPr>
        <w:pStyle w:val="Heading2"/>
        <w:spacing w:after="55" w:before="160"/>
      </w:pPr>
      <w:r>
        <w:rPr>
          <w:rFonts w:ascii="Arial" w:cs="Arial" w:eastAsia="Arial" w:hAnsi="Arial"/>
          <w:b/>
          <w:bCs/>
          <w:color w:val="1A5276"/>
          <w:sz w:val="21"/>
          <w:szCs w:val="21"/>
        </w:rPr>
        <w:t xml:space="preserve">2.2 Niveau 2 — Dreiging contractbeëindiging</w:t>
      </w:r>
    </w:p>
    <w:p>
      <w:pPr>
        <w:spacing w:after="50" w:before="50"/>
        <w:jc w:val="both"/>
      </w:pPr>
      <w:r>
        <w:rPr>
          <w:rFonts w:ascii="Arial" w:cs="Arial" w:eastAsia="Arial" w:hAnsi="Arial"/>
          <w:sz w:val="19"/>
          <w:szCs w:val="19"/>
        </w:rPr>
        <w:t xml:space="preserve">Bij een niveau-2-klacht gelden de volgende stappen strikt en in volgorde:</w:t>
      </w:r>
    </w:p>
    <w:p>
      <w:pPr>
        <w:spacing w:after="0" w:before="35"/>
      </w:pPr>
    </w:p>
    <w:p>
      <w:pPr>
        <w:pStyle w:val="ListParagraph"/>
        <w:numPr>
          <w:ilvl w:val="0"/>
          <w:numId w:val="2"/>
        </w:numPr>
        <w:spacing w:after="50" w:before="50"/>
      </w:pPr>
      <w:r>
        <w:rPr>
          <w:rFonts w:ascii="Arial" w:cs="Arial" w:eastAsia="Arial" w:hAnsi="Arial"/>
          <w:b/>
          <w:bCs/>
          <w:sz w:val="19"/>
          <w:szCs w:val="19"/>
        </w:rPr>
        <w:t xml:space="preserve">Accountmanager → Sales Director (binnen 2 uur): </w:t>
      </w:r>
      <w:r>
        <w:rPr>
          <w:rFonts w:ascii="Arial" w:cs="Arial" w:eastAsia="Arial" w:hAnsi="Arial"/>
          <w:sz w:val="19"/>
          <w:szCs w:val="19"/>
        </w:rPr>
        <w:t xml:space="preserve">De accountmanager stuurt onmiddellijk een Teams-bericht — geen e-mail — naar de Sales Director (Nathalie Pieters, Teams-alias: n.pieters) met vermelding van: klantnaam, wat er precies gezegd is, context en eigen inschatting van de urgentie. Gebruik het sjabloon in Bijlage A.</w:t>
      </w:r>
    </w:p>
    <w:p>
      <w:pPr>
        <w:pStyle w:val="ListParagraph"/>
        <w:numPr>
          <w:ilvl w:val="0"/>
          <w:numId w:val="2"/>
        </w:numPr>
        <w:spacing w:after="50" w:before="50"/>
      </w:pPr>
      <w:r>
        <w:rPr>
          <w:rFonts w:ascii="Arial" w:cs="Arial" w:eastAsia="Arial" w:hAnsi="Arial"/>
          <w:b/>
          <w:bCs/>
          <w:sz w:val="19"/>
          <w:szCs w:val="19"/>
        </w:rPr>
        <w:t xml:space="preserve">Sales Director belt de klant (binnen 24 uur): </w:t>
      </w:r>
      <w:r>
        <w:rPr>
          <w:rFonts w:ascii="Arial" w:cs="Arial" w:eastAsia="Arial" w:hAnsi="Arial"/>
          <w:sz w:val="19"/>
          <w:szCs w:val="19"/>
        </w:rPr>
        <w:t xml:space="preserve">De Sales Director neemt telefonisch contact op — niet per e-mail — met de bevoegde contactpersoon bij de klant. Doel: de klacht aanhoren, vertrouwen herstellen en een eerste reactie geven. Van dit gesprek wordt een intern verslag gemaakt en toegevoegd aan de Salesforce-case.</w:t>
      </w:r>
    </w:p>
    <w:p>
      <w:pPr>
        <w:pStyle w:val="ListParagraph"/>
        <w:numPr>
          <w:ilvl w:val="0"/>
          <w:numId w:val="2"/>
        </w:numPr>
        <w:spacing w:after="50" w:before="50"/>
      </w:pPr>
      <w:r>
        <w:rPr>
          <w:rFonts w:ascii="Arial" w:cs="Arial" w:eastAsia="Arial" w:hAnsi="Arial"/>
          <w:b/>
          <w:bCs/>
          <w:sz w:val="19"/>
          <w:szCs w:val="19"/>
        </w:rPr>
        <w:t xml:space="preserve">Remediëringsplan (binnen 5 werkdagen): </w:t>
      </w:r>
      <w:r>
        <w:rPr>
          <w:rFonts w:ascii="Arial" w:cs="Arial" w:eastAsia="Arial" w:hAnsi="Arial"/>
          <w:sz w:val="19"/>
          <w:szCs w:val="19"/>
        </w:rPr>
        <w:t xml:space="preserve">De Sales Director stelt, samen met de betrokken accountmanager en — indien van toepassing — de projectmanager, een schriftelijk remediëringsplan op. Het plan bevat: oorzaakanalyse, concrete herstelacties met naam van verantwoordelijke en deadline, en een opvolgfrequentie. Het plan wordt intern goedgekeurd vóór verzending naar de klant.</w:t>
      </w:r>
    </w:p>
    <w:p>
      <w:pPr>
        <w:pStyle w:val="ListParagraph"/>
        <w:numPr>
          <w:ilvl w:val="0"/>
          <w:numId w:val="2"/>
        </w:numPr>
        <w:spacing w:after="50" w:before="50"/>
      </w:pPr>
      <w:r>
        <w:rPr>
          <w:rFonts w:ascii="Arial" w:cs="Arial" w:eastAsia="Arial" w:hAnsi="Arial"/>
          <w:b/>
          <w:bCs/>
          <w:sz w:val="19"/>
          <w:szCs w:val="19"/>
        </w:rPr>
        <w:t xml:space="preserve">Opvolging: </w:t>
      </w:r>
      <w:r>
        <w:rPr>
          <w:rFonts w:ascii="Arial" w:cs="Arial" w:eastAsia="Arial" w:hAnsi="Arial"/>
          <w:sz w:val="19"/>
          <w:szCs w:val="19"/>
        </w:rPr>
        <w:t xml:space="preserve">De Sales Director bewaakt de uitvoering van het remediëringsplan en rapporteert wekelijks in de Sales Director Review (zie Sectie 5). De Salesforce-case blijft op “High” staan tot de klant expliciet schriftelijk bevestigt dat de situatie is opgelost.</w:t>
      </w:r>
    </w:p>
    <w:p>
      <w:pPr>
        <w:spacing w:after="0" w:before="4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c>
          <w:tcPr>
            <w:tcBorders>
              <w:top w:val="single" w:color="AAAAAA" w:sz="4"/>
              <w:left w:val="single" w:color="AAAAAA" w:sz="4"/>
              <w:bottom w:val="single" w:color="AAAAAA" w:sz="4"/>
              <w:right w:val="single" w:color="AAAAAA" w:sz="4"/>
            </w:tcBorders>
            <w:shd w:fill="FEF9E7" w:val="clear"/>
            <w:tcMar>
              <w:top w:type="dxa" w:w="80"/>
              <w:left w:type="dxa" w:w="110"/>
              <w:bottom w:type="dxa" w:w="80"/>
              <w:right w:type="dxa" w:w="110"/>
            </w:tcMar>
            <w:vAlign w:val="center"/>
          </w:tcPr>
          <w:p>
            <w:pPr>
              <w:jc w:val="center"/>
            </w:pPr>
            <w:r>
              <w:rPr>
                <w:rFonts w:ascii="Arial" w:cs="Arial" w:eastAsia="Arial" w:hAnsi="Arial"/>
                <w:b/>
                <w:bCs/>
                <w:color w:val="F39C12"/>
                <w:sz w:val="17"/>
                <w:szCs w:val="17"/>
              </w:rPr>
              <w:t xml:space="preserve">⚠️  Belangrijk</w:t>
            </w:r>
          </w:p>
        </w:tc>
        <w:tc>
          <w:tcPr>
            <w:tcBorders>
              <w:top w:val="single" w:color="AAAAAA" w:sz="4"/>
              <w:left w:val="single" w:color="AAAAAA" w:sz="4"/>
              <w:bottom w:val="single" w:color="AAAAAA" w:sz="4"/>
              <w:right w:val="single" w:color="AAAAAA" w:sz="4"/>
            </w:tcBorders>
            <w:tcMar>
              <w:top w:type="dxa" w:w="80"/>
              <w:left w:type="dxa" w:w="110"/>
              <w:bottom w:type="dxa" w:w="80"/>
              <w:right w:type="dxa" w:w="110"/>
            </w:tcMar>
          </w:tcPr>
          <w:p>
            <w:pPr>
              <w:jc w:val="both"/>
            </w:pPr>
            <w:r>
              <w:rPr>
                <w:rFonts w:ascii="Arial" w:cs="Arial" w:eastAsia="Arial" w:hAnsi="Arial"/>
                <w:sz w:val="17"/>
                <w:szCs w:val="17"/>
              </w:rPr>
              <w:t xml:space="preserve">Een niveau-2-klacht nooit ‘parkeren’ in afwachting van meer informatie. Bij twijfel: escaleer onmiddellijk en pas achteraf af naar beneden als de situatie meevalt.</w:t>
            </w:r>
          </w:p>
        </w:tc>
      </w:tr>
    </w:tbl>
    <w:p>
      <w:pPr>
        <w:spacing w:after="0" w:before="65"/>
      </w:pPr>
    </w:p>
    <w:p>
      <w:pPr>
        <w:pStyle w:val="Heading2"/>
        <w:spacing w:after="55" w:before="160"/>
      </w:pPr>
      <w:r>
        <w:rPr>
          <w:rFonts w:ascii="Arial" w:cs="Arial" w:eastAsia="Arial" w:hAnsi="Arial"/>
          <w:b/>
          <w:bCs/>
          <w:color w:val="1A5276"/>
          <w:sz w:val="21"/>
          <w:szCs w:val="21"/>
        </w:rPr>
        <w:t xml:space="preserve">2.3 Niveau 3 — Juridische stap of publieke escalatie</w:t>
      </w:r>
    </w:p>
    <w:p>
      <w:pPr>
        <w:spacing w:after="50" w:before="50"/>
        <w:jc w:val="both"/>
      </w:pPr>
      <w:r>
        <w:rPr>
          <w:rFonts w:ascii="Arial" w:cs="Arial" w:eastAsia="Arial" w:hAnsi="Arial"/>
          <w:sz w:val="19"/>
          <w:szCs w:val="19"/>
        </w:rPr>
        <w:t xml:space="preserve">Bij een niveau-3-klacht gelden de volgende principes:</w:t>
      </w:r>
    </w:p>
    <w:p>
      <w:pPr>
        <w:pStyle w:val="ListParagraph"/>
        <w:numPr>
          <w:ilvl w:val="0"/>
          <w:numId w:val="3"/>
        </w:numPr>
        <w:spacing w:after="42" w:before="42"/>
      </w:pPr>
      <w:r>
        <w:rPr>
          <w:rFonts w:ascii="Arial" w:cs="Arial" w:eastAsia="Arial" w:hAnsi="Arial"/>
          <w:sz w:val="19"/>
          <w:szCs w:val="19"/>
        </w:rPr>
        <w:t xml:space="preserve">De accountmanager stopt alle inhoudelijke communicatie met de klant en geeft enkel nog aan dat de situatie intern wordt behandeld op het hoogste niveau;</w:t>
      </w:r>
    </w:p>
    <w:p>
      <w:pPr>
        <w:pStyle w:val="ListParagraph"/>
        <w:numPr>
          <w:ilvl w:val="0"/>
          <w:numId w:val="3"/>
        </w:numPr>
        <w:spacing w:after="42" w:before="42"/>
      </w:pPr>
      <w:r>
        <w:rPr>
          <w:rFonts w:ascii="Arial" w:cs="Arial" w:eastAsia="Arial" w:hAnsi="Arial"/>
          <w:sz w:val="19"/>
          <w:szCs w:val="19"/>
        </w:rPr>
        <w:t xml:space="preserve">De Sales Director informeert de CEO binnen het uur via Teams-bericht en telefoon — ook buiten kantooruren;</w:t>
      </w:r>
    </w:p>
    <w:p>
      <w:pPr>
        <w:pStyle w:val="ListParagraph"/>
        <w:numPr>
          <w:ilvl w:val="0"/>
          <w:numId w:val="3"/>
        </w:numPr>
        <w:spacing w:after="42" w:before="42"/>
      </w:pPr>
      <w:r>
        <w:rPr>
          <w:rFonts w:ascii="Arial" w:cs="Arial" w:eastAsia="Arial" w:hAnsi="Arial"/>
          <w:sz w:val="19"/>
          <w:szCs w:val="19"/>
        </w:rPr>
        <w:t xml:space="preserve">De juridische dienst of externe counsel wordt onmiddellijk ingelicht;</w:t>
      </w:r>
    </w:p>
    <w:p>
      <w:pPr>
        <w:pStyle w:val="ListParagraph"/>
        <w:numPr>
          <w:ilvl w:val="0"/>
          <w:numId w:val="3"/>
        </w:numPr>
        <w:spacing w:after="42" w:before="42"/>
      </w:pPr>
      <w:r>
        <w:rPr>
          <w:rFonts w:ascii="Arial" w:cs="Arial" w:eastAsia="Arial" w:hAnsi="Arial"/>
          <w:sz w:val="19"/>
          <w:szCs w:val="19"/>
        </w:rPr>
        <w:t xml:space="preserve">Alle communicatie met de klant verloopt vanaf dat moment via de CEO en/of de juridische dienst;</w:t>
      </w:r>
    </w:p>
    <w:p>
      <w:pPr>
        <w:pStyle w:val="ListParagraph"/>
        <w:numPr>
          <w:ilvl w:val="0"/>
          <w:numId w:val="3"/>
        </w:numPr>
        <w:spacing w:after="42" w:before="42"/>
      </w:pPr>
      <w:r>
        <w:rPr>
          <w:rFonts w:ascii="Arial" w:cs="Arial" w:eastAsia="Arial" w:hAnsi="Arial"/>
          <w:sz w:val="19"/>
          <w:szCs w:val="19"/>
        </w:rPr>
        <w:t xml:space="preserve">Geen enkele medewerker doet publieke uitspraken over de situatie (sociale media, pers) zonder expliciete goedkeuring van de CEO.</w:t>
      </w:r>
    </w:p>
    <w:p>
      <w:pPr>
        <w:spacing w:after="0" w:before="4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c>
          <w:tcPr>
            <w:tcBorders>
              <w:top w:val="single" w:color="AAAAAA" w:sz="4"/>
              <w:left w:val="single" w:color="AAAAAA" w:sz="4"/>
              <w:bottom w:val="single" w:color="AAAAAA" w:sz="4"/>
              <w:right w:val="single" w:color="AAAAAA" w:sz="4"/>
            </w:tcBorders>
            <w:shd w:fill="FDECEA" w:val="clear"/>
            <w:tcMar>
              <w:top w:type="dxa" w:w="80"/>
              <w:left w:type="dxa" w:w="110"/>
              <w:bottom w:type="dxa" w:w="80"/>
              <w:right w:type="dxa" w:w="110"/>
            </w:tcMar>
            <w:vAlign w:val="center"/>
          </w:tcPr>
          <w:p>
            <w:pPr>
              <w:jc w:val="center"/>
            </w:pPr>
            <w:r>
              <w:rPr>
                <w:rFonts w:ascii="Arial" w:cs="Arial" w:eastAsia="Arial" w:hAnsi="Arial"/>
                <w:b/>
                <w:bCs/>
                <w:color w:val="C0392B"/>
                <w:sz w:val="17"/>
                <w:szCs w:val="17"/>
              </w:rPr>
              <w:t xml:space="preserve">🔴  Niveau 3</w:t>
            </w:r>
          </w:p>
        </w:tc>
        <w:tc>
          <w:tcPr>
            <w:tcBorders>
              <w:top w:val="single" w:color="AAAAAA" w:sz="4"/>
              <w:left w:val="single" w:color="AAAAAA" w:sz="4"/>
              <w:bottom w:val="single" w:color="AAAAAA" w:sz="4"/>
              <w:right w:val="single" w:color="AAAAAA" w:sz="4"/>
            </w:tcBorders>
            <w:tcMar>
              <w:top w:type="dxa" w:w="80"/>
              <w:left w:type="dxa" w:w="110"/>
              <w:bottom w:type="dxa" w:w="80"/>
              <w:right w:type="dxa" w:w="110"/>
            </w:tcMar>
          </w:tcPr>
          <w:p>
            <w:pPr>
              <w:jc w:val="both"/>
            </w:pPr>
            <w:r>
              <w:rPr>
                <w:rFonts w:ascii="Arial" w:cs="Arial" w:eastAsia="Arial" w:hAnsi="Arial"/>
                <w:sz w:val="17"/>
                <w:szCs w:val="17"/>
              </w:rPr>
              <w:t xml:space="preserve">Behandel dit als een crisisscenario. Elke niet-gecoordineerde communicatie kan de juridische positie van EASI Group verzwakken.</w:t>
            </w:r>
          </w:p>
        </w:tc>
      </w:tr>
    </w:tbl>
    <w:p>
      <w:pPr>
        <w:spacing w:after="0" w:before="70"/>
      </w:pPr>
    </w:p>
    <w:p>
      <w:pPr>
        <w:pStyle w:val="Heading1"/>
        <w:pBdr>
          <w:bottom w:val="single" w:color="003366" w:sz="6" w:space="2"/>
        </w:pBdr>
        <w:spacing w:after="85" w:before="270"/>
      </w:pPr>
      <w:r>
        <w:rPr>
          <w:rFonts w:ascii="Arial" w:cs="Arial" w:eastAsia="Arial" w:hAnsi="Arial"/>
          <w:b/>
          <w:bCs/>
          <w:color w:val="003366"/>
          <w:sz w:val="24"/>
          <w:szCs w:val="24"/>
        </w:rPr>
        <w:t xml:space="preserve">3. Escalatiepad</w:t>
      </w:r>
    </w:p>
    <w:p>
      <w:pPr>
        <w:spacing w:after="50" w:before="50"/>
        <w:jc w:val="both"/>
      </w:pPr>
      <w:r>
        <w:rPr>
          <w:rFonts w:ascii="Arial" w:cs="Arial" w:eastAsia="Arial" w:hAnsi="Arial"/>
          <w:sz w:val="19"/>
          <w:szCs w:val="19"/>
        </w:rPr>
        <w:t xml:space="preserve">Het escalatiepad verloopt altijd in de onderstaande volgorde. Sla geen stap over, tenzij de situatie onmiddellijk niveau 3 is bij ontvangst.</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800"/>
      </w:tblGrid>
      <w:tr>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Stap</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Rol</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Contactkanaal</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Contactgegevens</w:t>
            </w:r>
          </w:p>
        </w:tc>
      </w:tr>
      <w:tr>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1 — Ontvangst</w:t>
            </w:r>
          </w:p>
        </w:tc>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Klant</w:t>
            </w:r>
          </w:p>
        </w:tc>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Elk kanaal</w:t>
            </w:r>
          </w:p>
        </w:tc>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center"/>
            </w:pPr>
            <w:r>
              <w:rPr>
                <w:rFonts w:ascii="Arial" w:cs="Arial" w:eastAsia="Arial" w:hAnsi="Arial"/>
                <w:b w:val="false"/>
                <w:bCs w:val="false"/>
                <w:i w:val="false"/>
                <w:iCs w:val="false"/>
                <w:color w:val="000000"/>
                <w:sz w:val="17"/>
                <w:szCs w:val="17"/>
              </w:rPr>
              <w:t xml:space="preserve">—</w:t>
            </w:r>
          </w:p>
        </w:tc>
      </w:tr>
      <w:tr>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2 — Eerste lijn</w:t>
            </w:r>
          </w:p>
        </w:tc>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Accountmanager</w:t>
            </w:r>
          </w:p>
        </w:tc>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Telefoon / Teams</w:t>
            </w:r>
          </w:p>
        </w:tc>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Zie CRM (Salesforce)</w:t>
            </w:r>
          </w:p>
        </w:tc>
      </w:tr>
      <w:tr>
        <w:tc>
          <w:tcPr>
            <w:tcBorders>
              <w:top w:val="single" w:color="AAAAAA" w:sz="4"/>
              <w:left w:val="single" w:color="AAAAAA" w:sz="4"/>
              <w:bottom w:val="single" w:color="AAAAAA" w:sz="4"/>
              <w:right w:val="single" w:color="AAAAAA" w:sz="4"/>
            </w:tcBorders>
            <w:shd w:fill="FEF9E7"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3 — Niveau 2+</w:t>
            </w:r>
          </w:p>
        </w:tc>
        <w:tc>
          <w:tcPr>
            <w:tcBorders>
              <w:top w:val="single" w:color="AAAAAA" w:sz="4"/>
              <w:left w:val="single" w:color="AAAAAA" w:sz="4"/>
              <w:bottom w:val="single" w:color="AAAAAA" w:sz="4"/>
              <w:right w:val="single" w:color="AAAAAA" w:sz="4"/>
            </w:tcBorders>
            <w:shd w:fill="FEF9E7"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Sales Director</w:t>
            </w:r>
          </w:p>
        </w:tc>
        <w:tc>
          <w:tcPr>
            <w:tcBorders>
              <w:top w:val="single" w:color="AAAAAA" w:sz="4"/>
              <w:left w:val="single" w:color="AAAAAA" w:sz="4"/>
              <w:bottom w:val="single" w:color="AAAAAA" w:sz="4"/>
              <w:right w:val="single" w:color="AAAAAA" w:sz="4"/>
            </w:tcBorders>
            <w:shd w:fill="FEF9E7"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Teams-bericht + telefoon</w:t>
            </w:r>
          </w:p>
        </w:tc>
        <w:tc>
          <w:tcPr>
            <w:tcBorders>
              <w:top w:val="single" w:color="AAAAAA" w:sz="4"/>
              <w:left w:val="single" w:color="AAAAAA" w:sz="4"/>
              <w:bottom w:val="single" w:color="AAAAAA" w:sz="4"/>
              <w:right w:val="single" w:color="AAAAAA" w:sz="4"/>
            </w:tcBorders>
            <w:shd w:fill="FEF9E7"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Nathalie Pieters — n.pieters@easi.net</w:t>
            </w:r>
          </w:p>
        </w:tc>
      </w:tr>
      <w:tr>
        <w:tc>
          <w:tcPr>
            <w:tcBorders>
              <w:top w:val="single" w:color="AAAAAA" w:sz="4"/>
              <w:left w:val="single" w:color="AAAAAA" w:sz="4"/>
              <w:bottom w:val="single" w:color="AAAAAA" w:sz="4"/>
              <w:right w:val="single" w:color="AAAAAA" w:sz="4"/>
            </w:tcBorders>
            <w:shd w:fill="FDECEA" w:val="clear"/>
            <w:tcMar>
              <w:top w:type="dxa" w:w="65"/>
              <w:left w:type="dxa" w:w="100"/>
              <w:bottom w:type="dxa" w:w="65"/>
              <w:right w:type="dxa" w:w="100"/>
            </w:tcMar>
            <w:vAlign w:val="center"/>
          </w:tcPr>
          <w:p>
            <w:pPr>
              <w:jc w:val="left"/>
            </w:pPr>
            <w:r>
              <w:rPr>
                <w:rFonts w:ascii="Arial" w:cs="Arial" w:eastAsia="Arial" w:hAnsi="Arial"/>
                <w:b/>
                <w:bCs/>
                <w:i w:val="false"/>
                <w:iCs w:val="false"/>
                <w:color w:val="C0392B"/>
                <w:sz w:val="17"/>
                <w:szCs w:val="17"/>
              </w:rPr>
              <w:t xml:space="preserve">4 — Niveau 3 / uitzonderlijk</w:t>
            </w:r>
          </w:p>
        </w:tc>
        <w:tc>
          <w:tcPr>
            <w:tcBorders>
              <w:top w:val="single" w:color="AAAAAA" w:sz="4"/>
              <w:left w:val="single" w:color="AAAAAA" w:sz="4"/>
              <w:bottom w:val="single" w:color="AAAAAA" w:sz="4"/>
              <w:right w:val="single" w:color="AAAAAA" w:sz="4"/>
            </w:tcBorders>
            <w:shd w:fill="FDECEA"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CEO</w:t>
            </w:r>
          </w:p>
        </w:tc>
        <w:tc>
          <w:tcPr>
            <w:tcBorders>
              <w:top w:val="single" w:color="AAAAAA" w:sz="4"/>
              <w:left w:val="single" w:color="AAAAAA" w:sz="4"/>
              <w:bottom w:val="single" w:color="AAAAAA" w:sz="4"/>
              <w:right w:val="single" w:color="AAAAAA" w:sz="4"/>
            </w:tcBorders>
            <w:shd w:fill="FDECEA"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Telefoon (direct)</w:t>
            </w:r>
          </w:p>
        </w:tc>
        <w:tc>
          <w:tcPr>
            <w:tcBorders>
              <w:top w:val="single" w:color="AAAAAA" w:sz="4"/>
              <w:left w:val="single" w:color="AAAAAA" w:sz="4"/>
              <w:bottom w:val="single" w:color="AAAAAA" w:sz="4"/>
              <w:right w:val="single" w:color="AAAAAA" w:sz="4"/>
            </w:tcBorders>
            <w:shd w:fill="FDECEA"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Via Sales Director of intern directorieboek</w:t>
            </w:r>
          </w:p>
        </w:tc>
      </w:tr>
    </w:tbl>
    <w:p>
      <w:pPr>
        <w:spacing w:after="0" w:before="55"/>
      </w:pPr>
    </w:p>
    <w:p>
      <w:pPr>
        <w:spacing w:after="50" w:before="50"/>
        <w:jc w:val="both"/>
      </w:pPr>
      <w:r>
        <w:rPr>
          <w:rFonts w:ascii="Arial" w:cs="Arial" w:eastAsia="Arial" w:hAnsi="Arial"/>
          <w:sz w:val="19"/>
          <w:szCs w:val="19"/>
        </w:rPr>
        <w:t xml:space="preserve">De Sales Director (Nathalie Pieters) is het centrale schakelpunt bij elke escalatie boven niveau 1. Bij afwezigheid van de Sales Director wordt de verantwoordelijkheid automatisch overgedragen aan de aangestelde vervanger, waarvan de naam steeds zichtbaar is in de OOO-melding van n.pieters@easi.net en op het Teams-kanaal #sales-escalaties.</w:t>
      </w:r>
    </w:p>
    <w:p>
      <w:pPr>
        <w:spacing w:after="0" w:before="70"/>
      </w:pPr>
    </w:p>
    <w:p>
      <w:pPr>
        <w:pStyle w:val="Heading1"/>
        <w:pBdr>
          <w:bottom w:val="single" w:color="003366" w:sz="6" w:space="2"/>
        </w:pBdr>
        <w:spacing w:after="85" w:before="270"/>
      </w:pPr>
      <w:r>
        <w:rPr>
          <w:rFonts w:ascii="Arial" w:cs="Arial" w:eastAsia="Arial" w:hAnsi="Arial"/>
          <w:b/>
          <w:bCs/>
          <w:color w:val="003366"/>
          <w:sz w:val="24"/>
          <w:szCs w:val="24"/>
        </w:rPr>
        <w:t xml:space="preserve">4. Registratie in Salesforce CRM</w:t>
      </w:r>
    </w:p>
    <w:p>
      <w:pPr>
        <w:pStyle w:val="Heading2"/>
        <w:spacing w:after="55" w:before="160"/>
      </w:pPr>
      <w:r>
        <w:rPr>
          <w:rFonts w:ascii="Arial" w:cs="Arial" w:eastAsia="Arial" w:hAnsi="Arial"/>
          <w:b/>
          <w:bCs/>
          <w:color w:val="1A5276"/>
          <w:sz w:val="21"/>
          <w:szCs w:val="21"/>
        </w:rPr>
        <w:t xml:space="preserve">4.1 Verplichting</w:t>
      </w:r>
    </w:p>
    <w:p>
      <w:pPr>
        <w:spacing w:after="50" w:before="50"/>
        <w:jc w:val="both"/>
      </w:pPr>
      <w:r>
        <w:rPr>
          <w:rFonts w:ascii="Arial" w:cs="Arial" w:eastAsia="Arial" w:hAnsi="Arial"/>
          <w:sz w:val="19"/>
          <w:szCs w:val="19"/>
        </w:rPr>
        <w:t xml:space="preserve">Elke klacht — ook niveau 1, ook als ze mondeling werd geuit en al is opgelost — wordt geregistreerd in Salesforce. Geen uitzonderingen. Niet-geregistreerde klachten kunnen niet worden opgevolgd, tellen niet mee in rapportages en maken het onmogelijk om patronen te detecteren.</w:t>
      </w:r>
    </w:p>
    <w:p>
      <w:pPr>
        <w:pStyle w:val="Heading2"/>
        <w:spacing w:after="55" w:before="160"/>
      </w:pPr>
      <w:r>
        <w:rPr>
          <w:rFonts w:ascii="Arial" w:cs="Arial" w:eastAsia="Arial" w:hAnsi="Arial"/>
          <w:b/>
          <w:bCs/>
          <w:color w:val="1A5276"/>
          <w:sz w:val="21"/>
          <w:szCs w:val="21"/>
        </w:rPr>
        <w:t xml:space="preserve">4.2 Hoe registreren?</w:t>
      </w:r>
    </w:p>
    <w:p>
      <w:pPr>
        <w:pStyle w:val="ListParagraph"/>
        <w:numPr>
          <w:ilvl w:val="0"/>
          <w:numId w:val="3"/>
        </w:numPr>
        <w:spacing w:after="42" w:before="42"/>
      </w:pPr>
      <w:r>
        <w:rPr>
          <w:rFonts w:ascii="Arial" w:cs="Arial" w:eastAsia="Arial" w:hAnsi="Arial"/>
          <w:sz w:val="19"/>
          <w:szCs w:val="19"/>
        </w:rPr>
        <w:t xml:space="preserve">Navigeer in Salesforce naar het klantaccount en maak een nieuw object aan van het type “Case”;</w:t>
      </w:r>
    </w:p>
    <w:p>
      <w:pPr>
        <w:pStyle w:val="ListParagraph"/>
        <w:numPr>
          <w:ilvl w:val="0"/>
          <w:numId w:val="3"/>
        </w:numPr>
        <w:spacing w:after="42" w:before="42"/>
      </w:pPr>
      <w:r>
        <w:rPr>
          <w:rFonts w:ascii="Arial" w:cs="Arial" w:eastAsia="Arial" w:hAnsi="Arial"/>
          <w:sz w:val="19"/>
          <w:szCs w:val="19"/>
        </w:rPr>
        <w:t xml:space="preserve">Stel de prioriteit in op “High”;</w:t>
      </w:r>
    </w:p>
    <w:p>
      <w:pPr>
        <w:pStyle w:val="ListParagraph"/>
        <w:numPr>
          <w:ilvl w:val="0"/>
          <w:numId w:val="3"/>
        </w:numPr>
        <w:spacing w:after="42" w:before="42"/>
      </w:pPr>
      <w:r>
        <w:rPr>
          <w:rFonts w:ascii="Arial" w:cs="Arial" w:eastAsia="Arial" w:hAnsi="Arial"/>
          <w:sz w:val="19"/>
          <w:szCs w:val="19"/>
        </w:rPr>
        <w:t xml:space="preserve">Voeg het label “churn-risk” toe als tag (verplicht voor niveau 2 en 3, aanbevolen voor niveau 1 indien de klant herhaaldelijk klaagt);</w:t>
      </w:r>
    </w:p>
    <w:p>
      <w:pPr>
        <w:pStyle w:val="ListParagraph"/>
        <w:numPr>
          <w:ilvl w:val="0"/>
          <w:numId w:val="3"/>
        </w:numPr>
        <w:spacing w:after="42" w:before="42"/>
      </w:pPr>
      <w:r>
        <w:rPr>
          <w:rFonts w:ascii="Arial" w:cs="Arial" w:eastAsia="Arial" w:hAnsi="Arial"/>
          <w:sz w:val="19"/>
          <w:szCs w:val="19"/>
        </w:rPr>
        <w:t xml:space="preserve">Vul in: datum ontvangst, kanaal, beknopte omschrijving, klachtniveau, naam klantcontact, en de naam van de accountmanager die de klacht ontving;</w:t>
      </w:r>
    </w:p>
    <w:p>
      <w:pPr>
        <w:pStyle w:val="ListParagraph"/>
        <w:numPr>
          <w:ilvl w:val="0"/>
          <w:numId w:val="3"/>
        </w:numPr>
        <w:spacing w:after="42" w:before="42"/>
      </w:pPr>
      <w:r>
        <w:rPr>
          <w:rFonts w:ascii="Arial" w:cs="Arial" w:eastAsia="Arial" w:hAnsi="Arial"/>
          <w:sz w:val="19"/>
          <w:szCs w:val="19"/>
        </w:rPr>
        <w:t xml:space="preserve">Voeg alle relevante communicatie (verslagen, Teams-berichten, e-mails) toe als bijlagen of notities in de Case;</w:t>
      </w:r>
    </w:p>
    <w:p>
      <w:pPr>
        <w:pStyle w:val="ListParagraph"/>
        <w:numPr>
          <w:ilvl w:val="0"/>
          <w:numId w:val="3"/>
        </w:numPr>
        <w:spacing w:after="42" w:before="42"/>
      </w:pPr>
      <w:r>
        <w:rPr>
          <w:rFonts w:ascii="Arial" w:cs="Arial" w:eastAsia="Arial" w:hAnsi="Arial"/>
          <w:sz w:val="19"/>
          <w:szCs w:val="19"/>
        </w:rPr>
        <w:t xml:space="preserve">Wijs de Case toe aan jezelf als primaire eigenaar, en aan de Sales Director als co-eigenaar bij niveau 2 of 3.</w:t>
      </w:r>
    </w:p>
    <w:p>
      <w:pPr>
        <w:spacing w:after="0" w:before="4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c>
          <w:tcPr>
            <w:tcBorders>
              <w:top w:val="single" w:color="AAAAAA" w:sz="4"/>
              <w:left w:val="single" w:color="AAAAAA" w:sz="4"/>
              <w:bottom w:val="single" w:color="AAAAAA" w:sz="4"/>
              <w:right w:val="single" w:color="AAAAAA" w:sz="4"/>
            </w:tcBorders>
            <w:shd w:fill="D6E4F0" w:val="clear"/>
            <w:tcMar>
              <w:top w:type="dxa" w:w="80"/>
              <w:left w:type="dxa" w:w="110"/>
              <w:bottom w:type="dxa" w:w="80"/>
              <w:right w:type="dxa" w:w="110"/>
            </w:tcMar>
            <w:vAlign w:val="center"/>
          </w:tcPr>
          <w:p>
            <w:pPr>
              <w:jc w:val="center"/>
            </w:pPr>
            <w:r>
              <w:rPr>
                <w:rFonts w:ascii="Arial" w:cs="Arial" w:eastAsia="Arial" w:hAnsi="Arial"/>
                <w:b/>
                <w:bCs/>
                <w:color w:val="003366"/>
                <w:sz w:val="17"/>
                <w:szCs w:val="17"/>
              </w:rPr>
              <w:t xml:space="preserve">ℹ️  Tip</w:t>
            </w:r>
          </w:p>
        </w:tc>
        <w:tc>
          <w:tcPr>
            <w:tcBorders>
              <w:top w:val="single" w:color="AAAAAA" w:sz="4"/>
              <w:left w:val="single" w:color="AAAAAA" w:sz="4"/>
              <w:bottom w:val="single" w:color="AAAAAA" w:sz="4"/>
              <w:right w:val="single" w:color="AAAAAA" w:sz="4"/>
            </w:tcBorders>
            <w:tcMar>
              <w:top w:type="dxa" w:w="80"/>
              <w:left w:type="dxa" w:w="110"/>
              <w:bottom w:type="dxa" w:w="80"/>
              <w:right w:type="dxa" w:w="110"/>
            </w:tcMar>
          </w:tcPr>
          <w:p>
            <w:pPr>
              <w:jc w:val="both"/>
            </w:pPr>
            <w:r>
              <w:rPr>
                <w:rFonts w:ascii="Arial" w:cs="Arial" w:eastAsia="Arial" w:hAnsi="Arial"/>
                <w:sz w:val="17"/>
                <w:szCs w:val="17"/>
              </w:rPr>
              <w:t xml:space="preserve">Gebruik de Salesforce mobiele app als je in een klantvergadering bent — zo registreer je de klacht nog dezelfde dag. Wacht niet tot je terug op kantoor bent.</w:t>
            </w:r>
          </w:p>
        </w:tc>
      </w:tr>
    </w:tbl>
    <w:p>
      <w:pPr>
        <w:spacing w:after="0" w:before="55"/>
      </w:pPr>
    </w:p>
    <w:p>
      <w:pPr>
        <w:pStyle w:val="Heading2"/>
        <w:spacing w:after="55" w:before="160"/>
      </w:pPr>
      <w:r>
        <w:rPr>
          <w:rFonts w:ascii="Arial" w:cs="Arial" w:eastAsia="Arial" w:hAnsi="Arial"/>
          <w:b/>
          <w:bCs/>
          <w:color w:val="1A5276"/>
          <w:sz w:val="21"/>
          <w:szCs w:val="21"/>
        </w:rPr>
        <w:t xml:space="preserve">4.3 Afsluiting van een Case</w:t>
      </w:r>
    </w:p>
    <w:p>
      <w:pPr>
        <w:spacing w:after="50" w:before="50"/>
        <w:jc w:val="both"/>
      </w:pPr>
      <w:r>
        <w:rPr>
          <w:rFonts w:ascii="Arial" w:cs="Arial" w:eastAsia="Arial" w:hAnsi="Arial"/>
          <w:sz w:val="19"/>
          <w:szCs w:val="19"/>
        </w:rPr>
        <w:t xml:space="preserve">Een Salesforce Case wordt pas gesloten als aan alle volgende voorwaarden is voldaan: (i) de klant heeft schriftelijk of aantoonbaar mondeling bevestigd dat de situatie naar tevredenheid is opgelost, (ii) het remediëringsplan (bij niveau 2) is volledig uitgevoerd, en (iii) de Sales Director heeft de afsluiting goedgekeurd. Zet de status op “Closed” en noteer de datum en de naam van wie afsloot.</w:t>
      </w:r>
    </w:p>
    <w:p>
      <w:pPr>
        <w:spacing w:after="0" w:before="70"/>
      </w:pPr>
    </w:p>
    <w:p>
      <w:pPr>
        <w:pStyle w:val="Heading1"/>
        <w:pBdr>
          <w:bottom w:val="single" w:color="003366" w:sz="6" w:space="2"/>
        </w:pBdr>
        <w:spacing w:after="85" w:before="270"/>
      </w:pPr>
      <w:r>
        <w:rPr>
          <w:rFonts w:ascii="Arial" w:cs="Arial" w:eastAsia="Arial" w:hAnsi="Arial"/>
          <w:b/>
          <w:bCs/>
          <w:color w:val="003366"/>
          <w:sz w:val="24"/>
          <w:szCs w:val="24"/>
        </w:rPr>
        <w:t xml:space="preserve">5. Opvolging en Rapportage</w:t>
      </w:r>
    </w:p>
    <w:p>
      <w:pPr>
        <w:pStyle w:val="Heading2"/>
        <w:spacing w:after="55" w:before="160"/>
      </w:pPr>
      <w:r>
        <w:rPr>
          <w:rFonts w:ascii="Arial" w:cs="Arial" w:eastAsia="Arial" w:hAnsi="Arial"/>
          <w:b/>
          <w:bCs/>
          <w:color w:val="1A5276"/>
          <w:sz w:val="21"/>
          <w:szCs w:val="21"/>
        </w:rPr>
        <w:t xml:space="preserve">5.1 Wekelijkse review door de Sales Director</w:t>
      </w:r>
    </w:p>
    <w:p>
      <w:pPr>
        <w:spacing w:after="50" w:before="50"/>
        <w:jc w:val="both"/>
      </w:pPr>
      <w:r>
        <w:rPr>
          <w:rFonts w:ascii="Arial" w:cs="Arial" w:eastAsia="Arial" w:hAnsi="Arial"/>
          <w:sz w:val="19"/>
          <w:szCs w:val="19"/>
        </w:rPr>
        <w:t xml:space="preserve">Elke week — bij voorkeur op vrijdagochtend — houdt de Sales Director een review van alle openstaande Salesforce Cases met label “churn-risk” en/of prioriteit “High”. Deze review gebeurt aan de hand van een Salesforce-rapport (Dashboard: “Churn Risk Overview”). De Sales Director bepaalt per case:</w:t>
      </w:r>
    </w:p>
    <w:p>
      <w:pPr>
        <w:pStyle w:val="ListParagraph"/>
        <w:numPr>
          <w:ilvl w:val="0"/>
          <w:numId w:val="3"/>
        </w:numPr>
        <w:spacing w:after="42" w:before="42"/>
      </w:pPr>
      <w:r>
        <w:rPr>
          <w:rFonts w:ascii="Arial" w:cs="Arial" w:eastAsia="Arial" w:hAnsi="Arial"/>
          <w:sz w:val="19"/>
          <w:szCs w:val="19"/>
        </w:rPr>
        <w:t xml:space="preserve">Is er voldoende voortgang? Zo niet: welke actie is nodig vóór de volgende review?</w:t>
      </w:r>
    </w:p>
    <w:p>
      <w:pPr>
        <w:pStyle w:val="ListParagraph"/>
        <w:numPr>
          <w:ilvl w:val="0"/>
          <w:numId w:val="3"/>
        </w:numPr>
        <w:spacing w:after="42" w:before="42"/>
      </w:pPr>
      <w:r>
        <w:rPr>
          <w:rFonts w:ascii="Arial" w:cs="Arial" w:eastAsia="Arial" w:hAnsi="Arial"/>
          <w:sz w:val="19"/>
          <w:szCs w:val="19"/>
        </w:rPr>
        <w:t xml:space="preserve">Moet het klachtniveau worden bijgesteld (op of neer)?</w:t>
      </w:r>
    </w:p>
    <w:p>
      <w:pPr>
        <w:pStyle w:val="ListParagraph"/>
        <w:numPr>
          <w:ilvl w:val="0"/>
          <w:numId w:val="3"/>
        </w:numPr>
        <w:spacing w:after="42" w:before="42"/>
      </w:pPr>
      <w:r>
        <w:rPr>
          <w:rFonts w:ascii="Arial" w:cs="Arial" w:eastAsia="Arial" w:hAnsi="Arial"/>
          <w:sz w:val="19"/>
          <w:szCs w:val="19"/>
        </w:rPr>
        <w:t xml:space="preserve">Is CEO-rapportage noodzakelijk?</w:t>
      </w:r>
    </w:p>
    <w:p>
      <w:pPr>
        <w:pStyle w:val="Heading2"/>
        <w:spacing w:after="55" w:before="160"/>
      </w:pPr>
      <w:r>
        <w:rPr>
          <w:rFonts w:ascii="Arial" w:cs="Arial" w:eastAsia="Arial" w:hAnsi="Arial"/>
          <w:b/>
          <w:bCs/>
          <w:color w:val="1A5276"/>
          <w:sz w:val="21"/>
          <w:szCs w:val="21"/>
        </w:rPr>
        <w:t xml:space="preserve">5.2 Maandelijkse rapportage</w:t>
      </w:r>
    </w:p>
    <w:p>
      <w:pPr>
        <w:spacing w:after="50" w:before="50"/>
        <w:jc w:val="both"/>
      </w:pPr>
      <w:r>
        <w:rPr>
          <w:rFonts w:ascii="Arial" w:cs="Arial" w:eastAsia="Arial" w:hAnsi="Arial"/>
          <w:sz w:val="19"/>
          <w:szCs w:val="19"/>
        </w:rPr>
        <w:t xml:space="preserve">De Sales Director stelt maandelijks een beknopt klachtenrapport op voor het managementteam. Dit rapport bevat minimaal: totaal aantal klachten per niveau, gemiddelde resolutietijd per niveau, openstaande cases ouder dan 30 dagen, en geïdentificeerde structurele oorzaken. Het rapport wordt gedeeld via het Teams-kanaal #management-rapportage.</w:t>
      </w:r>
    </w:p>
    <w:p>
      <w:pPr>
        <w:pStyle w:val="Heading2"/>
        <w:spacing w:after="55" w:before="160"/>
      </w:pPr>
      <w:r>
        <w:rPr>
          <w:rFonts w:ascii="Arial" w:cs="Arial" w:eastAsia="Arial" w:hAnsi="Arial"/>
          <w:b/>
          <w:bCs/>
          <w:color w:val="1A5276"/>
          <w:sz w:val="21"/>
          <w:szCs w:val="21"/>
        </w:rPr>
        <w:t xml:space="preserve">5.3 Continue verbetering</w:t>
      </w:r>
    </w:p>
    <w:p>
      <w:pPr>
        <w:spacing w:after="50" w:before="50"/>
        <w:jc w:val="both"/>
      </w:pPr>
      <w:r>
        <w:rPr>
          <w:rFonts w:ascii="Arial" w:cs="Arial" w:eastAsia="Arial" w:hAnsi="Arial"/>
          <w:sz w:val="19"/>
          <w:szCs w:val="19"/>
        </w:rPr>
        <w:t xml:space="preserve">Klachten zijn een signaal, geen schande. Als een klacht een structureel probleem blootlegt — in een product, een intern proces of een communicatiepatroon — wordt dit formeel gemeld aan de betrokken teamleider en geagendeerd in het kwartaaloverleg van de directie. De accountmanager die de klacht ontving, wordt betrokken bij het verbetertraject.</w:t>
      </w:r>
    </w:p>
    <w:p>
      <w:pPr>
        <w:spacing w:after="0" w:before="70"/>
      </w:pPr>
    </w:p>
    <w:p>
      <w:pPr>
        <w:pStyle w:val="Heading1"/>
        <w:pBdr>
          <w:bottom w:val="single" w:color="003366" w:sz="6" w:space="2"/>
        </w:pBdr>
        <w:spacing w:after="85" w:before="270"/>
      </w:pPr>
      <w:r>
        <w:rPr>
          <w:rFonts w:ascii="Arial" w:cs="Arial" w:eastAsia="Arial" w:hAnsi="Arial"/>
          <w:b/>
          <w:bCs/>
          <w:color w:val="003366"/>
          <w:sz w:val="24"/>
          <w:szCs w:val="24"/>
        </w:rPr>
        <w:t xml:space="preserve">6. Rollen, Verantwoordelijkheden en Contacten</w:t>
      </w:r>
    </w:p>
    <w:p>
      <w:pPr>
        <w:spacing w:after="0" w:before="3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000"/>
      </w:tblGrid>
      <w:tr>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Rol</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Verantwoordelijkheid</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Contact</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Beschikbaarheid</w:t>
            </w:r>
          </w:p>
        </w:tc>
      </w:tr>
      <w:tr>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Accountmanager</w:t>
            </w:r>
          </w:p>
        </w:tc>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Eerste ontvangst, niveau-1-afhandeling, Salesforce-registratie, escalatie bij niveau 2+</w:t>
            </w:r>
          </w:p>
        </w:tc>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Zie Salesforce-account</w:t>
            </w:r>
          </w:p>
        </w:tc>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Kantooruren</w:t>
            </w:r>
          </w:p>
        </w:tc>
      </w:tr>
      <w:tr>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Sales Director</w:t>
            </w:r>
          </w:p>
        </w:tc>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Niveau-2-en-3-afhandeling, wekelijkse review, remediëringsplan, CEO-escalatie</w:t>
            </w:r>
          </w:p>
        </w:tc>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n.pieters@easi.net</w:t>
            </w:r>
          </w:p>
        </w:tc>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Kantooruren + urgentie buiten uren</w:t>
            </w:r>
          </w:p>
        </w:tc>
      </w:tr>
      <w:tr>
        <w:tc>
          <w:tcPr>
            <w:tcBorders>
              <w:top w:val="single" w:color="AAAAAA" w:sz="4"/>
              <w:left w:val="single" w:color="AAAAAA" w:sz="4"/>
              <w:bottom w:val="single" w:color="AAAAAA" w:sz="4"/>
              <w:right w:val="single" w:color="AAAAAA" w:sz="4"/>
            </w:tcBorders>
            <w:shd w:fill="FDECEA"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CEO</w:t>
            </w:r>
          </w:p>
        </w:tc>
        <w:tc>
          <w:tcPr>
            <w:tcBorders>
              <w:top w:val="single" w:color="AAAAAA" w:sz="4"/>
              <w:left w:val="single" w:color="AAAAAA" w:sz="4"/>
              <w:bottom w:val="single" w:color="AAAAAA" w:sz="4"/>
              <w:right w:val="single" w:color="AAAAAA" w:sz="4"/>
            </w:tcBorders>
            <w:shd w:fill="FDECEA"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Niveau-3-escalaties, publieke communicatie, beslissingen met juridische impact</w:t>
            </w:r>
          </w:p>
        </w:tc>
        <w:tc>
          <w:tcPr>
            <w:tcBorders>
              <w:top w:val="single" w:color="AAAAAA" w:sz="4"/>
              <w:left w:val="single" w:color="AAAAAA" w:sz="4"/>
              <w:bottom w:val="single" w:color="AAAAAA" w:sz="4"/>
              <w:right w:val="single" w:color="AAAAAA" w:sz="4"/>
            </w:tcBorders>
            <w:shd w:fill="FDECEA"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Via Sales Director</w:t>
            </w:r>
          </w:p>
        </w:tc>
        <w:tc>
          <w:tcPr>
            <w:tcBorders>
              <w:top w:val="single" w:color="AAAAAA" w:sz="4"/>
              <w:left w:val="single" w:color="AAAAAA" w:sz="4"/>
              <w:bottom w:val="single" w:color="AAAAAA" w:sz="4"/>
              <w:right w:val="single" w:color="AAAAAA" w:sz="4"/>
            </w:tcBorders>
            <w:shd w:fill="FDECEA"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Op afroep (niveau 3)</w:t>
            </w:r>
          </w:p>
        </w:tc>
      </w:tr>
      <w:tr>
        <w:tc>
          <w:tcPr>
            <w:tcBorders>
              <w:top w:val="single" w:color="AAAAAA" w:sz="4"/>
              <w:left w:val="single" w:color="AAAAAA" w:sz="4"/>
              <w:bottom w:val="single" w:color="AAAAAA" w:sz="4"/>
              <w:right w:val="single" w:color="AAAAAA" w:sz="4"/>
            </w:tcBorders>
            <w:shd w:fill="F2F2F2"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Juridische dienst</w:t>
            </w:r>
          </w:p>
        </w:tc>
        <w:tc>
          <w:tcPr>
            <w:tcBorders>
              <w:top w:val="single" w:color="AAAAAA" w:sz="4"/>
              <w:left w:val="single" w:color="AAAAAA" w:sz="4"/>
              <w:bottom w:val="single" w:color="AAAAAA" w:sz="4"/>
              <w:right w:val="single" w:color="AAAAAA" w:sz="4"/>
            </w:tcBorders>
            <w:shd w:fill="F2F2F2"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Ondersteuning bij niveau 3, ingebrekestelling, externe communicatie</w:t>
            </w:r>
          </w:p>
        </w:tc>
        <w:tc>
          <w:tcPr>
            <w:tcBorders>
              <w:top w:val="single" w:color="AAAAAA" w:sz="4"/>
              <w:left w:val="single" w:color="AAAAAA" w:sz="4"/>
              <w:bottom w:val="single" w:color="AAAAAA" w:sz="4"/>
              <w:right w:val="single" w:color="AAAAAA" w:sz="4"/>
            </w:tcBorders>
            <w:shd w:fill="F2F2F2"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legal@easi.net</w:t>
            </w:r>
          </w:p>
        </w:tc>
        <w:tc>
          <w:tcPr>
            <w:tcBorders>
              <w:top w:val="single" w:color="AAAAAA" w:sz="4"/>
              <w:left w:val="single" w:color="AAAAAA" w:sz="4"/>
              <w:bottom w:val="single" w:color="AAAAAA" w:sz="4"/>
              <w:right w:val="single" w:color="AAAAAA" w:sz="4"/>
            </w:tcBorders>
            <w:shd w:fill="F2F2F2"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Kantooruren</w:t>
            </w:r>
          </w:p>
        </w:tc>
      </w:tr>
    </w:tbl>
    <w:p>
      <w:pPr>
        <w:spacing w:after="0" w:before="80"/>
      </w:pPr>
    </w:p>
    <w:p>
      <w:pPr>
        <w:pStyle w:val="Heading1"/>
        <w:pBdr>
          <w:bottom w:val="single" w:color="003366" w:sz="6" w:space="2"/>
        </w:pBdr>
        <w:spacing w:after="85" w:before="270"/>
      </w:pPr>
      <w:r>
        <w:rPr>
          <w:rFonts w:ascii="Arial" w:cs="Arial" w:eastAsia="Arial" w:hAnsi="Arial"/>
          <w:b/>
          <w:bCs/>
          <w:color w:val="003366"/>
          <w:sz w:val="24"/>
          <w:szCs w:val="24"/>
        </w:rPr>
        <w:t xml:space="preserve">7. Versiebeheer</w:t>
      </w:r>
    </w:p>
    <w:p>
      <w:pPr>
        <w:spacing w:after="0" w:before="3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00"/>
        <w:gridCol w:w="2800"/>
      </w:tblGrid>
      <w:tr>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Versie</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Datum</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Wijzigingen</w:t>
            </w:r>
          </w:p>
        </w:tc>
        <w:tc>
          <w:tcPr>
            <w:tcBorders>
              <w:top w:val="single" w:color="AAAAAA" w:sz="4"/>
              <w:left w:val="single" w:color="AAAAAA" w:sz="4"/>
              <w:bottom w:val="single" w:color="AAAAAA" w:sz="4"/>
              <w:right w:val="single" w:color="AAAAAA" w:sz="4"/>
            </w:tcBorders>
            <w:shd w:fill="003366" w:val="clear"/>
            <w:tcMar>
              <w:top w:type="dxa" w:w="65"/>
              <w:left w:type="dxa" w:w="100"/>
              <w:bottom w:type="dxa" w:w="65"/>
              <w:right w:type="dxa" w:w="100"/>
            </w:tcMar>
            <w:vAlign w:val="center"/>
          </w:tcPr>
          <w:p>
            <w:pPr>
              <w:jc w:val="left"/>
            </w:pPr>
            <w:r>
              <w:rPr>
                <w:rFonts w:ascii="Arial" w:cs="Arial" w:eastAsia="Arial" w:hAnsi="Arial"/>
                <w:b/>
                <w:bCs/>
                <w:i w:val="false"/>
                <w:iCs w:val="false"/>
                <w:color w:val="FFFFFF"/>
                <w:sz w:val="17"/>
                <w:szCs w:val="17"/>
              </w:rPr>
              <w:t xml:space="preserve">Auteur</w:t>
            </w:r>
          </w:p>
        </w:tc>
      </w:tr>
      <w:tr>
        <w:tc>
          <w:tcPr>
            <w:tcBorders>
              <w:top w:val="single" w:color="AAAAAA" w:sz="4"/>
              <w:left w:val="single" w:color="AAAAAA" w:sz="4"/>
              <w:bottom w:val="single" w:color="AAAAAA" w:sz="4"/>
              <w:right w:val="single" w:color="AAAAAA" w:sz="4"/>
            </w:tcBorders>
            <w:shd w:fill="F2F2F2"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1.0</w:t>
            </w:r>
          </w:p>
        </w:tc>
        <w:tc>
          <w:tcPr>
            <w:tcBorders>
              <w:top w:val="single" w:color="AAAAAA" w:sz="4"/>
              <w:left w:val="single" w:color="AAAAAA" w:sz="4"/>
              <w:bottom w:val="single" w:color="AAAAAA" w:sz="4"/>
              <w:right w:val="single" w:color="AAAAAA" w:sz="4"/>
            </w:tcBorders>
            <w:shd w:fill="F2F2F2"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Mrt 2022</w:t>
            </w:r>
          </w:p>
        </w:tc>
        <w:tc>
          <w:tcPr>
            <w:tcBorders>
              <w:top w:val="single" w:color="AAAAAA" w:sz="4"/>
              <w:left w:val="single" w:color="AAAAAA" w:sz="4"/>
              <w:bottom w:val="single" w:color="AAAAAA" w:sz="4"/>
              <w:right w:val="single" w:color="AAAAAA" w:sz="4"/>
            </w:tcBorders>
            <w:shd w:fill="F2F2F2"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Initiële versie</w:t>
            </w:r>
          </w:p>
        </w:tc>
        <w:tc>
          <w:tcPr>
            <w:tcBorders>
              <w:top w:val="single" w:color="AAAAAA" w:sz="4"/>
              <w:left w:val="single" w:color="AAAAAA" w:sz="4"/>
              <w:bottom w:val="single" w:color="AAAAAA" w:sz="4"/>
              <w:right w:val="single" w:color="AAAAAA" w:sz="4"/>
            </w:tcBorders>
            <w:shd w:fill="F2F2F2"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Sales Director</w:t>
            </w:r>
          </w:p>
        </w:tc>
      </w:tr>
      <w:tr>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2.0</w:t>
            </w:r>
          </w:p>
        </w:tc>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Sep 2023</w:t>
            </w:r>
          </w:p>
        </w:tc>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Niveau 3 toegevoegd; Salesforce-instructies uitgebreid</w:t>
            </w:r>
          </w:p>
        </w:tc>
        <w:tc>
          <w:tcPr>
            <w:tcBorders>
              <w:top w:val="single" w:color="AAAAAA" w:sz="4"/>
              <w:left w:val="single" w:color="AAAAAA" w:sz="4"/>
              <w:bottom w:val="single" w:color="AAAAAA" w:sz="4"/>
              <w:right w:val="single" w:color="AAAAAA" w:sz="4"/>
            </w:tcBorders>
            <w:shd w:fill="D6E4F0"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N. Pieters</w:t>
            </w:r>
          </w:p>
        </w:tc>
      </w:tr>
      <w:tr>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2.1</w:t>
            </w:r>
          </w:p>
        </w:tc>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Jan 2025</w:t>
            </w:r>
          </w:p>
        </w:tc>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val="false"/>
                <w:bCs w:val="false"/>
                <w:i w:val="false"/>
                <w:iCs w:val="false"/>
                <w:color w:val="000000"/>
                <w:sz w:val="17"/>
                <w:szCs w:val="17"/>
              </w:rPr>
              <w:t xml:space="preserve">Escalatiepad bijgewerkt; Teams verplicht als kanaal bij niveau-2-melding; wekelijkse review geformaliseerd</w:t>
            </w:r>
          </w:p>
        </w:tc>
        <w:tc>
          <w:tcPr>
            <w:tcBorders>
              <w:top w:val="single" w:color="AAAAAA" w:sz="4"/>
              <w:left w:val="single" w:color="AAAAAA" w:sz="4"/>
              <w:bottom w:val="single" w:color="AAAAAA" w:sz="4"/>
              <w:right w:val="single" w:color="AAAAAA" w:sz="4"/>
            </w:tcBorders>
            <w:shd w:fill="D5F5E3" w:val="clear"/>
            <w:tcMar>
              <w:top w:type="dxa" w:w="65"/>
              <w:left w:type="dxa" w:w="100"/>
              <w:bottom w:type="dxa" w:w="65"/>
              <w:right w:type="dxa" w:w="100"/>
            </w:tcMar>
            <w:vAlign w:val="center"/>
          </w:tcPr>
          <w:p>
            <w:pPr>
              <w:jc w:val="left"/>
            </w:pPr>
            <w:r>
              <w:rPr>
                <w:rFonts w:ascii="Arial" w:cs="Arial" w:eastAsia="Arial" w:hAnsi="Arial"/>
                <w:b/>
                <w:bCs/>
                <w:i w:val="false"/>
                <w:iCs w:val="false"/>
                <w:color w:val="000000"/>
                <w:sz w:val="17"/>
                <w:szCs w:val="17"/>
              </w:rPr>
              <w:t xml:space="preserve">N. Pieters</w:t>
            </w:r>
          </w:p>
        </w:tc>
      </w:tr>
    </w:tbl>
    <w:p>
      <w:pPr>
        <w:spacing w:after="0" w:before="70"/>
      </w:pPr>
    </w:p>
    <w:p>
      <w:pPr>
        <w:spacing w:after="50" w:before="50"/>
        <w:jc w:val="both"/>
      </w:pPr>
      <w:r>
        <w:rPr>
          <w:rFonts w:ascii="Arial" w:cs="Arial" w:eastAsia="Arial" w:hAnsi="Arial"/>
          <w:sz w:val="19"/>
          <w:szCs w:val="19"/>
        </w:rPr>
        <w:t xml:space="preserve">Vragen over deze procedure? Neem contact op met de Sales Director: Nathalie Pieters — n.pieters@easi.net — of meld je vraag in het Teams-kanaal #sales-procedures.</w:t>
      </w:r>
    </w:p>
    <w:sectPr>
      <w:headerReference w:type="default" r:id="rId7"/>
      <w:footerReference w:type="default" r:id="rId8"/>
      <w:pgSz w:w="11906" w:h="16838" w:orient="portrait"/>
      <w:pgMar w:top="1150" w:right="1150" w:bottom="11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2"/>
      </w:pBdr>
      <w:tabs>
        <w:tab w:val="right" w:pos="8500"/>
      </w:tabs>
      <w:spacing w:before="130"/>
    </w:pPr>
    <w:r>
      <w:rPr>
        <w:rFonts w:ascii="Arial" w:cs="Arial" w:eastAsia="Arial" w:hAnsi="Arial"/>
        <w:color w:val="888888"/>
        <w:sz w:val="15"/>
        <w:szCs w:val="15"/>
      </w:rPr>
      <w:t xml:space="preserve">Versie 2.1 — Januari 2025 — EASI Group NV — Sales &amp; Customer Success</w:t>
    </w:r>
    <w:r>
      <w:rPr>
        <w:sz w:val="15"/>
        <w:szCs w:val="15"/>
      </w:rPr>
      <w:t xml:space="preserve">	</w:t>
    </w:r>
    <w:r>
      <w:rPr>
        <w:rFonts w:ascii="Arial" w:cs="Arial" w:eastAsia="Arial" w:hAnsi="Arial"/>
        <w:color w:val="888888"/>
        <w:sz w:val="15"/>
        <w:szCs w:val="15"/>
      </w:rPr>
      <w:t xml:space="preserve">Eigenaar: Sales Director — n.pieters@easi.net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2"/>
      </w:pBdr>
      <w:tabs>
        <w:tab w:val="right" w:pos="8500"/>
      </w:tabs>
      <w:spacing w:after="130"/>
    </w:pPr>
    <w:r>
      <w:rPr>
        <w:rFonts w:ascii="Arial" w:cs="Arial" w:eastAsia="Arial" w:hAnsi="Arial"/>
        <w:b/>
        <w:bCs/>
        <w:color w:val="003366"/>
        <w:sz w:val="16"/>
        <w:szCs w:val="16"/>
      </w:rPr>
      <w:t xml:space="preserve">EASI Group — Interne Procedure Klachtenafhandeling</w:t>
    </w:r>
    <w:r>
      <w:rPr>
        <w:sz w:val="16"/>
        <w:szCs w:val="16"/>
      </w:rPr>
      <w:t xml:space="preserve">	</w:t>
    </w:r>
    <w:r>
      <w:rPr>
        <w:rFonts w:ascii="Arial" w:cs="Arial" w:eastAsia="Arial" w:hAnsi="Arial"/>
        <w:i/>
        <w:iCs/>
        <w:color w:val="888888"/>
        <w:sz w:val="15"/>
        <w:szCs w:val="15"/>
      </w:rPr>
      <w:t xml:space="preserve">Versie 2.1 — Intern document — Niet verspreiden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9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5" w:before="270"/>
      <w:outlineLvl w:val="0"/>
    </w:pPr>
    <w:rPr>
      <w:rFonts w:ascii="Arial" w:cs="Arial" w:eastAsia="Arial" w:hAnsi="Arial"/>
      <w:b/>
      <w:bCs/>
      <w:color w:val="003366"/>
      <w:sz w:val="24"/>
      <w:szCs w:val="24"/>
    </w:rPr>
  </w:style>
  <w:style w:type="paragraph" w:styleId="Heading2">
    <w:name w:val="Heading 2"/>
    <w:basedOn w:val="Normal"/>
    <w:next w:val="Normal"/>
    <w:qFormat/>
    <w:pPr>
      <w:spacing w:after="55" w:before="160"/>
      <w:outlineLvl w:val="1"/>
    </w:pPr>
    <w:rPr>
      <w:rFonts w:ascii="Arial" w:cs="Arial" w:eastAsia="Arial" w:hAnsi="Arial"/>
      <w:b/>
      <w:bCs/>
      <w:color w:val="1A527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2026-04-29T13:14:59.643Z</dcterms:created>
  <dcterms:modified xsi:type="dcterms:W3CDTF">2026-04-29T13:14:59.644Z</dcterms:modified>
</cp:coreProperties>
</file>

<file path=docProps/custom.xml><?xml version="1.0" encoding="utf-8"?>
<Properties xmlns="http://schemas.openxmlformats.org/officeDocument/2006/custom-properties" xmlns:vt="http://schemas.openxmlformats.org/officeDocument/2006/docPropsVTypes"/>
</file>