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List of recommended learning resources: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instrText xml:space="preserve"> HYPERLINK "https://www.w3schools.com/python/default.asp"</w:instrTex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https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://</w:t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www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.</w:t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w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3</w:t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schools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.</w:t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com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/</w:t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python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/</w:t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default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.</w:t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asp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Python documentation</w:t>
      </w:r>
      <w:r>
        <w:rPr>
          <w:rStyle w:val="Нет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instrText xml:space="preserve"> HYPERLINK "https://docs.python.org/"</w:instrTex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https://docs.python.org/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bookmarkStart w:name="_gjdgxs" w:id="0"/>
      <w:bookmarkEnd w:id="0"/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ygame documentation - </w: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instrText xml:space="preserve"> HYPERLINK "https://www.pygame.org/docs/"</w:instrTex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https://www.pygame.org/docs/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Pygame documentation in Russian - </w: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8"/>
          <w:szCs w:val="28"/>
          <w:u w:val="single" w:color="0000ff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8"/>
          <w:szCs w:val="28"/>
          <w:u w:val="single" w:color="0000ff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"https://docs-python.ru/tutorial/"</w:instrTex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8"/>
          <w:szCs w:val="28"/>
          <w:u w:val="single" w:color="0000ff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8"/>
          <w:szCs w:val="28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https://docs-python.ru/tutorial/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Harvard CS50 course - </w: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8"/>
          <w:szCs w:val="28"/>
          <w:u w:val="single" w:color="0000ff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8"/>
          <w:szCs w:val="28"/>
          <w:u w:val="single" w:color="0000ff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"https://cs50.harvard.edu/python/2022/"</w:instrTex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8"/>
          <w:szCs w:val="28"/>
          <w:u w:val="single" w:color="0000ff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8"/>
          <w:szCs w:val="28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https://cs50.harvard.edu/python/2022/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.0"/>
  </w:abstractNum>
  <w:abstractNum w:abstractNumId="1">
    <w:multiLevelType w:val="hybridMultilevel"/>
    <w:styleLink w:val="Импортированный стиль 2.0"/>
    <w:lvl w:ilvl="0">
      <w:start w:val="1"/>
      <w:numFmt w:val="decimal"/>
      <w:suff w:val="tab"/>
      <w:lvlText w:val="%1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1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1"/>
        </w:tabs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1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1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tabs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1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1"/>
        </w:tabs>
        <w:ind w:left="4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281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281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  <w:tab w:val="left" w:pos="9281"/>
        </w:tabs>
        <w:ind w:left="65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Импортированный стиль 2.0">
    <w:name w:val="Импортированный стиль 2.0"/>
    <w:pPr>
      <w:numPr>
        <w:numId w:val="1"/>
      </w:numPr>
    </w:pPr>
  </w:style>
  <w:style w:type="character" w:styleId="Hyperlink.1">
    <w:name w:val="Hyperlink.1"/>
    <w:basedOn w:val="Нет"/>
    <w:next w:val="Hyperlink.1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2">
    <w:name w:val="Hyperlink.2"/>
    <w:basedOn w:val="Нет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