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Emotional Intelligence by Participant Gender</w:t>
      </w:r>
    </w:p>
    <w:p>
      <w:pPr>
        <w:spacing w:line="360" w:lineRule="auto"/>
      </w:pPr>
      <w:r>
        <w:t>Because emotional intelligence is the central individual-difference variable in this study, gender differences in the WLEIS were examined before testing the substantive hypotheses. Female participants (n = 100) reported significantly higher total emotional intelligence than male participants (n = 84), M = 5.32 (SD = 0.77) versus M = 4.97 (SD = 0.71), Welch t(182) = 3.19, p = .002, d = 0.47. The difference was concentrated in the two appraisal dimensions: self-emotion appraisal (SEA), M = 5.46 vs. 4.83, p &lt; .001, d = 0.59, and others’ emotion appraisal (OEA), M = 5.74 vs. 5.05, p &lt; .001, d = 0.66. In contrast, the use of emotion (UOE; p = .206) and regulation of emotion (ROE; p = .462) dimensions did not differ by gender, with ROE being numerically — though non-significantly — higher among men.</w:t>
      </w:r>
    </w:p>
    <w:p>
      <w:pPr>
        <w:spacing w:line="360" w:lineRule="auto"/>
      </w:pPr>
      <w:r>
        <w:t>To rule out demographic confounds, each WLEIS score was regressed on participant gender while controlling for age and field of study (STEM vs. non-STEM). The gender effect was unchanged: women remained higher on total EI (b = 0.36, p = .002), SEA (b = 0.65, p &lt; .001), and OEA (b = 0.66, p &lt; .001), while UOE and ROE remained non-significant. The samples were well matched on age (M = 23.6 vs. 23.3 years) and comparable in STEM enrolment (13% vs. 23%), so the difference reflects gender rather than these covariates.</w:t>
      </w:r>
    </w:p>
    <w:p>
      <w:pPr>
        <w:spacing w:line="360" w:lineRule="auto"/>
      </w:pPr>
      <w:r>
        <w:t>This pattern is consistent with the broader emotional-intelligence literature, in which women typically score higher on perceiving and appraising emotions, whereas gender differences in the regulation and instrumental use of emotion are small or absent. The finding also has a methodological implication for the present design: because emotional intelligence is correlated with participant gender, tests of whether EI’s moderating role differs between male and female participants operate on a restricted EI range within each gender, reducing their sensitivity. This is noted as a limitation where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