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Robustness Checks</w:t>
      </w:r>
    </w:p>
    <w:p>
      <w:pPr>
        <w:spacing w:line="360" w:lineRule="auto"/>
      </w:pPr>
      <w:r>
        <w:rPr>
          <w:i w:val="0"/>
        </w:rPr>
        <w:t>The three focal results — the industry effect (R1), the gender-role congruity effect (R2), and the low-EI congruence preference (R3) — were subjected to a battery of robustness checks. These comprised (a) adjustment for perceived success, perceived startup risk, founder-team competence ratings, and dispositional risk tolerance; (b) adjustment for and interaction with pitch presentation order; (c) exclusion of the fastest 5% of respondents as an attention filter; and (d) re-estimation within experience-based subgroups. Two findings stand out: perceived success consistently accounts for the effects, and presentation order strongly moderates all three.</w:t>
      </w:r>
    </w:p>
    <w:p>
      <w:pPr>
        <w:pStyle w:val="Heading2"/>
      </w:pPr>
      <w:r>
        <w:t>Adjustment for Perceptual and Dispositional Covariates</w:t>
      </w:r>
    </w:p>
    <w:p>
      <w:pPr>
        <w:spacing w:line="360" w:lineRule="auto"/>
      </w:pPr>
      <w:r>
        <w:rPr>
          <w:i w:val="0"/>
        </w:rPr>
        <w:t>The industry effect (R1) and the congruity effect (R2) were robust to adjustment for perceived startup risk, founder competence, and dispositional risk tolerance (Q14 general and Q15 financial risk willingness; all p &lt; .01). In both cases, however, the effect was reduced to non-significance once perceived probability of success was entered as a covariate (R1: p = .059; R2: p = .091), and remained non-significant in the fully adjusted model. The low-EI congruence effect (R3) was the most sensitive: it was fully absorbed by perceived success (p = .68) and by competence (p = .28), although it persisted, and even strengthened, when only dispositional risk traits were controlled (p = .038). Across all three results, perceived probability of success was the consistent mediating covariate, reinforcing the interpretation that the effects operate through perceived venture viability rather than through founder gender per se.</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Result</w:t>
            </w:r>
          </w:p>
        </w:tc>
        <w:tc>
          <w:tcPr>
            <w:tcW w:type="dxa" w:w="1440"/>
          </w:tcPr>
          <w:p>
            <w:r>
              <w:rPr>
                <w:b/>
              </w:rPr>
              <w:t>Baseline</w:t>
            </w:r>
          </w:p>
        </w:tc>
        <w:tc>
          <w:tcPr>
            <w:tcW w:type="dxa" w:w="1440"/>
          </w:tcPr>
          <w:p>
            <w:r>
              <w:rPr>
                <w:b/>
              </w:rPr>
              <w:t>+ success</w:t>
            </w:r>
          </w:p>
        </w:tc>
        <w:tc>
          <w:tcPr>
            <w:tcW w:type="dxa" w:w="1440"/>
          </w:tcPr>
          <w:p>
            <w:r>
              <w:rPr>
                <w:b/>
              </w:rPr>
              <w:t>+ risk</w:t>
            </w:r>
          </w:p>
        </w:tc>
        <w:tc>
          <w:tcPr>
            <w:tcW w:type="dxa" w:w="1440"/>
          </w:tcPr>
          <w:p>
            <w:r>
              <w:rPr>
                <w:b/>
              </w:rPr>
              <w:t>+ competence</w:t>
            </w:r>
          </w:p>
        </w:tc>
        <w:tc>
          <w:tcPr>
            <w:tcW w:type="dxa" w:w="1440"/>
          </w:tcPr>
          <w:p>
            <w:r>
              <w:rPr>
                <w:b/>
              </w:rPr>
              <w:t>+ all</w:t>
            </w:r>
          </w:p>
        </w:tc>
      </w:tr>
      <w:tr>
        <w:tc>
          <w:tcPr>
            <w:tcW w:type="dxa" w:w="1440"/>
          </w:tcPr>
          <w:p>
            <w:r>
              <w:t>R1 industry</w:t>
            </w:r>
          </w:p>
        </w:tc>
        <w:tc>
          <w:tcPr>
            <w:tcW w:type="dxa" w:w="1440"/>
          </w:tcPr>
          <w:p>
            <w:r>
              <w:t>p &lt; .001</w:t>
            </w:r>
          </w:p>
        </w:tc>
        <w:tc>
          <w:tcPr>
            <w:tcW w:type="dxa" w:w="1440"/>
          </w:tcPr>
          <w:p>
            <w:r>
              <w:t>p = .059</w:t>
            </w:r>
          </w:p>
        </w:tc>
        <w:tc>
          <w:tcPr>
            <w:tcW w:type="dxa" w:w="1440"/>
          </w:tcPr>
          <w:p>
            <w:r>
              <w:t>p &lt; .001</w:t>
            </w:r>
          </w:p>
        </w:tc>
        <w:tc>
          <w:tcPr>
            <w:tcW w:type="dxa" w:w="1440"/>
          </w:tcPr>
          <w:p>
            <w:r>
              <w:t>p &lt; .001</w:t>
            </w:r>
          </w:p>
        </w:tc>
        <w:tc>
          <w:tcPr>
            <w:tcW w:type="dxa" w:w="1440"/>
          </w:tcPr>
          <w:p>
            <w:r>
              <w:t>p = .032</w:t>
            </w:r>
          </w:p>
        </w:tc>
      </w:tr>
      <w:tr>
        <w:tc>
          <w:tcPr>
            <w:tcW w:type="dxa" w:w="1440"/>
          </w:tcPr>
          <w:p>
            <w:r>
              <w:t>R2 A vs B</w:t>
            </w:r>
          </w:p>
        </w:tc>
        <w:tc>
          <w:tcPr>
            <w:tcW w:type="dxa" w:w="1440"/>
          </w:tcPr>
          <w:p>
            <w:r>
              <w:t>p = .001</w:t>
            </w:r>
          </w:p>
        </w:tc>
        <w:tc>
          <w:tcPr>
            <w:tcW w:type="dxa" w:w="1440"/>
          </w:tcPr>
          <w:p>
            <w:r>
              <w:t>p = .091</w:t>
            </w:r>
          </w:p>
        </w:tc>
        <w:tc>
          <w:tcPr>
            <w:tcW w:type="dxa" w:w="1440"/>
          </w:tcPr>
          <w:p>
            <w:r>
              <w:t>p = .002</w:t>
            </w:r>
          </w:p>
        </w:tc>
        <w:tc>
          <w:tcPr>
            <w:tcW w:type="dxa" w:w="1440"/>
          </w:tcPr>
          <w:p>
            <w:r>
              <w:t>p = .004</w:t>
            </w:r>
          </w:p>
        </w:tc>
        <w:tc>
          <w:tcPr>
            <w:tcW w:type="dxa" w:w="1440"/>
          </w:tcPr>
          <w:p>
            <w:r>
              <w:t>p = .106</w:t>
            </w:r>
          </w:p>
        </w:tc>
      </w:tr>
      <w:tr>
        <w:tc>
          <w:tcPr>
            <w:tcW w:type="dxa" w:w="1440"/>
          </w:tcPr>
          <w:p>
            <w:r>
              <w:t>R3 low-EI</w:t>
            </w:r>
          </w:p>
        </w:tc>
        <w:tc>
          <w:tcPr>
            <w:tcW w:type="dxa" w:w="1440"/>
          </w:tcPr>
          <w:p>
            <w:r>
              <w:t>p = .032</w:t>
            </w:r>
          </w:p>
        </w:tc>
        <w:tc>
          <w:tcPr>
            <w:tcW w:type="dxa" w:w="1440"/>
          </w:tcPr>
          <w:p>
            <w:r>
              <w:t>p = .68</w:t>
            </w:r>
          </w:p>
        </w:tc>
        <w:tc>
          <w:tcPr>
            <w:tcW w:type="dxa" w:w="1440"/>
          </w:tcPr>
          <w:p>
            <w:r>
              <w:t>p = .092</w:t>
            </w:r>
          </w:p>
        </w:tc>
        <w:tc>
          <w:tcPr>
            <w:tcW w:type="dxa" w:w="1440"/>
          </w:tcPr>
          <w:p>
            <w:r>
              <w:t>p = .28</w:t>
            </w:r>
          </w:p>
        </w:tc>
        <w:tc>
          <w:tcPr>
            <w:tcW w:type="dxa" w:w="1440"/>
          </w:tcPr>
          <w:p>
            <w:r>
              <w:t>p = .75</w:t>
            </w:r>
          </w:p>
        </w:tc>
      </w:tr>
    </w:tbl>
    <w:p>
      <w:pPr>
        <w:pStyle w:val="Heading2"/>
      </w:pPr>
      <w:r>
        <w:t>Sensitivity to Pitch Presentation Order</w:t>
      </w:r>
    </w:p>
    <w:p>
      <w:pPr>
        <w:spacing w:line="360" w:lineRule="auto"/>
      </w:pPr>
      <w:r>
        <w:rPr>
          <w:i w:val="0"/>
        </w:rPr>
        <w:t>The most consequential robustness finding concerns presentation order. Because order was counterbalanced and approximately balanced across conditions, including it as a covariate left the average effect estimates essentially unchanged (R1 b = 0.48, p &lt; .001; R2 b = 0.54, p = .001; R3 b = 0.46, p = .069). However, the effect-by-order interaction was large and highly significant for every result, indicating that the effects are concentrated almost entirely in the condition in which SiteVision was shown first.</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Result</w:t>
            </w:r>
          </w:p>
        </w:tc>
        <w:tc>
          <w:tcPr>
            <w:tcW w:type="dxa" w:w="2160"/>
          </w:tcPr>
          <w:p>
            <w:r>
              <w:rPr>
                <w:b/>
              </w:rPr>
              <w:t>SiteVision shown first</w:t>
            </w:r>
          </w:p>
        </w:tc>
        <w:tc>
          <w:tcPr>
            <w:tcW w:type="dxa" w:w="2160"/>
          </w:tcPr>
          <w:p>
            <w:r>
              <w:rPr>
                <w:b/>
              </w:rPr>
              <w:t>BalanceUp shown first</w:t>
            </w:r>
          </w:p>
        </w:tc>
        <w:tc>
          <w:tcPr>
            <w:tcW w:type="dxa" w:w="2160"/>
          </w:tcPr>
          <w:p>
            <w:r>
              <w:rPr>
                <w:b/>
              </w:rPr>
              <w:t>Effect × order</w:t>
            </w:r>
          </w:p>
        </w:tc>
      </w:tr>
      <w:tr>
        <w:tc>
          <w:tcPr>
            <w:tcW w:type="dxa" w:w="2160"/>
          </w:tcPr>
          <w:p>
            <w:r>
              <w:t>R1 industry</w:t>
            </w:r>
          </w:p>
        </w:tc>
        <w:tc>
          <w:tcPr>
            <w:tcW w:type="dxa" w:w="2160"/>
          </w:tcPr>
          <w:p>
            <w:r>
              <w:t>+1.08, p &lt; .001</w:t>
            </w:r>
          </w:p>
        </w:tc>
        <w:tc>
          <w:tcPr>
            <w:tcW w:type="dxa" w:w="2160"/>
          </w:tcPr>
          <w:p>
            <w:r>
              <w:t>−0.15, p = .24 (ns)</w:t>
            </w:r>
          </w:p>
        </w:tc>
        <w:tc>
          <w:tcPr>
            <w:tcW w:type="dxa" w:w="2160"/>
          </w:tcPr>
          <w:p>
            <w:r>
              <w:t>b = 1.24, p &lt; .001</w:t>
            </w:r>
          </w:p>
        </w:tc>
      </w:tr>
      <w:tr>
        <w:tc>
          <w:tcPr>
            <w:tcW w:type="dxa" w:w="2160"/>
          </w:tcPr>
          <w:p>
            <w:r>
              <w:t>R2 A vs B</w:t>
            </w:r>
          </w:p>
        </w:tc>
        <w:tc>
          <w:tcPr>
            <w:tcW w:type="dxa" w:w="2160"/>
          </w:tcPr>
          <w:p>
            <w:r>
              <w:t>t = 5.89, p &lt; .001</w:t>
            </w:r>
          </w:p>
        </w:tc>
        <w:tc>
          <w:tcPr>
            <w:tcW w:type="dxa" w:w="2160"/>
          </w:tcPr>
          <w:p>
            <w:r>
              <w:t>t = −0.85, p = .40 (ns)</w:t>
            </w:r>
          </w:p>
        </w:tc>
        <w:tc>
          <w:tcPr>
            <w:tcW w:type="dxa" w:w="2160"/>
          </w:tcPr>
          <w:p>
            <w:r>
              <w:t>b = 1.40, p &lt; .001</w:t>
            </w:r>
          </w:p>
        </w:tc>
      </w:tr>
      <w:tr>
        <w:tc>
          <w:tcPr>
            <w:tcW w:type="dxa" w:w="2160"/>
          </w:tcPr>
          <w:p>
            <w:r>
              <w:t>R3 low-EI</w:t>
            </w:r>
          </w:p>
        </w:tc>
        <w:tc>
          <w:tcPr>
            <w:tcW w:type="dxa" w:w="2160"/>
          </w:tcPr>
          <w:p>
            <w:r>
              <w:t>t = 4.79, p &lt; .001</w:t>
            </w:r>
          </w:p>
        </w:tc>
        <w:tc>
          <w:tcPr>
            <w:tcW w:type="dxa" w:w="2160"/>
          </w:tcPr>
          <w:p>
            <w:r>
              <w:t>t = −1.21, p = .88 (ns)</w:t>
            </w:r>
          </w:p>
        </w:tc>
        <w:tc>
          <w:tcPr>
            <w:tcW w:type="dxa" w:w="2160"/>
          </w:tcPr>
          <w:p>
            <w:r>
              <w:t>b = 1.62, p &lt; .001</w:t>
            </w:r>
          </w:p>
        </w:tc>
      </w:tr>
    </w:tbl>
    <w:p>
      <w:pPr>
        <w:spacing w:line="360" w:lineRule="auto"/>
      </w:pPr>
      <w:r>
        <w:rPr>
          <w:i w:val="0"/>
        </w:rPr>
        <w:t>In each case the effect is large and highly significant when SiteVision is presented first but disappears, and numerically reverses, when BalanceUp is presented first. This pattern is consistent with a primacy or anchoring contribution: participants allocated more to whichever pitch they encountered first, and because SiteVision is the masculine-typed venture, an order effect mechanically resembles an industry or congruity effect. Two implications follow. First, the average effects reported in the main analyses are not attributable to a simple confound, since order was balanced; but second, their generalizability is limited, because they are not stable across presentation orders. The order dependence is therefore reported transparently as a boundary condition, and the substantive results should be interpreted with this sensitivity in mind.</w:t>
      </w:r>
    </w:p>
    <w:p>
      <w:pPr>
        <w:pStyle w:val="Heading2"/>
      </w:pPr>
      <w:r>
        <w:t>Attention Filter and Subgroup Stability</w:t>
      </w:r>
    </w:p>
    <w:p>
      <w:pPr>
        <w:spacing w:line="360" w:lineRule="auto"/>
      </w:pPr>
      <w:r>
        <w:rPr>
          <w:i w:val="0"/>
        </w:rPr>
        <w:t>Excluding the fastest 5% of respondents (a careless-responding filter based on completion time) left R1 (p &lt; .001) and R2 (p = .001) unchanged, whereas R3 fell to borderline significance (one-tailed p = .052). R3 was similarly borderline under a bottom-tertile definition of low EI (p = .050) and within the never-founded subgroup (p = .059). The industry and congruity effects were also stable across investment- and entrepreneurial-experience subgroups. Taken together, R1 and R2 are statistically robust to covariate adjustment, attention filtering, and subgroup variation, whereas R3 should be regarded as suggestive rather than confirmatory, given its consistent fragility across these checks.</w:t>
      </w:r>
    </w:p>
    <w:p>
      <w:pPr>
        <w:pStyle w:val="Heading2"/>
      </w:pPr>
      <w:r>
        <w:t>Summary</w:t>
      </w:r>
    </w:p>
    <w:p>
      <w:pPr>
        <w:spacing w:line="360" w:lineRule="auto"/>
      </w:pPr>
      <w:r>
        <w:rPr>
          <w:i w:val="0"/>
        </w:rPr>
        <w:t>The robustness analyses yield three conclusions. First, perceived probability of success is the proximal covariate that accounts for all three effects, supporting a viability-based rather than warmth-based mechanism. Second, the effects are markedly stronger when the masculine-typed venture is presented first, an order dependence that constrains their generalizability and must be disclosed. Third, while the industry (R1) and congruity (R2) effects withstand the remaining checks, the low-EI congruence effect (R3) is fragile and is therefore interpreted with appropriate caution.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