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6"/>
        </w:rPr>
        <w:t>Robustness Summary: R1 Industry, R2 Congruity, R3 Low-EI Congruence</w:t>
      </w:r>
    </w:p>
    <w:p>
      <w:pPr>
        <w:spacing w:line="240" w:lineRule="auto"/>
      </w:pPr>
      <w:r>
        <w:t>R1 = SiteVision &gt; BalanceUp; R2 = female/male-industry (A) &gt; male/female-industry (B); R3 = low-EI masculine- &gt; feminine-congruent.  Cells show p-values; ✓ holds, ↓ attenuated/borderline, ✗ absorbed.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20"/>
              </w:rPr>
              <w:t>Robustness lever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R1 Industry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R2 Congruity</w:t>
            </w:r>
          </w:p>
        </w:tc>
        <w:tc>
          <w:tcPr>
            <w:tcW w:type="dxa" w:w="2556"/>
          </w:tcPr>
          <w:p>
            <w:r>
              <w:rPr>
                <w:b/>
                <w:sz w:val="20"/>
              </w:rPr>
              <w:t>R3 Low-EI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+0.48, &lt;.001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+0.54, .001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+0.46, .032 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+ Expected success (Q5/Q47)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.059 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.091 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.68 ✗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+ Startup risk (Q6/Q48)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&lt;.001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.002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.092 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+ Competence (Q9/Q49)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&lt;.001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.004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.28 ✗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+ Risk trait (Q14/Q15)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not moderated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.007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.038 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+ All covariates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.032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.106 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.75 ✗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Pitch order (effect × order)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&lt;.001 interaction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&lt;.001 interaction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&lt;.001 interaction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 xml:space="preserve">   – SiteVision shown first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+1.08, &lt;.001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5.89, &lt;.001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4.79, &lt;.001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 xml:space="preserve">   – BalanceUp shown first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−0.15, .24 ✗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−0.85, .40 ✗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−1.21, .88 ✗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Attention filter (drop fastest 5%)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&lt;10⁻⁶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.001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.052 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Investment-experience subgroups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both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inexp. only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inexp. only (.016)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Entrepreneurial exp. (never founded)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&lt;10⁻⁶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&lt;10⁻⁵ ✓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.059 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Bottom-tertile EI (alt. def.)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.050 ↓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EI-dimension specificity (SEA etc.)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ns (SEA p=.77)</w:t>
            </w:r>
          </w:p>
        </w:tc>
      </w:tr>
    </w:tbl>
    <w:p>
      <w:pPr>
        <w:pStyle w:val="Heading2"/>
      </w:pPr>
      <w:r>
        <w:rPr>
          <w:sz w:val="22"/>
        </w:rPr>
        <w:t>Key Conclusions</w:t>
      </w:r>
    </w:p>
    <w:p>
      <w:pPr>
        <w:pStyle w:val="ListBullet"/>
        <w:spacing w:line="240" w:lineRule="auto"/>
      </w:pPr>
      <w:r>
        <w:t>Perceived success (Q5/Q47) is the dominant covariate: it attenuates or absorbs all three effects (correlated r = .75 with the investment gap). The effects operate through perceived venture viability, not founder gender directly — a competence/quality, not warmth, mechanism.</w:t>
      </w:r>
    </w:p>
    <w:p>
      <w:pPr>
        <w:pStyle w:val="ListBullet"/>
        <w:spacing w:line="240" w:lineRule="auto"/>
      </w:pPr>
      <w:r>
        <w:t>R1 (industry) and R2 (congruity) are robust to risk, competence, risk-trait, attention filtering, and all experience subgroups; they are only attenuated by perceived success and moderated by pitch order.</w:t>
      </w:r>
    </w:p>
    <w:p>
      <w:pPr>
        <w:pStyle w:val="ListBullet"/>
        <w:spacing w:line="240" w:lineRule="auto"/>
      </w:pPr>
      <w:r>
        <w:t>R3 (low-EI congruence) is fragile: borderline or absorbed under nearly every check (attention filter, tertile split, never-founded, success, competence). Report as suggestive only.</w:t>
      </w:r>
    </w:p>
    <w:p>
      <w:pPr>
        <w:pStyle w:val="ListBullet"/>
        <w:spacing w:line="240" w:lineRule="auto"/>
      </w:pPr>
      <w:r>
        <w:t>Pitch order strongly moderates all three: large effects when SiteVision is shown first, absent/reversed when BalanceUp is first. Average estimates are unconfounded (order was balanced) but generalizability is limited — disclose as a boundary condition.</w:t>
      </w:r>
    </w:p>
    <w:p>
      <w:pPr>
        <w:pStyle w:val="ListBullet"/>
        <w:spacing w:line="240" w:lineRule="auto"/>
      </w:pPr>
      <w:r>
        <w:t>EI-dimension specificity (H7) is null: no single WLEIS facet drives R3; SEA was wrong-signed (p = .77).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