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Summary: EI and Gender-Role Congruity in Startup Funding</w:t>
      </w:r>
    </w:p>
    <w:p>
      <w:pPr>
        <w:spacing w:line="360" w:lineRule="auto"/>
      </w:pPr>
      <w:r>
        <w:t>Master Thesis Analysis — Arne Floh  |  Data: N = 187  |  May 2026</w:t>
      </w:r>
    </w:p>
    <w:p>
      <w:pPr>
        <w:spacing w:line="360" w:lineRule="auto"/>
      </w:pPr>
      <w:r>
        <w:t>This document summarises the full analysis session conducted in Claude Code, covering data preparation, hypothesis testing, robustness checks, and the resulting theoretical storyline for the master thesis. All scripts are committed to the branch claude/keen-tesla-1KzdH in the repository arnefloh-wu/Julia.</w:t>
      </w:r>
    </w:p>
    <w:p>
      <w:pPr>
        <w:pStyle w:val="Heading1"/>
      </w:pPr>
      <w:r>
        <w:t>1. Data Preparation</w:t>
      </w:r>
    </w:p>
    <w:p>
      <w:pPr>
        <w:pStyle w:val="Heading2"/>
      </w:pPr>
      <w:r>
        <w:t>1.1  Raw Data and Cleaning</w:t>
      </w:r>
    </w:p>
    <w:p>
      <w:pPr>
        <w:spacing w:line="360" w:lineRule="auto"/>
      </w:pPr>
      <w:r>
        <w:t>The study used a Qualtrics survey with 230 recorded responses. Two manipulation checks were applied sequentially. Q7 verified correct recall of the two startups' industries (ConTech / Wellness); Q8 verified correct recall of the founding team's gender composition. Participants who selected "don't remember" or gave the wrong answer were excluded. Applying both checks strictly reduced the sample to N = 187 (strict-clean version saved as MasterThesis_cleaned.csv). A weaker variant retaining only Q7 failures (N = 203) was saved separately as MasterThesis_mc-weak.csv for future sensitivity checks.</w:t>
      </w:r>
    </w:p>
    <w:p>
      <w:pPr>
        <w:pStyle w:val="Heading2"/>
      </w:pPr>
      <w:r>
        <w:t>1.2  Design</w:t>
      </w:r>
    </w:p>
    <w:p>
      <w:pPr>
        <w:spacing w:line="360" w:lineRule="auto"/>
      </w:pPr>
      <w:r>
        <w:t>The study used a 3 (founder gender: male / female / mixed) × 2 (industry: SiteVision ConTech = male-typed / BalanceUp Wellness = female-typed) mixed design. Founder gender was a between-subjects factor: each participant evaluated two startups sharing the same founder gender condition. Industry was a within-subjects factor. Participants also saw the pitches in one of two orders (SiteVision first or BalanceUp first), which later proved to be a critical moderator. Investment was operationalised as a budget-constrained allocation (invest + save = 3 per startup, scale 0–3).</w:t>
      </w:r>
    </w:p>
    <w:p>
      <w:pPr>
        <w:pStyle w:val="Heading2"/>
      </w:pPr>
      <w:r>
        <w:t>1.3  Key Variables</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b/>
                <w:sz w:val="20"/>
              </w:rPr>
              <w:t>Variable</w:t>
            </w:r>
          </w:p>
        </w:tc>
        <w:tc>
          <w:tcPr>
            <w:tcW w:type="dxa" w:w="3024"/>
          </w:tcPr>
          <w:p>
            <w:r>
              <w:rPr>
                <w:b/>
                <w:sz w:val="20"/>
              </w:rPr>
              <w:t>Description</w:t>
            </w:r>
          </w:p>
        </w:tc>
        <w:tc>
          <w:tcPr>
            <w:tcW w:type="dxa" w:w="3024"/>
          </w:tcPr>
          <w:p>
            <w:r>
              <w:rPr>
                <w:b/>
                <w:sz w:val="20"/>
              </w:rPr>
              <w:t>Column(s)</w:t>
            </w:r>
          </w:p>
        </w:tc>
      </w:tr>
      <w:tr>
        <w:tc>
          <w:tcPr>
            <w:tcW w:type="dxa" w:w="3024"/>
          </w:tcPr>
          <w:p>
            <w:r>
              <w:rPr>
                <w:sz w:val="20"/>
              </w:rPr>
              <w:t>invest_sv</w:t>
            </w:r>
          </w:p>
        </w:tc>
        <w:tc>
          <w:tcPr>
            <w:tcW w:type="dxa" w:w="3024"/>
          </w:tcPr>
          <w:p>
            <w:r>
              <w:rPr>
                <w:sz w:val="20"/>
              </w:rPr>
              <w:t>Investment in SiteVision (0–3)</w:t>
            </w:r>
          </w:p>
        </w:tc>
        <w:tc>
          <w:tcPr>
            <w:tcW w:type="dxa" w:w="3024"/>
          </w:tcPr>
          <w:p>
            <w:r>
              <w:rPr>
                <w:sz w:val="20"/>
              </w:rPr>
              <w:t>invest_sv</w:t>
            </w:r>
          </w:p>
        </w:tc>
      </w:tr>
      <w:tr>
        <w:tc>
          <w:tcPr>
            <w:tcW w:type="dxa" w:w="3024"/>
          </w:tcPr>
          <w:p>
            <w:r>
              <w:rPr>
                <w:sz w:val="20"/>
              </w:rPr>
              <w:t>invest_bu</w:t>
            </w:r>
          </w:p>
        </w:tc>
        <w:tc>
          <w:tcPr>
            <w:tcW w:type="dxa" w:w="3024"/>
          </w:tcPr>
          <w:p>
            <w:r>
              <w:rPr>
                <w:sz w:val="20"/>
              </w:rPr>
              <w:t>Investment in BalanceUp (0–3)</w:t>
            </w:r>
          </w:p>
        </w:tc>
        <w:tc>
          <w:tcPr>
            <w:tcW w:type="dxa" w:w="3024"/>
          </w:tcPr>
          <w:p>
            <w:r>
              <w:rPr>
                <w:sz w:val="20"/>
              </w:rPr>
              <w:t>invest_bu</w:t>
            </w:r>
          </w:p>
        </w:tc>
      </w:tr>
      <w:tr>
        <w:tc>
          <w:tcPr>
            <w:tcW w:type="dxa" w:w="3024"/>
          </w:tcPr>
          <w:p>
            <w:r>
              <w:rPr>
                <w:sz w:val="20"/>
              </w:rPr>
              <w:t>team_gender</w:t>
            </w:r>
          </w:p>
        </w:tc>
        <w:tc>
          <w:tcPr>
            <w:tcW w:type="dxa" w:w="3024"/>
          </w:tcPr>
          <w:p>
            <w:r>
              <w:rPr>
                <w:sz w:val="20"/>
              </w:rPr>
              <w:t>Founder gender condition (male/female/mixed)</w:t>
            </w:r>
          </w:p>
        </w:tc>
        <w:tc>
          <w:tcPr>
            <w:tcW w:type="dxa" w:w="3024"/>
          </w:tcPr>
          <w:p>
            <w:r>
              <w:rPr>
                <w:sz w:val="20"/>
              </w:rPr>
              <w:t>team_gender</w:t>
            </w:r>
          </w:p>
        </w:tc>
      </w:tr>
      <w:tr>
        <w:tc>
          <w:tcPr>
            <w:tcW w:type="dxa" w:w="3024"/>
          </w:tcPr>
          <w:p>
            <w:r>
              <w:rPr>
                <w:sz w:val="20"/>
              </w:rPr>
              <w:t>Total EI</w:t>
            </w:r>
          </w:p>
        </w:tc>
        <w:tc>
          <w:tcPr>
            <w:tcW w:type="dxa" w:w="3024"/>
          </w:tcPr>
          <w:p>
            <w:r>
              <w:rPr>
                <w:sz w:val="20"/>
              </w:rPr>
              <w:t>WLEIS total score (mean of 16 items, 7-pt)</w:t>
            </w:r>
          </w:p>
        </w:tc>
        <w:tc>
          <w:tcPr>
            <w:tcW w:type="dxa" w:w="3024"/>
          </w:tcPr>
          <w:p>
            <w:r>
              <w:rPr>
                <w:sz w:val="20"/>
              </w:rPr>
              <w:t>Q10–Q13</w:t>
            </w:r>
          </w:p>
        </w:tc>
      </w:tr>
      <w:tr>
        <w:tc>
          <w:tcPr>
            <w:tcW w:type="dxa" w:w="3024"/>
          </w:tcPr>
          <w:p>
            <w:r>
              <w:rPr>
                <w:sz w:val="20"/>
              </w:rPr>
              <w:t>SEA</w:t>
            </w:r>
          </w:p>
        </w:tc>
        <w:tc>
          <w:tcPr>
            <w:tcW w:type="dxa" w:w="3024"/>
          </w:tcPr>
          <w:p>
            <w:r>
              <w:rPr>
                <w:sz w:val="20"/>
              </w:rPr>
              <w:t>Self-emotion appraisal (4 items)</w:t>
            </w:r>
          </w:p>
        </w:tc>
        <w:tc>
          <w:tcPr>
            <w:tcW w:type="dxa" w:w="3024"/>
          </w:tcPr>
          <w:p>
            <w:r>
              <w:rPr>
                <w:sz w:val="20"/>
              </w:rPr>
              <w:t>Q10 (SEA)</w:t>
            </w:r>
          </w:p>
        </w:tc>
      </w:tr>
      <w:tr>
        <w:tc>
          <w:tcPr>
            <w:tcW w:type="dxa" w:w="3024"/>
          </w:tcPr>
          <w:p>
            <w:r>
              <w:rPr>
                <w:sz w:val="20"/>
              </w:rPr>
              <w:t>OEA</w:t>
            </w:r>
          </w:p>
        </w:tc>
        <w:tc>
          <w:tcPr>
            <w:tcW w:type="dxa" w:w="3024"/>
          </w:tcPr>
          <w:p>
            <w:r>
              <w:rPr>
                <w:sz w:val="20"/>
              </w:rPr>
              <w:t>Others' emotion appraisal (4 items)</w:t>
            </w:r>
          </w:p>
        </w:tc>
        <w:tc>
          <w:tcPr>
            <w:tcW w:type="dxa" w:w="3024"/>
          </w:tcPr>
          <w:p>
            <w:r>
              <w:rPr>
                <w:sz w:val="20"/>
              </w:rPr>
              <w:t>Q11 (OEA)</w:t>
            </w:r>
          </w:p>
        </w:tc>
      </w:tr>
      <w:tr>
        <w:tc>
          <w:tcPr>
            <w:tcW w:type="dxa" w:w="3024"/>
          </w:tcPr>
          <w:p>
            <w:r>
              <w:rPr>
                <w:sz w:val="20"/>
              </w:rPr>
              <w:t>UOE</w:t>
            </w:r>
          </w:p>
        </w:tc>
        <w:tc>
          <w:tcPr>
            <w:tcW w:type="dxa" w:w="3024"/>
          </w:tcPr>
          <w:p>
            <w:r>
              <w:rPr>
                <w:sz w:val="20"/>
              </w:rPr>
              <w:t>Use of emotion (4 items)</w:t>
            </w:r>
          </w:p>
        </w:tc>
        <w:tc>
          <w:tcPr>
            <w:tcW w:type="dxa" w:w="3024"/>
          </w:tcPr>
          <w:p>
            <w:r>
              <w:rPr>
                <w:sz w:val="20"/>
              </w:rPr>
              <w:t>Q12 (UOE)</w:t>
            </w:r>
          </w:p>
        </w:tc>
      </w:tr>
      <w:tr>
        <w:tc>
          <w:tcPr>
            <w:tcW w:type="dxa" w:w="3024"/>
          </w:tcPr>
          <w:p>
            <w:r>
              <w:rPr>
                <w:sz w:val="20"/>
              </w:rPr>
              <w:t>ROE</w:t>
            </w:r>
          </w:p>
        </w:tc>
        <w:tc>
          <w:tcPr>
            <w:tcW w:type="dxa" w:w="3024"/>
          </w:tcPr>
          <w:p>
            <w:r>
              <w:rPr>
                <w:sz w:val="20"/>
              </w:rPr>
              <w:t>Regulation of emotion (4 items)</w:t>
            </w:r>
          </w:p>
        </w:tc>
        <w:tc>
          <w:tcPr>
            <w:tcW w:type="dxa" w:w="3024"/>
          </w:tcPr>
          <w:p>
            <w:r>
              <w:rPr>
                <w:sz w:val="20"/>
              </w:rPr>
              <w:t>Q13 (ROE)</w:t>
            </w:r>
          </w:p>
        </w:tc>
      </w:tr>
      <w:tr>
        <w:tc>
          <w:tcPr>
            <w:tcW w:type="dxa" w:w="3024"/>
          </w:tcPr>
          <w:p>
            <w:r>
              <w:rPr>
                <w:sz w:val="20"/>
              </w:rPr>
              <w:t>Expected success</w:t>
            </w:r>
          </w:p>
        </w:tc>
        <w:tc>
          <w:tcPr>
            <w:tcW w:type="dxa" w:w="3024"/>
          </w:tcPr>
          <w:p>
            <w:r>
              <w:rPr>
                <w:sz w:val="20"/>
              </w:rPr>
              <w:t>Perceived success probability, 7-pt</w:t>
            </w:r>
          </w:p>
        </w:tc>
        <w:tc>
          <w:tcPr>
            <w:tcW w:type="dxa" w:w="3024"/>
          </w:tcPr>
          <w:p>
            <w:r>
              <w:rPr>
                <w:sz w:val="20"/>
              </w:rPr>
              <w:t>Q5 (SV), Q47 (BU)</w:t>
            </w:r>
          </w:p>
        </w:tc>
      </w:tr>
      <w:tr>
        <w:tc>
          <w:tcPr>
            <w:tcW w:type="dxa" w:w="3024"/>
          </w:tcPr>
          <w:p>
            <w:r>
              <w:rPr>
                <w:sz w:val="20"/>
              </w:rPr>
              <w:t>Startup risk</w:t>
            </w:r>
          </w:p>
        </w:tc>
        <w:tc>
          <w:tcPr>
            <w:tcW w:type="dxa" w:w="3024"/>
          </w:tcPr>
          <w:p>
            <w:r>
              <w:rPr>
                <w:sz w:val="20"/>
              </w:rPr>
              <w:t>Perceived investment risk, 3 items, 7-pt</w:t>
            </w:r>
          </w:p>
        </w:tc>
        <w:tc>
          <w:tcPr>
            <w:tcW w:type="dxa" w:w="3024"/>
          </w:tcPr>
          <w:p>
            <w:r>
              <w:rPr>
                <w:sz w:val="20"/>
              </w:rPr>
              <w:t>Q6_1-3 (SV), Q48_1-3 (BU)</w:t>
            </w:r>
          </w:p>
        </w:tc>
      </w:tr>
      <w:tr>
        <w:tc>
          <w:tcPr>
            <w:tcW w:type="dxa" w:w="3024"/>
          </w:tcPr>
          <w:p>
            <w:r>
              <w:rPr>
                <w:sz w:val="20"/>
              </w:rPr>
              <w:t>Warmth/Competence</w:t>
            </w:r>
          </w:p>
        </w:tc>
        <w:tc>
          <w:tcPr>
            <w:tcW w:type="dxa" w:w="3024"/>
          </w:tcPr>
          <w:p>
            <w:r>
              <w:rPr>
                <w:sz w:val="20"/>
              </w:rPr>
              <w:t>SCM ratings, 6 items each, 7-pt</w:t>
            </w:r>
          </w:p>
        </w:tc>
        <w:tc>
          <w:tcPr>
            <w:tcW w:type="dxa" w:w="3024"/>
          </w:tcPr>
          <w:p>
            <w:r>
              <w:rPr>
                <w:sz w:val="20"/>
              </w:rPr>
              <w:t>Q9_7-12 / Q49_7-12</w:t>
            </w:r>
          </w:p>
        </w:tc>
      </w:tr>
      <w:tr>
        <w:tc>
          <w:tcPr>
            <w:tcW w:type="dxa" w:w="3024"/>
          </w:tcPr>
          <w:p>
            <w:r>
              <w:rPr>
                <w:sz w:val="20"/>
              </w:rPr>
              <w:t>Risk trait</w:t>
            </w:r>
          </w:p>
        </w:tc>
        <w:tc>
          <w:tcPr>
            <w:tcW w:type="dxa" w:w="3024"/>
          </w:tcPr>
          <w:p>
            <w:r>
              <w:rPr>
                <w:sz w:val="20"/>
              </w:rPr>
              <w:t>Dohmen general + financial risk, 1-10</w:t>
            </w:r>
          </w:p>
        </w:tc>
        <w:tc>
          <w:tcPr>
            <w:tcW w:type="dxa" w:w="3024"/>
          </w:tcPr>
          <w:p>
            <w:r>
              <w:rPr>
                <w:sz w:val="20"/>
              </w:rPr>
              <w:t>Q14, Q15</w:t>
            </w:r>
          </w:p>
        </w:tc>
      </w:tr>
      <w:tr>
        <w:tc>
          <w:tcPr>
            <w:tcW w:type="dxa" w:w="3024"/>
          </w:tcPr>
          <w:p>
            <w:r>
              <w:rPr>
                <w:sz w:val="20"/>
              </w:rPr>
              <w:t>Investment exp.</w:t>
            </w:r>
          </w:p>
        </w:tc>
        <w:tc>
          <w:tcPr>
            <w:tcW w:type="dxa" w:w="3024"/>
          </w:tcPr>
          <w:p>
            <w:r>
              <w:rPr>
                <w:sz w:val="20"/>
              </w:rPr>
              <w:t>Prior investment experience (Yes/No)</w:t>
            </w:r>
          </w:p>
        </w:tc>
        <w:tc>
          <w:tcPr>
            <w:tcW w:type="dxa" w:w="3024"/>
          </w:tcPr>
          <w:p>
            <w:r>
              <w:rPr>
                <w:sz w:val="20"/>
              </w:rPr>
              <w:t>Q23</w:t>
            </w:r>
          </w:p>
        </w:tc>
      </w:tr>
      <w:tr>
        <w:tc>
          <w:tcPr>
            <w:tcW w:type="dxa" w:w="3024"/>
          </w:tcPr>
          <w:p>
            <w:r>
              <w:rPr>
                <w:sz w:val="20"/>
              </w:rPr>
              <w:t>Pitch order</w:t>
            </w:r>
          </w:p>
        </w:tc>
        <w:tc>
          <w:tcPr>
            <w:tcW w:type="dxa" w:w="3024"/>
          </w:tcPr>
          <w:p>
            <w:r>
              <w:rPr>
                <w:sz w:val="20"/>
              </w:rPr>
              <w:t>SiteVision first vs BalanceUp first</w:t>
            </w:r>
          </w:p>
        </w:tc>
        <w:tc>
          <w:tcPr>
            <w:tcW w:type="dxa" w:w="3024"/>
          </w:tcPr>
          <w:p>
            <w:r>
              <w:rPr>
                <w:sz w:val="20"/>
              </w:rPr>
              <w:t>pitch_order</w:t>
            </w:r>
          </w:p>
        </w:tc>
      </w:tr>
    </w:tbl>
    <w:p>
      <w:pPr>
        <w:pStyle w:val="Heading1"/>
      </w:pPr>
      <w:r>
        <w:t>2. Sample Description</w:t>
      </w:r>
    </w:p>
    <w:p>
      <w:pPr>
        <w:spacing w:line="360" w:lineRule="auto"/>
      </w:pPr>
      <w:r>
        <w:t>The final sample comprised N = 187 participants (strict manipulation-check exclusion). Female participants made up the majority (n = 100, 53.5%), followed by male (n = 84, 44.9%), non-binary (n = 2), and prefer-not-to-say (n = 1). Mean age was 23.5 years (SD = 3.6, range 19–57). The sample was predominantly German (≈ 37%) and Austrian (≈ 30%), with the remainder spanning a range of European nationalities. Most participants were students at the Vienna University of Economics and Business (WU), pursuing Bachelor's (48.4%) or Master's (31.7%) degrees in Business Administration or related fields. Investment experience was reported by 60.4% of participants; only 11.8% had prior entrepreneurial experience.</w:t>
      </w:r>
    </w:p>
    <w:p>
      <w:pPr>
        <w:pStyle w:val="Heading2"/>
      </w:pPr>
      <w:r>
        <w:t>EI by Participant Gender</w:t>
      </w:r>
    </w:p>
    <w:p>
      <w:pPr>
        <w:spacing w:line="360" w:lineRule="auto"/>
      </w:pPr>
      <w:r>
        <w:t>Female participants scored significantly higher on total EI (M = 5.32, SD = 0.77) than male participants (M = 4.97, SD = 0.71), Welch t(182) = 3.19, p = .002, d = 0.47. The difference was driven by the two appraisal dimensions: SEA (d = 0.59, p &lt; .001) and OEA (d = 0.66, p &lt; .001). The use-of-emotion (UOE) and regulation-of-emotion (ROE) dimensions showed no significant gender difference. The EI–gender correlation was robust to age and STEM-field controls. Because EI is correlated with participant gender, tests of EI moderation conditioned on participant gender (H8) operate on a restricted EI range and are less sensitive.</w:t>
      </w:r>
    </w:p>
    <w:p>
      <w:pPr>
        <w:pStyle w:val="Heading1"/>
      </w:pPr>
      <w:r>
        <w:t>3. Hypothesis Tests</w:t>
      </w:r>
    </w:p>
    <w:p>
      <w:pPr>
        <w:spacing w:line="360" w:lineRule="auto"/>
      </w:pPr>
      <w:r>
        <w:t>All EI moderation tests were run for total WLEIS and each of the four dimensions (SEA, OEA, UOE, ROE) separately.</w:t>
      </w:r>
    </w:p>
    <w:p>
      <w:pPr>
        <w:pStyle w:val="Heading2"/>
      </w:pPr>
      <w:r>
        <w:t>H1 – EI and Male-Founded Investment (lower EI → more in male-founded)</w:t>
      </w:r>
    </w:p>
    <w:p>
      <w:pPr>
        <w:spacing w:line="360" w:lineRule="auto"/>
      </w:pPr>
      <w:r>
        <w:t>Not supported. Correlation between EI and investment in male-founded startups was near zero for all dimensions (all p &gt; .30). No within-condition or between-condition EI effect on raw founder-gender investment was found.</w:t>
      </w:r>
    </w:p>
    <w:p>
      <w:pPr>
        <w:pStyle w:val="Heading2"/>
      </w:pPr>
      <w:r>
        <w:t>H2 – EI and Female-Founded Investment (higher EI → more in female-founded)</w:t>
      </w:r>
    </w:p>
    <w:p>
      <w:pPr>
        <w:spacing w:line="360" w:lineRule="auto"/>
      </w:pPr>
      <w:r>
        <w:t>Not supported. Correlations within the female-founded condition were all ns (largest r = .12, OEA, p = .40). EI does not predict generosity toward female founders.</w:t>
      </w:r>
    </w:p>
    <w:p>
      <w:pPr>
        <w:pStyle w:val="Heading2"/>
      </w:pPr>
      <w:r>
        <w:t>H4 – Low-EI Preference for Male-Founded in Male-Typed Industry</w:t>
      </w:r>
    </w:p>
    <w:p>
      <w:pPr>
        <w:spacing w:line="360" w:lineRule="auto"/>
      </w:pPr>
      <w:r>
        <w:t>Partially supported. Low-EI participants (below median) showed a suggestive preference for the masculine-congruent startup over the feminine-congruent one (one-tailed p = .032, Mann–Whitney p = .021, d = 0.50). The two-way EI × congruity interaction on the full sample was ns (p = .294), and the three-way EI × founder × industry interaction was ns across all EI dimensions (smallest p = .48). This result is sensitive to robustness checks (see section 5).</w:t>
      </w:r>
    </w:p>
    <w:p>
      <w:pPr>
        <w:pStyle w:val="Heading2"/>
      </w:pPr>
      <w:r>
        <w:t>H6 – Higher EI → More Equal Allocation Across Founder Genders</w:t>
      </w:r>
    </w:p>
    <w:p>
      <w:pPr>
        <w:spacing w:line="360" w:lineRule="auto"/>
      </w:pPr>
      <w:r>
        <w:t>Not supported. The EI × founder-gender interaction on total investment was ns for all dimensions and all pairwise gender comparisons (male/female, male/mixed, female/mixed). The omnibus three-level interaction was F = 0.35, p = .705.</w:t>
      </w:r>
    </w:p>
    <w:p>
      <w:pPr>
        <w:pStyle w:val="Heading2"/>
      </w:pPr>
      <w:r>
        <w:t>H7 – EI Moderation Driven Specifically by SEA</w:t>
      </w:r>
    </w:p>
    <w:p>
      <w:pPr>
        <w:spacing w:line="360" w:lineRule="auto"/>
      </w:pPr>
      <w:r>
        <w:t>Not supported. In the full model with all four EI dimensions entered simultaneously, the SEA × congruity interaction was b = +0.05, p = .77 — wrong-signed relative to the hypothesis. No dimension significantly moderated the congruity preference.</w:t>
      </w:r>
    </w:p>
    <w:p>
      <w:pPr>
        <w:pStyle w:val="Heading2"/>
      </w:pPr>
      <w:r>
        <w:t>H8 – EI Moderation Stronger for Male Participants</w:t>
      </w:r>
    </w:p>
    <w:p>
      <w:pPr>
        <w:spacing w:line="360" w:lineRule="auto"/>
      </w:pPr>
      <w:r>
        <w:t>Not supported. The three-way EI × founder-gender × participant-gender interaction was b = +0.03, p = .97. Within-gender slopes were near-identical for male (p = .86) and female participants (p = .79).</w:t>
      </w:r>
    </w:p>
    <w:p>
      <w:pPr>
        <w:pStyle w:val="Heading2"/>
      </w:pPr>
      <w:r>
        <w:t>H9 – Warmth Deficit Mediates Investment Gap Among Low-EI Participants</w:t>
      </w:r>
    </w:p>
    <w:p>
      <w:pPr>
        <w:spacing w:line="360" w:lineRule="auto"/>
      </w:pPr>
      <w:r>
        <w:t>Not supported on both legs. Female-founded teams were rated equal-to-slightly higher on warmth (M = 3.68 vs 3.63, p = .39). The bootstrap indirect effect a × b = −0.05, 95% CI [−0.15, +0.04], included zero. The operative mediator was perceived success, not warmth.</w:t>
      </w:r>
    </w:p>
    <w:p>
      <w:pPr>
        <w:pStyle w:val="Heading1"/>
      </w:pPr>
      <w:r>
        <w:t>4. The Storyline: Three Significant Results</w:t>
      </w:r>
    </w:p>
    <w:p>
      <w:pPr>
        <w:spacing w:line="360" w:lineRule="auto"/>
      </w:pPr>
      <w:r>
        <w:t>Three results reached significance and form the core of the thesis narrative, organised as a nested sequence from industry context to congruity to individual-difference moderation.</w:t>
      </w:r>
    </w:p>
    <w:p>
      <w:pPr>
        <w:pStyle w:val="Heading2"/>
      </w:pPr>
      <w:r>
        <w:t>R1 — Industry Effect: SiteVision &gt; BalanceUp</w:t>
      </w:r>
    </w:p>
    <w:p>
      <w:pPr>
        <w:spacing w:line="360" w:lineRule="auto"/>
      </w:pPr>
      <w:r>
        <w:t>Participants invested significantly more in SiteVision (male-typed ConTech) than BalanceUp (female-typed Wellness) on a within-person basis: paired t(186) = 5.08, p &lt; .001, mean difference = +0.48. The effect held across both experienced and inexperienced investors (both p ≤ .002) with no experience moderation (p = .851). This establishes the industry gender-typing of the choice environment.</w:t>
      </w:r>
    </w:p>
    <w:p>
      <w:pPr>
        <w:pStyle w:val="Heading2"/>
      </w:pPr>
      <w:r>
        <w:t>R2 — Gender-Role Congruity: A &gt; B (p = .001, d = 0.62)</w:t>
      </w:r>
    </w:p>
    <w:p>
      <w:pPr>
        <w:spacing w:line="360" w:lineRule="auto"/>
      </w:pPr>
      <w:r>
        <w:t>Comparing Cell A (female founder / male-typed industry = SiteVision) with Cell B (male founder / female-typed industry = BalanceUp): A received significantly more funding (M = 2.22 vs 1.68, Welch t(115) = 3.34, p = .001, d = 0.62). This is interpreted as a congruity advantage: the gender-typed industry is favoured regardless of whether the founder matches it. Notably, female-founded ventures were rated as significantly more likely to succeed in this context (M = 5.07 vs 4.34, p = .002), suggesting the investment difference is mediated by perceived viability rather than founder gender directly.</w:t>
      </w:r>
    </w:p>
    <w:p>
      <w:pPr>
        <w:pStyle w:val="Heading2"/>
      </w:pPr>
      <w:r>
        <w:t>R3 — Low-EI Masculine-Congruent Preference (one-tailed p = .032)</w:t>
      </w:r>
    </w:p>
    <w:p>
      <w:pPr>
        <w:spacing w:line="360" w:lineRule="auto"/>
      </w:pPr>
      <w:r>
        <w:t>Among participants below the median on total WLEIS, investment in the masculine-congruent startup (SiteVision / male founder) exceeded investment in the feminine-congruent startup (BalanceUp / female founder): M = 2.22 vs 1.76, one-tailed Welch t, p = .032; Mann–Whitney p = .021; d = 0.50. The same low-EI participants rated the masculine-congruent startup as more likely to succeed (p = .008) and riskier (p = .045), consistent with stereotype-driven heuristic processing.</w:t>
      </w:r>
    </w:p>
    <w:p>
      <w:pPr>
        <w:pStyle w:val="Heading2"/>
      </w:pPr>
      <w:r>
        <w:t>Additional Finding: No Raw Gender Funding Gap</w:t>
      </w:r>
    </w:p>
    <w:p>
      <w:pPr>
        <w:spacing w:line="360" w:lineRule="auto"/>
      </w:pPr>
      <w:r>
        <w:t>When founder gender was collapsed to a simple male-vs-female between-subjects comparison, the gap was non-significant and directionally reversed: male-founded M = 1.90, female-founded M = 2.04, Welch t = −1.14, p = .257. EI did not moderate this non-existent gap (omnibus p = .705). The gender effect in the data is an interaction, not a main effect — it surfaces only in the founder × industry congruity cells.</w:t>
      </w:r>
    </w:p>
    <w:p>
      <w:pPr>
        <w:pStyle w:val="Heading1"/>
      </w:pPr>
      <w:r>
        <w:t>5. Robustness Battery</w:t>
      </w:r>
    </w:p>
    <w:p>
      <w:pPr>
        <w:spacing w:line="360" w:lineRule="auto"/>
      </w:pPr>
      <w:r>
        <w:t>✓ = holds, ↓ = attenuated/borderline, ✗ = absorbed</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r>
              <w:rPr>
                <w:b/>
                <w:sz w:val="18"/>
              </w:rPr>
              <w:t>Lever</w:t>
            </w:r>
          </w:p>
        </w:tc>
        <w:tc>
          <w:tcPr>
            <w:tcW w:type="dxa" w:w="2268"/>
          </w:tcPr>
          <w:p>
            <w:r>
              <w:rPr>
                <w:b/>
                <w:sz w:val="18"/>
              </w:rPr>
              <w:t>R1 Industry</w:t>
            </w:r>
          </w:p>
        </w:tc>
        <w:tc>
          <w:tcPr>
            <w:tcW w:type="dxa" w:w="2268"/>
          </w:tcPr>
          <w:p>
            <w:r>
              <w:rPr>
                <w:b/>
                <w:sz w:val="18"/>
              </w:rPr>
              <w:t>R2 Congruity</w:t>
            </w:r>
          </w:p>
        </w:tc>
        <w:tc>
          <w:tcPr>
            <w:tcW w:type="dxa" w:w="2268"/>
          </w:tcPr>
          <w:p>
            <w:r>
              <w:rPr>
                <w:b/>
                <w:sz w:val="18"/>
              </w:rPr>
              <w:t>R3 Low-EI</w:t>
            </w:r>
          </w:p>
        </w:tc>
      </w:tr>
      <w:tr>
        <w:tc>
          <w:tcPr>
            <w:tcW w:type="dxa" w:w="2268"/>
          </w:tcPr>
          <w:p>
            <w:r>
              <w:rPr>
                <w:sz w:val="18"/>
              </w:rPr>
              <w:t>Baseline</w:t>
            </w:r>
          </w:p>
        </w:tc>
        <w:tc>
          <w:tcPr>
            <w:tcW w:type="dxa" w:w="2268"/>
          </w:tcPr>
          <w:p>
            <w:r>
              <w:rPr>
                <w:sz w:val="18"/>
              </w:rPr>
              <w:t>p &lt; .001 ✓</w:t>
            </w:r>
          </w:p>
        </w:tc>
        <w:tc>
          <w:tcPr>
            <w:tcW w:type="dxa" w:w="2268"/>
          </w:tcPr>
          <w:p>
            <w:r>
              <w:rPr>
                <w:sz w:val="18"/>
              </w:rPr>
              <w:t>p = .001 ✓</w:t>
            </w:r>
          </w:p>
        </w:tc>
        <w:tc>
          <w:tcPr>
            <w:tcW w:type="dxa" w:w="2268"/>
          </w:tcPr>
          <w:p>
            <w:r>
              <w:rPr>
                <w:sz w:val="18"/>
              </w:rPr>
              <w:t>p₁ = .032 ✓</w:t>
            </w:r>
          </w:p>
        </w:tc>
      </w:tr>
      <w:tr>
        <w:tc>
          <w:tcPr>
            <w:tcW w:type="dxa" w:w="2268"/>
          </w:tcPr>
          <w:p>
            <w:r>
              <w:rPr>
                <w:sz w:val="18"/>
              </w:rPr>
              <w:t>+ Expected success</w:t>
            </w:r>
          </w:p>
        </w:tc>
        <w:tc>
          <w:tcPr>
            <w:tcW w:type="dxa" w:w="2268"/>
          </w:tcPr>
          <w:p>
            <w:r>
              <w:rPr>
                <w:sz w:val="18"/>
              </w:rPr>
              <w:t>p = .059 ↓</w:t>
            </w:r>
          </w:p>
        </w:tc>
        <w:tc>
          <w:tcPr>
            <w:tcW w:type="dxa" w:w="2268"/>
          </w:tcPr>
          <w:p>
            <w:r>
              <w:rPr>
                <w:sz w:val="18"/>
              </w:rPr>
              <w:t>p = .091 ↓</w:t>
            </w:r>
          </w:p>
        </w:tc>
        <w:tc>
          <w:tcPr>
            <w:tcW w:type="dxa" w:w="2268"/>
          </w:tcPr>
          <w:p>
            <w:r>
              <w:rPr>
                <w:sz w:val="18"/>
              </w:rPr>
              <w:t>p = .68 ✗</w:t>
            </w:r>
          </w:p>
        </w:tc>
      </w:tr>
      <w:tr>
        <w:tc>
          <w:tcPr>
            <w:tcW w:type="dxa" w:w="2268"/>
          </w:tcPr>
          <w:p>
            <w:r>
              <w:rPr>
                <w:sz w:val="18"/>
              </w:rPr>
              <w:t>+ Startup risk</w:t>
            </w:r>
          </w:p>
        </w:tc>
        <w:tc>
          <w:tcPr>
            <w:tcW w:type="dxa" w:w="2268"/>
          </w:tcPr>
          <w:p>
            <w:r>
              <w:rPr>
                <w:sz w:val="18"/>
              </w:rPr>
              <w:t>p &lt; .001 ✓</w:t>
            </w:r>
          </w:p>
        </w:tc>
        <w:tc>
          <w:tcPr>
            <w:tcW w:type="dxa" w:w="2268"/>
          </w:tcPr>
          <w:p>
            <w:r>
              <w:rPr>
                <w:sz w:val="18"/>
              </w:rPr>
              <w:t>p = .002 ✓</w:t>
            </w:r>
          </w:p>
        </w:tc>
        <w:tc>
          <w:tcPr>
            <w:tcW w:type="dxa" w:w="2268"/>
          </w:tcPr>
          <w:p>
            <w:r>
              <w:rPr>
                <w:sz w:val="18"/>
              </w:rPr>
              <w:t>p = .092 ↓</w:t>
            </w:r>
          </w:p>
        </w:tc>
      </w:tr>
      <w:tr>
        <w:tc>
          <w:tcPr>
            <w:tcW w:type="dxa" w:w="2268"/>
          </w:tcPr>
          <w:p>
            <w:r>
              <w:rPr>
                <w:sz w:val="18"/>
              </w:rPr>
              <w:t>+ Competence ratings</w:t>
            </w:r>
          </w:p>
        </w:tc>
        <w:tc>
          <w:tcPr>
            <w:tcW w:type="dxa" w:w="2268"/>
          </w:tcPr>
          <w:p>
            <w:r>
              <w:rPr>
                <w:sz w:val="18"/>
              </w:rPr>
              <w:t>p &lt; .001 ✓</w:t>
            </w:r>
          </w:p>
        </w:tc>
        <w:tc>
          <w:tcPr>
            <w:tcW w:type="dxa" w:w="2268"/>
          </w:tcPr>
          <w:p>
            <w:r>
              <w:rPr>
                <w:sz w:val="18"/>
              </w:rPr>
              <w:t>p = .004 ✓</w:t>
            </w:r>
          </w:p>
        </w:tc>
        <w:tc>
          <w:tcPr>
            <w:tcW w:type="dxa" w:w="2268"/>
          </w:tcPr>
          <w:p>
            <w:r>
              <w:rPr>
                <w:sz w:val="18"/>
              </w:rPr>
              <w:t>p = .28 ✗</w:t>
            </w:r>
          </w:p>
        </w:tc>
      </w:tr>
      <w:tr>
        <w:tc>
          <w:tcPr>
            <w:tcW w:type="dxa" w:w="2268"/>
          </w:tcPr>
          <w:p>
            <w:r>
              <w:rPr>
                <w:sz w:val="18"/>
              </w:rPr>
              <w:t>+ Risk trait (Q14/Q15)</w:t>
            </w:r>
          </w:p>
        </w:tc>
        <w:tc>
          <w:tcPr>
            <w:tcW w:type="dxa" w:w="2268"/>
          </w:tcPr>
          <w:p>
            <w:r>
              <w:rPr>
                <w:sz w:val="18"/>
              </w:rPr>
              <w:t>not moderated ✓</w:t>
            </w:r>
          </w:p>
        </w:tc>
        <w:tc>
          <w:tcPr>
            <w:tcW w:type="dxa" w:w="2268"/>
          </w:tcPr>
          <w:p>
            <w:r>
              <w:rPr>
                <w:sz w:val="18"/>
              </w:rPr>
              <w:t>p = .007 ✓</w:t>
            </w:r>
          </w:p>
        </w:tc>
        <w:tc>
          <w:tcPr>
            <w:tcW w:type="dxa" w:w="2268"/>
          </w:tcPr>
          <w:p>
            <w:r>
              <w:rPr>
                <w:sz w:val="18"/>
              </w:rPr>
              <w:t>p = .038 ✓</w:t>
            </w:r>
          </w:p>
        </w:tc>
      </w:tr>
      <w:tr>
        <w:tc>
          <w:tcPr>
            <w:tcW w:type="dxa" w:w="2268"/>
          </w:tcPr>
          <w:p>
            <w:r>
              <w:rPr>
                <w:sz w:val="18"/>
              </w:rPr>
              <w:t>+ All covariates</w:t>
            </w:r>
          </w:p>
        </w:tc>
        <w:tc>
          <w:tcPr>
            <w:tcW w:type="dxa" w:w="2268"/>
          </w:tcPr>
          <w:p>
            <w:r>
              <w:rPr>
                <w:sz w:val="18"/>
              </w:rPr>
              <w:t>p = .032 ✓</w:t>
            </w:r>
          </w:p>
        </w:tc>
        <w:tc>
          <w:tcPr>
            <w:tcW w:type="dxa" w:w="2268"/>
          </w:tcPr>
          <w:p>
            <w:r>
              <w:rPr>
                <w:sz w:val="18"/>
              </w:rPr>
              <w:t>p = .106 ↓</w:t>
            </w:r>
          </w:p>
        </w:tc>
        <w:tc>
          <w:tcPr>
            <w:tcW w:type="dxa" w:w="2268"/>
          </w:tcPr>
          <w:p>
            <w:r>
              <w:rPr>
                <w:sz w:val="18"/>
              </w:rPr>
              <w:t>p = .75 ✗</w:t>
            </w:r>
          </w:p>
        </w:tc>
      </w:tr>
      <w:tr>
        <w:tc>
          <w:tcPr>
            <w:tcW w:type="dxa" w:w="2268"/>
          </w:tcPr>
          <w:p>
            <w:r>
              <w:rPr>
                <w:sz w:val="18"/>
              </w:rPr>
              <w:t>SiteVision shown first</w:t>
            </w:r>
          </w:p>
        </w:tc>
        <w:tc>
          <w:tcPr>
            <w:tcW w:type="dxa" w:w="2268"/>
          </w:tcPr>
          <w:p>
            <w:r>
              <w:rPr>
                <w:sz w:val="18"/>
              </w:rPr>
              <w:t>+1.08, p &lt; .001</w:t>
            </w:r>
          </w:p>
        </w:tc>
        <w:tc>
          <w:tcPr>
            <w:tcW w:type="dxa" w:w="2268"/>
          </w:tcPr>
          <w:p>
            <w:r>
              <w:rPr>
                <w:sz w:val="18"/>
              </w:rPr>
              <w:t>t = 5.89, p &lt; .001</w:t>
            </w:r>
          </w:p>
        </w:tc>
        <w:tc>
          <w:tcPr>
            <w:tcW w:type="dxa" w:w="2268"/>
          </w:tcPr>
          <w:p>
            <w:r>
              <w:rPr>
                <w:sz w:val="18"/>
              </w:rPr>
              <w:t>t = 4.79, p &lt; .001</w:t>
            </w:r>
          </w:p>
        </w:tc>
      </w:tr>
      <w:tr>
        <w:tc>
          <w:tcPr>
            <w:tcW w:type="dxa" w:w="2268"/>
          </w:tcPr>
          <w:p>
            <w:r>
              <w:rPr>
                <w:sz w:val="18"/>
              </w:rPr>
              <w:t>BalanceUp shown first</w:t>
            </w:r>
          </w:p>
        </w:tc>
        <w:tc>
          <w:tcPr>
            <w:tcW w:type="dxa" w:w="2268"/>
          </w:tcPr>
          <w:p>
            <w:r>
              <w:rPr>
                <w:sz w:val="18"/>
              </w:rPr>
              <w:t>−0.15, p = .24 ✗</w:t>
            </w:r>
          </w:p>
        </w:tc>
        <w:tc>
          <w:tcPr>
            <w:tcW w:type="dxa" w:w="2268"/>
          </w:tcPr>
          <w:p>
            <w:r>
              <w:rPr>
                <w:sz w:val="18"/>
              </w:rPr>
              <w:t>t = −0.85, p = .40 ✗</w:t>
            </w:r>
          </w:p>
        </w:tc>
        <w:tc>
          <w:tcPr>
            <w:tcW w:type="dxa" w:w="2268"/>
          </w:tcPr>
          <w:p>
            <w:r>
              <w:rPr>
                <w:sz w:val="18"/>
              </w:rPr>
              <w:t>t = −1.21, p = .88 ✗</w:t>
            </w:r>
          </w:p>
        </w:tc>
      </w:tr>
      <w:tr>
        <w:tc>
          <w:tcPr>
            <w:tcW w:type="dxa" w:w="2268"/>
          </w:tcPr>
          <w:p>
            <w:r>
              <w:rPr>
                <w:sz w:val="18"/>
              </w:rPr>
              <w:t>Effect × order interaction</w:t>
            </w:r>
          </w:p>
        </w:tc>
        <w:tc>
          <w:tcPr>
            <w:tcW w:type="dxa" w:w="2268"/>
          </w:tcPr>
          <w:p>
            <w:r>
              <w:rPr>
                <w:sz w:val="18"/>
              </w:rPr>
              <w:t>b = 1.24, p &lt; .001</w:t>
            </w:r>
          </w:p>
        </w:tc>
        <w:tc>
          <w:tcPr>
            <w:tcW w:type="dxa" w:w="2268"/>
          </w:tcPr>
          <w:p>
            <w:r>
              <w:rPr>
                <w:sz w:val="18"/>
              </w:rPr>
              <w:t>b = 1.40, p &lt; .001</w:t>
            </w:r>
          </w:p>
        </w:tc>
        <w:tc>
          <w:tcPr>
            <w:tcW w:type="dxa" w:w="2268"/>
          </w:tcPr>
          <w:p>
            <w:r>
              <w:rPr>
                <w:sz w:val="18"/>
              </w:rPr>
              <w:t>b = 1.62, p &lt; .001</w:t>
            </w:r>
          </w:p>
        </w:tc>
      </w:tr>
      <w:tr>
        <w:tc>
          <w:tcPr>
            <w:tcW w:type="dxa" w:w="2268"/>
          </w:tcPr>
          <w:p>
            <w:r>
              <w:rPr>
                <w:sz w:val="18"/>
              </w:rPr>
              <w:t>Attention filter (drop 5%)</w:t>
            </w:r>
          </w:p>
        </w:tc>
        <w:tc>
          <w:tcPr>
            <w:tcW w:type="dxa" w:w="2268"/>
          </w:tcPr>
          <w:p>
            <w:r>
              <w:rPr>
                <w:sz w:val="18"/>
              </w:rPr>
              <w:t>p &lt; .001 ✓</w:t>
            </w:r>
          </w:p>
        </w:tc>
        <w:tc>
          <w:tcPr>
            <w:tcW w:type="dxa" w:w="2268"/>
          </w:tcPr>
          <w:p>
            <w:r>
              <w:rPr>
                <w:sz w:val="18"/>
              </w:rPr>
              <w:t>p = .001 ✓</w:t>
            </w:r>
          </w:p>
        </w:tc>
        <w:tc>
          <w:tcPr>
            <w:tcW w:type="dxa" w:w="2268"/>
          </w:tcPr>
          <w:p>
            <w:r>
              <w:rPr>
                <w:sz w:val="18"/>
              </w:rPr>
              <w:t>p₁ = .052 ↓</w:t>
            </w:r>
          </w:p>
        </w:tc>
      </w:tr>
      <w:tr>
        <w:tc>
          <w:tcPr>
            <w:tcW w:type="dxa" w:w="2268"/>
          </w:tcPr>
          <w:p>
            <w:r>
              <w:rPr>
                <w:sz w:val="18"/>
              </w:rPr>
              <w:t>Investment experience</w:t>
            </w:r>
          </w:p>
        </w:tc>
        <w:tc>
          <w:tcPr>
            <w:tcW w:type="dxa" w:w="2268"/>
          </w:tcPr>
          <w:p>
            <w:r>
              <w:rPr>
                <w:sz w:val="18"/>
              </w:rPr>
              <w:t>both groups ✓</w:t>
            </w:r>
          </w:p>
        </w:tc>
        <w:tc>
          <w:tcPr>
            <w:tcW w:type="dxa" w:w="2268"/>
          </w:tcPr>
          <w:p>
            <w:r>
              <w:rPr>
                <w:sz w:val="18"/>
              </w:rPr>
              <w:t>only inexperienced ✓</w:t>
            </w:r>
          </w:p>
        </w:tc>
        <w:tc>
          <w:tcPr>
            <w:tcW w:type="dxa" w:w="2268"/>
          </w:tcPr>
          <w:p>
            <w:r>
              <w:rPr>
                <w:sz w:val="18"/>
              </w:rPr>
              <w:t>only inexperienced ✓</w:t>
            </w:r>
          </w:p>
        </w:tc>
      </w:tr>
      <w:tr>
        <w:tc>
          <w:tcPr>
            <w:tcW w:type="dxa" w:w="2268"/>
          </w:tcPr>
          <w:p>
            <w:r>
              <w:rPr>
                <w:sz w:val="18"/>
              </w:rPr>
              <w:t>Never-founded subgroup</w:t>
            </w:r>
          </w:p>
        </w:tc>
        <w:tc>
          <w:tcPr>
            <w:tcW w:type="dxa" w:w="2268"/>
          </w:tcPr>
          <w:p>
            <w:r>
              <w:rPr>
                <w:sz w:val="18"/>
              </w:rPr>
              <w:t>p &lt; .001 ✓</w:t>
            </w:r>
          </w:p>
        </w:tc>
        <w:tc>
          <w:tcPr>
            <w:tcW w:type="dxa" w:w="2268"/>
          </w:tcPr>
          <w:p>
            <w:r>
              <w:rPr>
                <w:sz w:val="18"/>
              </w:rPr>
              <w:t>p &lt; .001 ✓</w:t>
            </w:r>
          </w:p>
        </w:tc>
        <w:tc>
          <w:tcPr>
            <w:tcW w:type="dxa" w:w="2268"/>
          </w:tcPr>
          <w:p>
            <w:r>
              <w:rPr>
                <w:sz w:val="18"/>
              </w:rPr>
              <w:t>p₁ = .059 ↓</w:t>
            </w:r>
          </w:p>
        </w:tc>
      </w:tr>
      <w:tr>
        <w:tc>
          <w:tcPr>
            <w:tcW w:type="dxa" w:w="2268"/>
          </w:tcPr>
          <w:p>
            <w:r>
              <w:rPr>
                <w:sz w:val="18"/>
              </w:rPr>
              <w:t>Bottom-tertile EI def.</w:t>
            </w:r>
          </w:p>
        </w:tc>
        <w:tc>
          <w:tcPr>
            <w:tcW w:type="dxa" w:w="2268"/>
          </w:tcPr>
          <w:p>
            <w:r>
              <w:rPr>
                <w:sz w:val="18"/>
              </w:rPr>
              <w:t>—</w:t>
            </w:r>
          </w:p>
        </w:tc>
        <w:tc>
          <w:tcPr>
            <w:tcW w:type="dxa" w:w="2268"/>
          </w:tcPr>
          <w:p>
            <w:r>
              <w:rPr>
                <w:sz w:val="18"/>
              </w:rPr>
              <w:t>—</w:t>
            </w:r>
          </w:p>
        </w:tc>
        <w:tc>
          <w:tcPr>
            <w:tcW w:type="dxa" w:w="2268"/>
          </w:tcPr>
          <w:p>
            <w:r>
              <w:rPr>
                <w:sz w:val="18"/>
              </w:rPr>
              <w:t>p₁ = .050 ↓</w:t>
            </w:r>
          </w:p>
        </w:tc>
      </w:tr>
      <w:tr>
        <w:tc>
          <w:tcPr>
            <w:tcW w:type="dxa" w:w="2268"/>
          </w:tcPr>
          <w:p>
            <w:r>
              <w:rPr>
                <w:sz w:val="18"/>
              </w:rPr>
              <w:t>EI-dimension specificity</w:t>
            </w:r>
          </w:p>
        </w:tc>
        <w:tc>
          <w:tcPr>
            <w:tcW w:type="dxa" w:w="2268"/>
          </w:tcPr>
          <w:p>
            <w:r>
              <w:rPr>
                <w:sz w:val="18"/>
              </w:rPr>
              <w:t>—</w:t>
            </w:r>
          </w:p>
        </w:tc>
        <w:tc>
          <w:tcPr>
            <w:tcW w:type="dxa" w:w="2268"/>
          </w:tcPr>
          <w:p>
            <w:r>
              <w:rPr>
                <w:sz w:val="18"/>
              </w:rPr>
              <w:t>—</w:t>
            </w:r>
          </w:p>
        </w:tc>
        <w:tc>
          <w:tcPr>
            <w:tcW w:type="dxa" w:w="2268"/>
          </w:tcPr>
          <w:p>
            <w:r>
              <w:rPr>
                <w:sz w:val="18"/>
              </w:rPr>
              <w:t>all ns; SEA p = .77 ✗</w:t>
            </w:r>
          </w:p>
        </w:tc>
      </w:tr>
    </w:tbl>
    <w:p>
      <w:pPr>
        <w:pStyle w:val="Heading2"/>
      </w:pPr>
      <w:r>
        <w:t>Robustness Conclusions</w:t>
      </w:r>
    </w:p>
    <w:p>
      <w:pPr>
        <w:pStyle w:val="ListBullet"/>
        <w:spacing w:line="312" w:lineRule="auto"/>
      </w:pPr>
      <w:r>
        <w:t>Perceived success is the dominant covariate: it attenuates or absorbs all three effects (r = .75 with investment gap). Effects operate through perceived venture viability, not founder gender directly.</w:t>
      </w:r>
    </w:p>
    <w:p>
      <w:pPr>
        <w:pStyle w:val="ListBullet"/>
        <w:spacing w:line="312" w:lineRule="auto"/>
      </w:pPr>
      <w:r>
        <w:t>Pitch order strongly moderates all three results: large effects when SiteVision is shown first, absent/reversed when BalanceUp is first. Average estimates are unconfounded (order was balanced) but generalizability is limited — report as a boundary condition.</w:t>
      </w:r>
    </w:p>
    <w:p>
      <w:pPr>
        <w:pStyle w:val="ListBullet"/>
        <w:spacing w:line="312" w:lineRule="auto"/>
      </w:pPr>
      <w:r>
        <w:t>R1 and R2 are robust to risk, competence, risk-trait controls, attention filtering, and experience subgroups. R3 is fragile under nearly every check and should be presented as suggestive.</w:t>
      </w:r>
    </w:p>
    <w:p>
      <w:pPr>
        <w:pStyle w:val="ListBullet"/>
        <w:spacing w:line="312" w:lineRule="auto"/>
      </w:pPr>
      <w:r>
        <w:t>EI-dimension specificity (H7) is null. No single WLEIS facet drives R3.</w:t>
      </w:r>
    </w:p>
    <w:p>
      <w:pPr>
        <w:pStyle w:val="Heading1"/>
      </w:pPr>
      <w:r>
        <w:t>6. Literature Review Comparison</w:t>
      </w:r>
    </w:p>
    <w:p>
      <w:pPr>
        <w:pStyle w:val="Heading2"/>
      </w:pPr>
      <w:r>
        <w:t>Confirmations</w:t>
      </w:r>
    </w:p>
    <w:p>
      <w:pPr>
        <w:pStyle w:val="ListBullet"/>
        <w:spacing w:line="312" w:lineRule="auto"/>
      </w:pPr>
      <w:r>
        <w:t>Industry gender-typing as a key boundary condition (Sperber &amp; Linder; Tonoyan &amp; Strohmeyer) — confirmed by R1.</w:t>
      </w:r>
    </w:p>
    <w:p>
      <w:pPr>
        <w:pStyle w:val="ListBullet"/>
        <w:spacing w:line="312" w:lineRule="auto"/>
      </w:pPr>
      <w:r>
        <w:t>No female penalty in female-typed industries (Tonoyan &amp; Strohmeyer 2021) — confirmed: no raw gap (p = .257).</w:t>
      </w:r>
    </w:p>
    <w:p>
      <w:pPr>
        <w:pStyle w:val="ListBullet"/>
        <w:spacing w:line="312" w:lineRule="auto"/>
      </w:pPr>
      <w:r>
        <w:t>EI linked to risk perception and financial decision-making quality (Yip &amp; Cote; Bucciol) — consistent with success-perception mechanism.</w:t>
      </w:r>
    </w:p>
    <w:p>
      <w:pPr>
        <w:pStyle w:val="Heading2"/>
      </w:pPr>
      <w:r>
        <w:t>Contradictions (additions needed in review)</w:t>
      </w:r>
    </w:p>
    <w:p>
      <w:pPr>
        <w:pStyle w:val="ListBullet"/>
        <w:spacing w:line="312" w:lineRule="auto"/>
      </w:pPr>
      <w:r>
        <w:t>Gender funding gap as a main effect — contradicted. The gap is a congruity interaction, not a universal main effect. Add boundary-condition paragraph.</w:t>
      </w:r>
    </w:p>
    <w:p>
      <w:pPr>
        <w:pStyle w:val="ListBullet"/>
        <w:spacing w:line="312" w:lineRule="auto"/>
      </w:pPr>
      <w:r>
        <w:t>Warmth-deficit premise (SCM → H9) — contradicted. Female founders rated equal/higher warmth; warmth did not mediate investment. Reframe SCM section toward competence/viability; demote H9 to exploratory.</w:t>
      </w:r>
    </w:p>
    <w:p>
      <w:pPr>
        <w:pStyle w:val="ListBullet"/>
        <w:spacing w:line="312" w:lineRule="auto"/>
      </w:pPr>
      <w:r>
        <w:t>SEA as the specific mechanism — contradicted. The SEA subsection overcommits; soften to "candidate mechanism" and cite 2024 ability-EI inconsistency literature.</w:t>
      </w:r>
    </w:p>
    <w:p>
      <w:pPr>
        <w:pStyle w:val="ListBullet"/>
        <w:spacing w:line="312" w:lineRule="auto"/>
      </w:pPr>
      <w:r>
        <w:t>"Women more emotional" stereotype — counterpoint: women scored higher on EI (d up to 0.66 for OEA). Worth noting in the discussion.</w:t>
      </w:r>
    </w:p>
    <w:p>
      <w:pPr>
        <w:pStyle w:val="Heading2"/>
      </w:pPr>
      <w:r>
        <w:t>Papers to Add</w:t>
      </w:r>
    </w:p>
    <w:p>
      <w:pPr>
        <w:pStyle w:val="ListBullet"/>
        <w:spacing w:line="312" w:lineRule="auto"/>
      </w:pPr>
      <w:r>
        <w:t>Science Advances (2020) — female penalty for lack of industry fit (no male penalty). https://www.science.org/doi/10.1126/sciadv.abd7664</w:t>
      </w:r>
    </w:p>
    <w:p>
      <w:pPr>
        <w:pStyle w:val="ListBullet"/>
        <w:spacing w:line="312" w:lineRule="auto"/>
      </w:pPr>
      <w:r>
        <w:t>Svetek (2023) — competence not warmth drives women's early-stage funding success. https://journals.sagepub.com/doi/10.1177/10422587221127000</w:t>
      </w:r>
    </w:p>
    <w:p>
      <w:pPr>
        <w:pStyle w:val="ListBullet"/>
        <w:spacing w:line="312" w:lineRule="auto"/>
      </w:pPr>
      <w:r>
        <w:t>Warmth/competence in crowdfunding (2022) — comparable total funding, competence pathway. https://www.sciencedirect.com/science/article/abs/pii/S2352673421000664</w:t>
      </w:r>
    </w:p>
    <w:p>
      <w:pPr>
        <w:pStyle w:val="ListBullet"/>
        <w:spacing w:line="312" w:lineRule="auto"/>
      </w:pPr>
      <w:r>
        <w:t>Ability-EI decision-making review (2024) — dimension-specific effects weak/inconsistent. https://pmc.ncbi.nlm.nih.gov/articles/PMC12070655/</w:t>
      </w:r>
    </w:p>
    <w:p>
      <w:pPr>
        <w:pStyle w:val="Heading1"/>
      </w:pPr>
      <w:r>
        <w:t>7. Scripts and Outputs</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b/>
                <w:sz w:val="18"/>
              </w:rPr>
              <w:t>Block</w:t>
            </w:r>
          </w:p>
        </w:tc>
        <w:tc>
          <w:tcPr>
            <w:tcW w:type="dxa" w:w="3024"/>
          </w:tcPr>
          <w:p>
            <w:r>
              <w:rPr>
                <w:b/>
                <w:sz w:val="18"/>
              </w:rPr>
              <w:t>Script</w:t>
            </w:r>
          </w:p>
        </w:tc>
        <w:tc>
          <w:tcPr>
            <w:tcW w:type="dxa" w:w="3024"/>
          </w:tcPr>
          <w:p>
            <w:r>
              <w:rPr>
                <w:b/>
                <w:sz w:val="18"/>
              </w:rPr>
              <w:t>Content</w:t>
            </w:r>
          </w:p>
        </w:tc>
      </w:tr>
      <w:tr>
        <w:tc>
          <w:tcPr>
            <w:tcW w:type="dxa" w:w="3024"/>
          </w:tcPr>
          <w:p>
            <w:r>
              <w:rPr>
                <w:sz w:val="18"/>
              </w:rPr>
              <w:t>01</w:t>
            </w:r>
          </w:p>
        </w:tc>
        <w:tc>
          <w:tcPr>
            <w:tcW w:type="dxa" w:w="3024"/>
          </w:tcPr>
          <w:p>
            <w:r>
              <w:rPr>
                <w:sz w:val="18"/>
              </w:rPr>
              <w:t>01_sample_description.py</w:t>
            </w:r>
          </w:p>
        </w:tc>
        <w:tc>
          <w:tcPr>
            <w:tcW w:type="dxa" w:w="3024"/>
          </w:tcPr>
          <w:p>
            <w:r>
              <w:rPr>
                <w:sz w:val="18"/>
              </w:rPr>
              <w:t>Demographic frequency tables</w:t>
            </w:r>
          </w:p>
        </w:tc>
      </w:tr>
      <w:tr>
        <w:tc>
          <w:tcPr>
            <w:tcW w:type="dxa" w:w="3024"/>
          </w:tcPr>
          <w:p>
            <w:r>
              <w:rPr>
                <w:sz w:val="18"/>
              </w:rPr>
              <w:t>02</w:t>
            </w:r>
          </w:p>
        </w:tc>
        <w:tc>
          <w:tcPr>
            <w:tcW w:type="dxa" w:w="3024"/>
          </w:tcPr>
          <w:p>
            <w:r>
              <w:rPr>
                <w:sz w:val="18"/>
              </w:rPr>
              <w:t>02_sample_description_draft.py</w:t>
            </w:r>
          </w:p>
        </w:tc>
        <w:tc>
          <w:tcPr>
            <w:tcW w:type="dxa" w:w="3024"/>
          </w:tcPr>
          <w:p>
            <w:r>
              <w:rPr>
                <w:sz w:val="18"/>
              </w:rPr>
              <w:t>Word draft: sample description + Figure 1 + Tables 1–2</w:t>
            </w:r>
          </w:p>
        </w:tc>
      </w:tr>
      <w:tr>
        <w:tc>
          <w:tcPr>
            <w:tcW w:type="dxa" w:w="3024"/>
          </w:tcPr>
          <w:p>
            <w:r>
              <w:rPr>
                <w:sz w:val="18"/>
              </w:rPr>
              <w:t>03</w:t>
            </w:r>
          </w:p>
        </w:tc>
        <w:tc>
          <w:tcPr>
            <w:tcW w:type="dxa" w:w="3024"/>
          </w:tcPr>
          <w:p>
            <w:r>
              <w:rPr>
                <w:sz w:val="18"/>
              </w:rPr>
              <w:t>03_hypotheses_EI_investment.py</w:t>
            </w:r>
          </w:p>
        </w:tc>
        <w:tc>
          <w:tcPr>
            <w:tcW w:type="dxa" w:w="3024"/>
          </w:tcPr>
          <w:p>
            <w:r>
              <w:rPr>
                <w:sz w:val="18"/>
              </w:rPr>
              <w:t>H1/H2: EI–investment correlations (all ns)</w:t>
            </w:r>
          </w:p>
        </w:tc>
      </w:tr>
      <w:tr>
        <w:tc>
          <w:tcPr>
            <w:tcW w:type="dxa" w:w="3024"/>
          </w:tcPr>
          <w:p>
            <w:r>
              <w:rPr>
                <w:sz w:val="18"/>
              </w:rPr>
              <w:t>05</w:t>
            </w:r>
          </w:p>
        </w:tc>
        <w:tc>
          <w:tcPr>
            <w:tcW w:type="dxa" w:w="3024"/>
          </w:tcPr>
          <w:p>
            <w:r>
              <w:rPr>
                <w:sz w:val="18"/>
              </w:rPr>
              <w:t>05_bootstrap_power.py</w:t>
            </w:r>
          </w:p>
        </w:tc>
        <w:tc>
          <w:tcPr>
            <w:tcW w:type="dxa" w:w="3024"/>
          </w:tcPr>
          <w:p>
            <w:r>
              <w:rPr>
                <w:sz w:val="18"/>
              </w:rPr>
              <w:t>Bootstrap + Fisher-z power analysis; fig04 power curve</w:t>
            </w:r>
          </w:p>
        </w:tc>
      </w:tr>
      <w:tr>
        <w:tc>
          <w:tcPr>
            <w:tcW w:type="dxa" w:w="3024"/>
          </w:tcPr>
          <w:p>
            <w:r>
              <w:rPr>
                <w:sz w:val="18"/>
              </w:rPr>
              <w:t>13</w:t>
            </w:r>
          </w:p>
        </w:tc>
        <w:tc>
          <w:tcPr>
            <w:tcW w:type="dxa" w:w="3024"/>
          </w:tcPr>
          <w:p>
            <w:r>
              <w:rPr>
                <w:sz w:val="18"/>
              </w:rPr>
              <w:t>13_hypothesis_H4_congruence.py</w:t>
            </w:r>
          </w:p>
        </w:tc>
        <w:tc>
          <w:tcPr>
            <w:tcW w:type="dxa" w:w="3024"/>
          </w:tcPr>
          <w:p>
            <w:r>
              <w:rPr>
                <w:sz w:val="18"/>
              </w:rPr>
              <w:t>H4: EI × congruity two-way ANOVA</w:t>
            </w:r>
          </w:p>
        </w:tc>
      </w:tr>
      <w:tr>
        <w:tc>
          <w:tcPr>
            <w:tcW w:type="dxa" w:w="3024"/>
          </w:tcPr>
          <w:p>
            <w:r>
              <w:rPr>
                <w:sz w:val="18"/>
              </w:rPr>
              <w:t>15</w:t>
            </w:r>
          </w:p>
        </w:tc>
        <w:tc>
          <w:tcPr>
            <w:tcW w:type="dxa" w:w="3024"/>
          </w:tcPr>
          <w:p>
            <w:r>
              <w:rPr>
                <w:sz w:val="18"/>
              </w:rPr>
              <w:t>15_lowEI_congruence.py</w:t>
            </w:r>
          </w:p>
        </w:tc>
        <w:tc>
          <w:tcPr>
            <w:tcW w:type="dxa" w:w="3024"/>
          </w:tcPr>
          <w:p>
            <w:r>
              <w:rPr>
                <w:sz w:val="18"/>
              </w:rPr>
              <w:t>R3: low-EI focused test; fig14</w:t>
            </w:r>
          </w:p>
        </w:tc>
      </w:tr>
      <w:tr>
        <w:tc>
          <w:tcPr>
            <w:tcW w:type="dxa" w:w="3024"/>
          </w:tcPr>
          <w:p>
            <w:r>
              <w:rPr>
                <w:sz w:val="18"/>
              </w:rPr>
              <w:t>16</w:t>
            </w:r>
          </w:p>
        </w:tc>
        <w:tc>
          <w:tcPr>
            <w:tcW w:type="dxa" w:w="3024"/>
          </w:tcPr>
          <w:p>
            <w:r>
              <w:rPr>
                <w:sz w:val="18"/>
              </w:rPr>
              <w:t>16_congruence_moderators.py</w:t>
            </w:r>
          </w:p>
        </w:tc>
        <w:tc>
          <w:tcPr>
            <w:tcW w:type="dxa" w:w="3024"/>
          </w:tcPr>
          <w:p>
            <w:r>
              <w:rPr>
                <w:sz w:val="18"/>
              </w:rPr>
              <w:t>Congruence gap by EI/gender/experience; fig15 forest plot</w:t>
            </w:r>
          </w:p>
        </w:tc>
      </w:tr>
      <w:tr>
        <w:tc>
          <w:tcPr>
            <w:tcW w:type="dxa" w:w="3024"/>
          </w:tcPr>
          <w:p>
            <w:r>
              <w:rPr>
                <w:sz w:val="18"/>
              </w:rPr>
              <w:t>17</w:t>
            </w:r>
          </w:p>
        </w:tc>
        <w:tc>
          <w:tcPr>
            <w:tcW w:type="dxa" w:w="3024"/>
          </w:tcPr>
          <w:p>
            <w:r>
              <w:rPr>
                <w:sz w:val="18"/>
              </w:rPr>
              <w:t>17_incongruent_penalty.py</w:t>
            </w:r>
          </w:p>
        </w:tc>
        <w:tc>
          <w:tcPr>
            <w:tcW w:type="dxa" w:w="3024"/>
          </w:tcPr>
          <w:p>
            <w:r>
              <w:rPr>
                <w:sz w:val="18"/>
              </w:rPr>
              <w:t>R2: A vs B comparison; fig16</w:t>
            </w:r>
          </w:p>
        </w:tc>
      </w:tr>
      <w:tr>
        <w:tc>
          <w:tcPr>
            <w:tcW w:type="dxa" w:w="3024"/>
          </w:tcPr>
          <w:p>
            <w:r>
              <w:rPr>
                <w:sz w:val="18"/>
              </w:rPr>
              <w:t>18</w:t>
            </w:r>
          </w:p>
        </w:tc>
        <w:tc>
          <w:tcPr>
            <w:tcW w:type="dxa" w:w="3024"/>
          </w:tcPr>
          <w:p>
            <w:r>
              <w:rPr>
                <w:sz w:val="18"/>
              </w:rPr>
              <w:t>18_incongruity_both_directions.py</w:t>
            </w:r>
          </w:p>
        </w:tc>
        <w:tc>
          <w:tcPr>
            <w:tcW w:type="dxa" w:w="3024"/>
          </w:tcPr>
          <w:p>
            <w:r>
              <w:rPr>
                <w:sz w:val="18"/>
              </w:rPr>
              <w:t>Within-industry founder comparisons; fig17</w:t>
            </w:r>
          </w:p>
        </w:tc>
      </w:tr>
      <w:tr>
        <w:tc>
          <w:tcPr>
            <w:tcW w:type="dxa" w:w="3024"/>
          </w:tcPr>
          <w:p>
            <w:r>
              <w:rPr>
                <w:sz w:val="18"/>
              </w:rPr>
              <w:t>19</w:t>
            </w:r>
          </w:p>
        </w:tc>
        <w:tc>
          <w:tcPr>
            <w:tcW w:type="dxa" w:w="3024"/>
          </w:tcPr>
          <w:p>
            <w:r>
              <w:rPr>
                <w:sz w:val="18"/>
              </w:rPr>
              <w:t>19_congruity_x_ei.py</w:t>
            </w:r>
          </w:p>
        </w:tc>
        <w:tc>
          <w:tcPr>
            <w:tcW w:type="dxa" w:w="3024"/>
          </w:tcPr>
          <w:p>
            <w:r>
              <w:rPr>
                <w:sz w:val="18"/>
              </w:rPr>
              <w:t>Three-way EI × founder × industry (all ns); fig18</w:t>
            </w:r>
          </w:p>
        </w:tc>
      </w:tr>
      <w:tr>
        <w:tc>
          <w:tcPr>
            <w:tcW w:type="dxa" w:w="3024"/>
          </w:tcPr>
          <w:p>
            <w:r>
              <w:rPr>
                <w:sz w:val="18"/>
              </w:rPr>
              <w:t>20</w:t>
            </w:r>
          </w:p>
        </w:tc>
        <w:tc>
          <w:tcPr>
            <w:tcW w:type="dxa" w:w="3024"/>
          </w:tcPr>
          <w:p>
            <w:r>
              <w:rPr>
                <w:sz w:val="18"/>
              </w:rPr>
              <w:t>20_robustness_moderators.py</w:t>
            </w:r>
          </w:p>
        </w:tc>
        <w:tc>
          <w:tcPr>
            <w:tcW w:type="dxa" w:w="3024"/>
          </w:tcPr>
          <w:p>
            <w:r>
              <w:rPr>
                <w:sz w:val="18"/>
              </w:rPr>
              <w:t>First robustness pass: exp., success, risk</w:t>
            </w:r>
          </w:p>
        </w:tc>
      </w:tr>
      <w:tr>
        <w:tc>
          <w:tcPr>
            <w:tcW w:type="dxa" w:w="3024"/>
          </w:tcPr>
          <w:p>
            <w:r>
              <w:rPr>
                <w:sz w:val="18"/>
              </w:rPr>
              <w:t>21</w:t>
            </w:r>
          </w:p>
        </w:tc>
        <w:tc>
          <w:tcPr>
            <w:tcW w:type="dxa" w:w="3024"/>
          </w:tcPr>
          <w:p>
            <w:r>
              <w:rPr>
                <w:sz w:val="18"/>
              </w:rPr>
              <w:t>21_ei_gender_gap.py</w:t>
            </w:r>
          </w:p>
        </w:tc>
        <w:tc>
          <w:tcPr>
            <w:tcW w:type="dxa" w:w="3024"/>
          </w:tcPr>
          <w:p>
            <w:r>
              <w:rPr>
                <w:sz w:val="18"/>
              </w:rPr>
              <w:t>EI moderation of raw gender gap (all ns); fig19</w:t>
            </w:r>
          </w:p>
        </w:tc>
      </w:tr>
      <w:tr>
        <w:tc>
          <w:tcPr>
            <w:tcW w:type="dxa" w:w="3024"/>
          </w:tcPr>
          <w:p>
            <w:r>
              <w:rPr>
                <w:sz w:val="18"/>
              </w:rPr>
              <w:t>22</w:t>
            </w:r>
          </w:p>
        </w:tc>
        <w:tc>
          <w:tcPr>
            <w:tcW w:type="dxa" w:w="3024"/>
          </w:tcPr>
          <w:p>
            <w:r>
              <w:rPr>
                <w:sz w:val="18"/>
              </w:rPr>
              <w:t>22_storyline_draft.py</w:t>
            </w:r>
          </w:p>
        </w:tc>
        <w:tc>
          <w:tcPr>
            <w:tcW w:type="dxa" w:w="3024"/>
          </w:tcPr>
          <w:p>
            <w:r>
              <w:rPr>
                <w:sz w:val="18"/>
              </w:rPr>
              <w:t>Consolidated Word storyline draft (main deliverable)</w:t>
            </w:r>
          </w:p>
        </w:tc>
      </w:tr>
      <w:tr>
        <w:tc>
          <w:tcPr>
            <w:tcW w:type="dxa" w:w="3024"/>
          </w:tcPr>
          <w:p>
            <w:r>
              <w:rPr>
                <w:sz w:val="18"/>
              </w:rPr>
              <w:t>23</w:t>
            </w:r>
          </w:p>
        </w:tc>
        <w:tc>
          <w:tcPr>
            <w:tcW w:type="dxa" w:w="3024"/>
          </w:tcPr>
          <w:p>
            <w:r>
              <w:rPr>
                <w:sz w:val="18"/>
              </w:rPr>
              <w:t>23_extended_H7_H9.py</w:t>
            </w:r>
          </w:p>
        </w:tc>
        <w:tc>
          <w:tcPr>
            <w:tcW w:type="dxa" w:w="3024"/>
          </w:tcPr>
          <w:p>
            <w:r>
              <w:rPr>
                <w:sz w:val="18"/>
              </w:rPr>
              <w:t>H7 SEA specificity, H8 participant gender, H9 warmth (all ns)</w:t>
            </w:r>
          </w:p>
        </w:tc>
      </w:tr>
      <w:tr>
        <w:tc>
          <w:tcPr>
            <w:tcW w:type="dxa" w:w="3024"/>
          </w:tcPr>
          <w:p>
            <w:r>
              <w:rPr>
                <w:sz w:val="18"/>
              </w:rPr>
              <w:t>24</w:t>
            </w:r>
          </w:p>
        </w:tc>
        <w:tc>
          <w:tcPr>
            <w:tcW w:type="dxa" w:w="3024"/>
          </w:tcPr>
          <w:p>
            <w:r>
              <w:rPr>
                <w:sz w:val="18"/>
              </w:rPr>
              <w:t>24_ei_by_gender.py</w:t>
            </w:r>
          </w:p>
        </w:tc>
        <w:tc>
          <w:tcPr>
            <w:tcW w:type="dxa" w:w="3024"/>
          </w:tcPr>
          <w:p>
            <w:r>
              <w:rPr>
                <w:sz w:val="18"/>
              </w:rPr>
              <w:t>EI by participant gender, covariate-adjusted</w:t>
            </w:r>
          </w:p>
        </w:tc>
      </w:tr>
      <w:tr>
        <w:tc>
          <w:tcPr>
            <w:tcW w:type="dxa" w:w="3024"/>
          </w:tcPr>
          <w:p>
            <w:r>
              <w:rPr>
                <w:sz w:val="18"/>
              </w:rPr>
              <w:t>25</w:t>
            </w:r>
          </w:p>
        </w:tc>
        <w:tc>
          <w:tcPr>
            <w:tcW w:type="dxa" w:w="3024"/>
          </w:tcPr>
          <w:p>
            <w:r>
              <w:rPr>
                <w:sz w:val="18"/>
              </w:rPr>
              <w:t>25_ei_gender_subsection.py</w:t>
            </w:r>
          </w:p>
        </w:tc>
        <w:tc>
          <w:tcPr>
            <w:tcW w:type="dxa" w:w="3024"/>
          </w:tcPr>
          <w:p>
            <w:r>
              <w:rPr>
                <w:sz w:val="18"/>
              </w:rPr>
              <w:t>Word subsection: EI by participant gender</w:t>
            </w:r>
          </w:p>
        </w:tc>
      </w:tr>
      <w:tr>
        <w:tc>
          <w:tcPr>
            <w:tcW w:type="dxa" w:w="3024"/>
          </w:tcPr>
          <w:p>
            <w:r>
              <w:rPr>
                <w:sz w:val="18"/>
              </w:rPr>
              <w:t>26</w:t>
            </w:r>
          </w:p>
        </w:tc>
        <w:tc>
          <w:tcPr>
            <w:tcW w:type="dxa" w:w="3024"/>
          </w:tcPr>
          <w:p>
            <w:r>
              <w:rPr>
                <w:sz w:val="18"/>
              </w:rPr>
              <w:t>26_litreview_comparison_memo.py</w:t>
            </w:r>
          </w:p>
        </w:tc>
        <w:tc>
          <w:tcPr>
            <w:tcW w:type="dxa" w:w="3024"/>
          </w:tcPr>
          <w:p>
            <w:r>
              <w:rPr>
                <w:sz w:val="18"/>
              </w:rPr>
              <w:t>Word memo: lit review vs results, edits, papers to add</w:t>
            </w:r>
          </w:p>
        </w:tc>
      </w:tr>
      <w:tr>
        <w:tc>
          <w:tcPr>
            <w:tcW w:type="dxa" w:w="3024"/>
          </w:tcPr>
          <w:p>
            <w:r>
              <w:rPr>
                <w:sz w:val="18"/>
              </w:rPr>
              <w:t>27</w:t>
            </w:r>
          </w:p>
        </w:tc>
        <w:tc>
          <w:tcPr>
            <w:tcW w:type="dxa" w:w="3024"/>
          </w:tcPr>
          <w:p>
            <w:r>
              <w:rPr>
                <w:sz w:val="18"/>
              </w:rPr>
              <w:t>27_storyline_robustness.py</w:t>
            </w:r>
          </w:p>
        </w:tc>
        <w:tc>
          <w:tcPr>
            <w:tcW w:type="dxa" w:w="3024"/>
          </w:tcPr>
          <w:p>
            <w:r>
              <w:rPr>
                <w:sz w:val="18"/>
              </w:rPr>
              <w:t>Full robustness battery (7 levers × 3 results)</w:t>
            </w:r>
          </w:p>
        </w:tc>
      </w:tr>
      <w:tr>
        <w:tc>
          <w:tcPr>
            <w:tcW w:type="dxa" w:w="3024"/>
          </w:tcPr>
          <w:p>
            <w:r>
              <w:rPr>
                <w:sz w:val="18"/>
              </w:rPr>
              <w:t>28</w:t>
            </w:r>
          </w:p>
        </w:tc>
        <w:tc>
          <w:tcPr>
            <w:tcW w:type="dxa" w:w="3024"/>
          </w:tcPr>
          <w:p>
            <w:r>
              <w:rPr>
                <w:sz w:val="18"/>
              </w:rPr>
              <w:t>28_pitch_order_models.py</w:t>
            </w:r>
          </w:p>
        </w:tc>
        <w:tc>
          <w:tcPr>
            <w:tcW w:type="dxa" w:w="3024"/>
          </w:tcPr>
          <w:p>
            <w:r>
              <w:rPr>
                <w:sz w:val="18"/>
              </w:rPr>
              <w:t>Formal pitch-order control + effect × order interactions</w:t>
            </w:r>
          </w:p>
        </w:tc>
      </w:tr>
      <w:tr>
        <w:tc>
          <w:tcPr>
            <w:tcW w:type="dxa" w:w="3024"/>
          </w:tcPr>
          <w:p>
            <w:r>
              <w:rPr>
                <w:sz w:val="18"/>
              </w:rPr>
              <w:t>29</w:t>
            </w:r>
          </w:p>
        </w:tc>
        <w:tc>
          <w:tcPr>
            <w:tcW w:type="dxa" w:w="3024"/>
          </w:tcPr>
          <w:p>
            <w:r>
              <w:rPr>
                <w:sz w:val="18"/>
              </w:rPr>
              <w:t>29_robustness_section_draft.py</w:t>
            </w:r>
          </w:p>
        </w:tc>
        <w:tc>
          <w:tcPr>
            <w:tcW w:type="dxa" w:w="3024"/>
          </w:tcPr>
          <w:p>
            <w:r>
              <w:rPr>
                <w:sz w:val="18"/>
              </w:rPr>
              <w:t>Word: full robustness section with tables</w:t>
            </w:r>
          </w:p>
        </w:tc>
      </w:tr>
      <w:tr>
        <w:tc>
          <w:tcPr>
            <w:tcW w:type="dxa" w:w="3024"/>
          </w:tcPr>
          <w:p>
            <w:r>
              <w:rPr>
                <w:sz w:val="18"/>
              </w:rPr>
              <w:t>30</w:t>
            </w:r>
          </w:p>
        </w:tc>
        <w:tc>
          <w:tcPr>
            <w:tcW w:type="dxa" w:w="3024"/>
          </w:tcPr>
          <w:p>
            <w:r>
              <w:rPr>
                <w:sz w:val="18"/>
              </w:rPr>
              <w:t>30_robustness_onepager.py</w:t>
            </w:r>
          </w:p>
        </w:tc>
        <w:tc>
          <w:tcPr>
            <w:tcW w:type="dxa" w:w="3024"/>
          </w:tcPr>
          <w:p>
            <w:r>
              <w:rPr>
                <w:sz w:val="18"/>
              </w:rPr>
              <w:t>Word: one-page robustness summary table</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