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Review vs. Experimental Results: Comparison and Required Additions</w:t>
      </w:r>
    </w:p>
    <w:p>
      <w:pPr>
        <w:spacing w:line="360" w:lineRule="auto"/>
      </w:pPr>
      <w:r>
        <w:rPr>
          <w:i w:val="0"/>
        </w:rPr>
        <w:t>This memo compares the claims advanced in the literature review with the findings of the present experiment (N = 187) and identifies the contradicting and approving literature that should be incorporated. The central observation is that the review is structured to predict effects that the data largely did not produce; the most important additions are therefore boundary-condition framing and a small set of contradicting citations, not only confirmatory ones.</w:t>
      </w:r>
    </w:p>
    <w:p>
      <w:pPr>
        <w:pStyle w:val="Heading2"/>
      </w:pPr>
      <w:r>
        <w:t>1. Where the Results Confirm the Review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Review claim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Experimental result</w:t>
            </w:r>
          </w:p>
        </w:tc>
      </w:tr>
      <w:tr>
        <w:tc>
          <w:tcPr>
            <w:tcW w:type="dxa" w:w="4320"/>
          </w:tcPr>
          <w:p>
            <w:r>
              <w:t>Industry gender-typing is a key boundary condition; male-typed industries (IT/ConTech) are advantaged (Sperber &amp; Linder; Tonoyan &amp; Strohmeyer).</w:t>
            </w:r>
          </w:p>
        </w:tc>
        <w:tc>
          <w:tcPr>
            <w:tcW w:type="dxa" w:w="4320"/>
          </w:tcPr>
          <w:p>
            <w:r>
              <w:t>R1: SiteVision (male-typed ConTech) &gt;&gt; BalanceUp (female-typed Wellness), paired t = 5.08, p &lt; .001 — the strongest and most robust effect.</w:t>
            </w:r>
          </w:p>
        </w:tc>
      </w:tr>
      <w:tr>
        <w:tc>
          <w:tcPr>
            <w:tcW w:type="dxa" w:w="4320"/>
          </w:tcPr>
          <w:p>
            <w:r>
              <w:t>Women in female-typed or gender-neutral industries are not penalised, and may even be overvalued (Tonoyan &amp; Strohmeyer 2021).</w:t>
            </w:r>
          </w:p>
        </w:tc>
        <w:tc>
          <w:tcPr>
            <w:tcW w:type="dxa" w:w="4320"/>
          </w:tcPr>
          <w:p>
            <w:r>
              <w:t>No within-industry penalty for female founders; no raw male-vs-female gap (p = .257), with female-founded ventures rated slightly higher.</w:t>
            </w:r>
          </w:p>
        </w:tc>
      </w:tr>
      <w:tr>
        <w:tc>
          <w:tcPr>
            <w:tcW w:type="dxa" w:w="4320"/>
          </w:tcPr>
          <w:p>
            <w:r>
              <w:t>EI is linked to risk perception and the handling of affect in financial decisions (Yip &amp; Cote; Bucciol et al.).</w:t>
            </w:r>
          </w:p>
        </w:tc>
        <w:tc>
          <w:tcPr>
            <w:tcW w:type="dxa" w:w="4320"/>
          </w:tcPr>
          <w:p>
            <w:r>
              <w:t>Perceived success probability and risk were the operative covariates in the robustness checks; the congruity effect tracked perceived viability.</w:t>
            </w:r>
          </w:p>
        </w:tc>
      </w:tr>
    </w:tbl>
    <w:p>
      <w:pPr>
        <w:pStyle w:val="Heading2"/>
      </w:pPr>
      <w:r>
        <w:t>2. Where the Results Contradict the Review (priority issues)</w:t>
      </w:r>
    </w:p>
    <w:p>
      <w:pPr>
        <w:spacing w:line="360" w:lineRule="auto"/>
      </w:pPr>
      <w:r>
        <w:rPr>
          <w:i w:val="0"/>
        </w:rPr>
        <w:t>2.1 The gender funding gap as a main effect.</w:t>
      </w:r>
    </w:p>
    <w:p>
      <w:pPr>
        <w:spacing w:line="360" w:lineRule="auto"/>
      </w:pPr>
      <w:r>
        <w:rPr>
          <w:i w:val="0"/>
        </w:rPr>
        <w:t>The review opens by asserting a robust funding gap disadvantaging women. The experiment found no raw male-versus-female founder gap (p = .257; if anything reversed). The funding difference resides entirely in the founder-by-industry congruity cells, not in founder gender per se. The review needs a paragraph conceding that experimental and lab evidence is mixed and that the gap is conditional on industry congruity rather than a universal main effect.</w:t>
      </w:r>
    </w:p>
    <w:p>
      <w:pPr>
        <w:spacing w:line="360" w:lineRule="auto"/>
      </w:pPr>
      <w:r>
        <w:rPr>
          <w:i w:val="0"/>
        </w:rPr>
        <w:t>2.2 The warmth-deficit premise (SCM and the H9 mediation chain).</w:t>
      </w:r>
    </w:p>
    <w:p>
      <w:pPr>
        <w:spacing w:line="360" w:lineRule="auto"/>
      </w:pPr>
      <w:r>
        <w:rPr>
          <w:i w:val="0"/>
        </w:rPr>
        <w:t>The review leans on Eckes and Cuddy et al.: female founders elicit low warmth (the envious stereotype), and warmth-driven emotions mediate behaviour. In the data, female-founded teams were rated equal-to-slightly-higher on warmth (ns), and warmth did not mediate investment (bootstrap 95% CI included zero). The operative mediator was perceived success/viability — closer to a competence pathway. This is the largest theoretical exposure: the SCM-to-warmth chain should be reframed toward competence-based mechanisms, and warmth mediation flagged as an exploratory rather than strongly predicted test.</w:t>
      </w:r>
    </w:p>
    <w:p>
      <w:pPr>
        <w:spacing w:line="360" w:lineRule="auto"/>
      </w:pPr>
      <w:r>
        <w:rPr>
          <w:i w:val="0"/>
        </w:rPr>
        <w:t>2.3 The Self-Emotion-Appraisal (SEA) thesis.</w:t>
      </w:r>
    </w:p>
    <w:p>
      <w:pPr>
        <w:spacing w:line="360" w:lineRule="auto"/>
      </w:pPr>
      <w:r>
        <w:rPr>
          <w:i w:val="0"/>
        </w:rPr>
        <w:t>The review argues at length that SEA is the dimension driving EI’s debiasing role. In the data, the SEA x congruity interaction was b = +0.05, p = .77 — not even directionally correct, and no EI dimension moderated significantly. The "Specific Role of Self-Emotion Appraisal" section currently overcommits and should be softened to a hypothesis, supported by literature noting that EI-dimension effects on decision-making are weak and inconsistent.</w:t>
      </w:r>
    </w:p>
    <w:p>
      <w:pPr>
        <w:spacing w:line="360" w:lineRule="auto"/>
      </w:pPr>
      <w:r>
        <w:rPr>
          <w:i w:val="0"/>
        </w:rPr>
        <w:t>2.4 The "women are more emotional" stereotype.</w:t>
      </w:r>
    </w:p>
    <w:p>
      <w:pPr>
        <w:spacing w:line="360" w:lineRule="auto"/>
      </w:pPr>
      <w:r>
        <w:rPr>
          <w:i w:val="0"/>
        </w:rPr>
        <w:t>The review presents the stereotype that women are more emotional and less able to regulate emotion. In this sample, women scored significantly higher on EI (total, SEA, OEA; d up to 0.66) — an ironic empirical counterpoint worth noting in the discussion: the group stereotyped as "too emotional" showed higher measured emotional ability.</w:t>
      </w:r>
    </w:p>
    <w:p>
      <w:pPr>
        <w:pStyle w:val="Heading2"/>
      </w:pPr>
      <w:r>
        <w:t>3. Literature to Add</w:t>
      </w:r>
    </w:p>
    <w:p>
      <w:pPr>
        <w:spacing w:line="360" w:lineRule="auto"/>
      </w:pPr>
      <w:r>
        <w:rPr>
          <w:i w:val="0"/>
        </w:rPr>
        <w:t>Contradicting / nuancing (to pre-empt reviewers):</w:t>
      </w:r>
    </w:p>
    <w:p>
      <w:pPr>
        <w:pStyle w:val="ListBullet"/>
        <w:spacing w:line="312" w:lineRule="auto"/>
      </w:pPr>
      <w:r>
        <w:t>The Science Advances (2020) industry-fit study — investors penalise female founders for lack of industry fit, with no fit penalty for male founders. Engage it directly: our data show the industry effect but not the female-specific fit penalty. (science.org/doi/10.1126/sciadv.abd7664)</w:t>
      </w:r>
    </w:p>
    <w:p>
      <w:pPr>
        <w:pStyle w:val="ListBullet"/>
        <w:spacing w:line="312" w:lineRule="auto"/>
      </w:pPr>
      <w:r>
        <w:t>Crowdfunding warmth/competence work showing female-led campaigns raise comparable total funding and that competence — not warmth — drives women’s success (Svetek 2023; Anglin et al. crowdfunding warmth/competence). Directly relevant to the null warmth-mediation result.</w:t>
      </w:r>
    </w:p>
    <w:p>
      <w:pPr>
        <w:pStyle w:val="ListBullet"/>
        <w:spacing w:line="312" w:lineRule="auto"/>
      </w:pPr>
      <w:r>
        <w:t>2024 ability-EI decision-making review noting dimension-specific EI effects are weak/inconsistent in non-social, emotionally charged tasks — cover for the null SEA result. (PMC12070655)</w:t>
      </w:r>
    </w:p>
    <w:p>
      <w:pPr>
        <w:spacing w:line="360" w:lineRule="auto"/>
      </w:pPr>
      <w:r>
        <w:rPr>
          <w:i w:val="0"/>
        </w:rPr>
        <w:t>Confirming:</w:t>
      </w:r>
    </w:p>
    <w:p>
      <w:pPr>
        <w:pStyle w:val="ListBullet"/>
        <w:spacing w:line="312" w:lineRule="auto"/>
      </w:pPr>
      <w:r>
        <w:t>Tonoyan &amp; Strohmeyer (2021) — lean on it harder; it predicts the observed "no penalty in the female-typed industry" pattern.</w:t>
      </w:r>
    </w:p>
    <w:p>
      <w:pPr>
        <w:pStyle w:val="ListBullet"/>
        <w:spacing w:line="312" w:lineRule="auto"/>
      </w:pPr>
      <w:r>
        <w:t>EI–risk-perception serial-mediation work, to connect the risk/success findings to the EI literature. (PMC9204191)</w:t>
      </w:r>
    </w:p>
    <w:p>
      <w:pPr>
        <w:pStyle w:val="Heading2"/>
      </w:pPr>
      <w:r>
        <w:t>4. Concrete Edits to Make</w:t>
      </w:r>
    </w:p>
    <w:p>
      <w:pPr>
        <w:pStyle w:val="ListBullet"/>
        <w:spacing w:line="312" w:lineRule="auto"/>
      </w:pPr>
      <w:r>
        <w:t>Add a "mixed evidence / boundary conditions" paragraph in The Gender Funding Gap: the gap is not universal, experimental results are mixed, and it is conditional on industry congruity.</w:t>
      </w:r>
    </w:p>
    <w:p>
      <w:pPr>
        <w:pStyle w:val="ListBullet"/>
        <w:spacing w:line="312" w:lineRule="auto"/>
      </w:pPr>
      <w:r>
        <w:t>Reframe the SCM section to foreground competence/viability alongside warmth, and mark the warmth-mediation (H9) as exploratory.</w:t>
      </w:r>
    </w:p>
    <w:p>
      <w:pPr>
        <w:pStyle w:val="ListBullet"/>
        <w:spacing w:line="312" w:lineRule="auto"/>
      </w:pPr>
      <w:r>
        <w:t>Demote the SEA subsection from "the mechanism" to "a candidate mechanism," adding the EI-dimension-inconsistency citation.</w:t>
      </w:r>
    </w:p>
    <w:p>
      <w:pPr>
        <w:pStyle w:val="ListBullet"/>
        <w:spacing w:line="312" w:lineRule="auto"/>
      </w:pPr>
      <w:r>
        <w:t>Add a sentence acknowledging that the lab sample (students, hypothetical small allocations, no real stakes) and the within-person two-pitch design are boundary conditions that may attenuate the gender gap — this honestly explains the null results.</w:t>
      </w:r>
    </w:p>
    <w:p>
      <w:pPr>
        <w:pStyle w:val="Heading2"/>
      </w:pPr>
      <w:r>
        <w:t>Key Sources</w:t>
      </w:r>
    </w:p>
    <w:p>
      <w:pPr>
        <w:spacing w:line="288" w:lineRule="auto" w:after="80"/>
      </w:pPr>
      <w:r>
        <w:t>Evidence that investors penalize female founders for lack of industry fit. Science Advances (2020). https://www.science.org/doi/10.1126/sciadv.abd7664</w:t>
      </w:r>
    </w:p>
    <w:p>
      <w:pPr>
        <w:spacing w:line="288" w:lineRule="auto" w:after="80"/>
      </w:pPr>
      <w:r>
        <w:t>Svetek, M. (2023). Perceived competence and cooperativeness in early-stage financing. ET&amp;P. https://journals.sagepub.com/doi/10.1177/10422587221127000</w:t>
      </w:r>
    </w:p>
    <w:p>
      <w:pPr>
        <w:spacing w:line="288" w:lineRule="auto" w:after="80"/>
      </w:pPr>
      <w:r>
        <w:t>Perceived warmth and competence in crowdfunding: which matters more and for whom? JBV Insights (2022). https://www.sciencedirect.com/science/article/abs/pii/S2352673421000664</w:t>
      </w:r>
    </w:p>
    <w:p>
      <w:pPr>
        <w:spacing w:line="288" w:lineRule="auto" w:after="80"/>
      </w:pPr>
      <w:r>
        <w:t>The roles of ability emotional intelligence in predicting affective decision-making (2024). https://pmc.ncbi.nlm.nih.gov/articles/PMC12070655/</w:t>
      </w:r>
    </w:p>
    <w:p>
      <w:pPr>
        <w:spacing w:line="288" w:lineRule="auto" w:after="80"/>
      </w:pPr>
      <w:r>
        <w:t>Optimism bias and risk perception mediating EI and decision-making. https://www.ncbi.nlm.nih.gov/pmc/articles/PMC9204191/</w:t>
      </w:r>
    </w:p>
    <w:p>
      <w:pPr>
        <w:spacing w:line="288" w:lineRule="auto" w:after="80"/>
      </w:pPr>
      <w:r>
        <w:t>Gender homophily and the stigma of incompetence in entrepreneurial finance. Organization Science. https://pubsonline.informs.org/doi/10.1287/orsc.2022.1594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