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Analysis Review: Emotional Intelligence and Gender-Role Congruity in Startup Funding</w:t>
      </w:r>
    </w:p>
    <w:p>
      <w:pPr>
        <w:spacing w:line="360" w:lineRule="auto"/>
      </w:pPr>
      <w:r>
        <w:t>Master Thesis — Arne Floh   |   Cleaned sample N = 187   |   Prepared May 2026</w:t>
      </w:r>
    </w:p>
    <w:p>
      <w:pPr>
        <w:spacing w:line="360" w:lineRule="auto"/>
      </w:pPr>
      <w:r>
        <w:t>This document provides a detailed, narrative account of the complete analysis conducted for the thesis, from data preparation through hypothesis testing, the identification of three significant results, an extensive robustness battery, and a comparison with the literature review. It is written so that each step, each hypothesis, and each outcome is described in full sentences and can be read independently of the underlying code. All analysis scripts are committed to the branch claude/keen-tesla-1KzdH in the repository arnefloh-wu/Julia.</w:t>
      </w:r>
    </w:p>
    <w:p>
      <w:pPr>
        <w:pStyle w:val="Heading1"/>
      </w:pPr>
      <w:r>
        <w:t>1. Background and Research Aim</w:t>
      </w:r>
    </w:p>
    <w:p>
      <w:pPr>
        <w:spacing w:line="360" w:lineRule="auto"/>
      </w:pPr>
      <w:r>
        <w:t>The study investigates whether emotional intelligence (EI) shapes gender bias in startup investment decisions. The broader motivation, developed in the literature review, is that the persistent gender funding gap in entrepreneurship is driven less by the objective quality of female-led ventures than by investor biases, and specifically by emotional reactions to gender-role incongruity that evaluators misattribute to the qualities of the founder or venture. Building on the Stereotype Content Model and on role-congruity theory, the central proposition was that emotionally intelligent investors, being better able to recognise and discount stereotype-driven emotional reactions, should display less gender bias. The empirical question for this analysis was therefore twofold: first, whether gender bias appears in the investment data at all, and second, whether EI (total score and its four sub-dimensions) moderates that bias.</w:t>
      </w:r>
    </w:p>
    <w:p>
      <w:pPr>
        <w:pStyle w:val="Heading1"/>
      </w:pPr>
      <w:r>
        <w:t>2. Study Design and Measures</w:t>
      </w:r>
    </w:p>
    <w:p>
      <w:pPr>
        <w:spacing w:line="360" w:lineRule="auto"/>
      </w:pPr>
      <w:r>
        <w:t>The study employed a mixed experimental design. Founder gender was manipulated between subjects in three conditions: a male founding team, a female founding team, and a mixed team. Crucially, the two startups that each participant evaluated always shared the same founder-gender condition, so the design does not permit a within-person comparison of male- versus female-founded ventures. Industry was varied within subjects: every participant evaluated SiteVision, a construction-technology (ConTech) venture representing a male-typed industry, and BalanceUp, a corporate-wellness venture representing a female-typed industry. The order in which the two pitches were presented was counterbalanced (SiteVision first or BalanceUp first); this ordering variable later proved to be a critical moderator of the results.</w:t>
      </w:r>
    </w:p>
    <w:p>
      <w:pPr>
        <w:spacing w:line="360" w:lineRule="auto"/>
      </w:pPr>
      <w:r>
        <w:t>Investment was measured as a budget-constrained allocation in which participants distributed a fixed endowment between investing in and saving from each startup, with investment in each venture ranging from 0 to 3. Emotional intelligence was measured with the 16-item Wong and Law Emotional Intelligence Scale (WLEIS) on a seven-point scale, yielding a total score and four sub-dimensions: self-emotion appraisal (SEA), others' emotion appraisal (OEA), use of emotion (UOE), and regulation of emotion (ROE). The survey also recorded perceived probability of success for each startup (Q5 for SiteVision, Q47 for BalanceUp), perceived investment risk (three items each, Q6 and Q48), founder-team ratings on the Stereotype Content Model dimensions of competence and warmth (six items each, Q9 and Q49), dispositional risk tolerance using the Dohmen general and financial risk items (Q14 and Q15), and a full set of demographic and experience variables.</w:t>
      </w:r>
    </w:p>
    <w:p>
      <w:pPr>
        <w:pStyle w:val="Heading1"/>
      </w:pPr>
      <w:r>
        <w:t>3. Data Preparation and Manipulation Checks</w:t>
      </w:r>
    </w:p>
    <w:p>
      <w:pPr>
        <w:spacing w:line="360" w:lineRule="auto"/>
      </w:pPr>
      <w:r>
        <w:t>The raw Qualtrics export contained 230 recorded responses, with three header rows (variable names, item labels, and import-id metadata) followed by the actual data. Two manipulation checks were applied in sequence. The first (Q7) verified that participants could correctly recall the two startups' industries, and the second (Q8) verified correct recall of the founding teams' gender composition. Participants who answered incorrectly, and those who explicitly indicated that they could not remember, were excluded. Applying both checks strictly reduced the sample from 230 to 187 valid responses, which became the primary analysis dataset (MasterThesis_cleaned.csv). A more lenient variant that removed only the clear Q8 failures and retained the "don't remember" responses yielded 203 cases and was preserved separately (MasterThesis_mc-weak.csv) for possible sensitivity analyses. A small pilot wave of the first eight respondents, who shared an identical timestamp and were missing several later demographic items, was identified and, on the user's decision, retained in the final sample.</w:t>
      </w:r>
    </w:p>
    <w:p>
      <w:pPr>
        <w:pStyle w:val="Heading1"/>
      </w:pPr>
      <w:r>
        <w:t>4. Sample Description</w:t>
      </w:r>
    </w:p>
    <w:p>
      <w:pPr>
        <w:spacing w:line="360" w:lineRule="auto"/>
      </w:pPr>
      <w:r>
        <w:t>The final sample of 187 participants was slightly majority female: 100 participants (53.5%) identified as female, 84 (44.9%) as male, two as non-binary, and one preferred not to disclose. The mean age was approximately 23.5 years, with most participants falling in the 20–24 bracket, reflecting a predominantly student sample. The sample was dominated by German and Austrian nationals, who together accounted for roughly two thirds of respondents, with the remainder spanning a range of mostly European nationalities. Most participants were enrolled at the Vienna University of Economics and Business, pursuing Bachelor's or Master's degrees, most commonly in Business Administration or Management. About 60% reported prior experience with financial investments, whereas only around 12% had founded or co-founded a company. These descriptive results, together with a gender bar chart in APA style and full demographic tables, were assembled into a Word draft of the sample-description section.</w:t>
      </w:r>
    </w:p>
    <w:p>
      <w:pPr>
        <w:pStyle w:val="Heading2"/>
      </w:pPr>
      <w:r>
        <w:t>4.1  Emotional Intelligence by Participant Gender</w:t>
      </w:r>
    </w:p>
    <w:p>
      <w:pPr>
        <w:spacing w:line="360" w:lineRule="auto"/>
      </w:pPr>
      <w:r>
        <w:t>Because EI is the central individual-difference variable, gender differences in the WLEIS were examined before the substantive hypotheses. Female participants reported significantly higher total emotional intelligence (M = 5.32, SD = 0.77) than male participants (M = 4.97, SD = 0.71), Welch t(182) = 3.19, p = .002, d = 0.47. This difference was concentrated in the two appraisal dimensions: self-emotion appraisal (M = 5.46 vs 4.83, p &lt; .001, d = 0.59) and others' emotion appraisal (M = 5.74 vs 5.05, p &lt; .001, d = 0.66). The use-of-emotion and regulation-of-emotion dimensions showed no significant gender difference, with regulation being numerically, though not significantly, higher among men. The gender effect on total EI, SEA, and OEA remained essentially unchanged after controlling for age and for STEM versus non-STEM field of study, and the two gender groups were well matched on these covariates. This pattern is consistent with the wider EI literature, in which women score higher on perceiving and appraising emotions while regulation and instrumental use show small or null differences. It also carries a methodological implication: because EI is correlated with participant gender, any test of whether EI's moderating role differs between male and female participants necessarily operates on a restricted EI range within each gender and is correspondingly less sensitive.</w:t>
      </w:r>
    </w:p>
    <w:p>
      <w:pPr>
        <w:spacing w:before="160"/>
      </w:pPr>
      <w:r>
        <w:rPr>
          <w:b/>
        </w:rPr>
        <w:t>Figure 1</w:t>
      </w:r>
      <w:r>
        <w:t xml:space="preserve">  </w:t>
      </w:r>
      <w:r>
        <w:rPr>
          <w:i/>
        </w:rPr>
        <w:t>Emotional Intelligence by Participant Gender</w:t>
      </w:r>
    </w:p>
    <w:p>
      <w:pPr>
        <w:jc w:val="center"/>
      </w:pPr>
      <w:r>
        <w:drawing>
          <wp:inline xmlns:a="http://schemas.openxmlformats.org/drawingml/2006/main" xmlns:pic="http://schemas.openxmlformats.org/drawingml/2006/picture">
            <wp:extent cx="5303520" cy="3354982"/>
            <wp:docPr id="1" name="Picture 1"/>
            <wp:cNvGraphicFramePr>
              <a:graphicFrameLocks noChangeAspect="1"/>
            </wp:cNvGraphicFramePr>
            <a:graphic>
              <a:graphicData uri="http://schemas.openxmlformats.org/drawingml/2006/picture">
                <pic:pic>
                  <pic:nvPicPr>
                    <pic:cNvPr id="0" name="fig22_ei_by_gender.png"/>
                    <pic:cNvPicPr/>
                  </pic:nvPicPr>
                  <pic:blipFill>
                    <a:blip r:embed="rId9"/>
                    <a:stretch>
                      <a:fillRect/>
                    </a:stretch>
                  </pic:blipFill>
                  <pic:spPr>
                    <a:xfrm>
                      <a:off x="0" y="0"/>
                      <a:ext cx="5303520" cy="3354982"/>
                    </a:xfrm>
                    <a:prstGeom prst="rect"/>
                  </pic:spPr>
                </pic:pic>
              </a:graphicData>
            </a:graphic>
          </wp:inline>
        </w:drawing>
      </w:r>
    </w:p>
    <w:p>
      <w:pPr>
        <w:spacing w:after="200"/>
      </w:pPr>
      <w:r>
        <w:rPr>
          <w:i/>
          <w:sz w:val="20"/>
        </w:rPr>
        <w:t xml:space="preserve">Note. </w:t>
      </w:r>
      <w:r>
        <w:rPr>
          <w:sz w:val="20"/>
        </w:rPr>
        <w:t>WLEIS means (±1 SE) for male and female participants. * p &lt; .05, ** p &lt; .01, *** p &lt; .001; ns = not significant.</w:t>
      </w:r>
    </w:p>
    <w:p>
      <w:pPr>
        <w:pStyle w:val="Heading1"/>
      </w:pPr>
      <w:r>
        <w:t>5. Hypothesis Tests</w:t>
      </w:r>
    </w:p>
    <w:p>
      <w:pPr>
        <w:spacing w:line="360" w:lineRule="auto"/>
      </w:pPr>
      <w:r>
        <w:t>A series of hypotheses linking EI to investment behaviour was tested. Unless otherwise noted, every EI moderation analysis was run for the total WLEIS score and for each of the four sub-dimensions separately, and directional predictions were evaluated with both one- and two-tailed tests supplemented by non-parametric (Mann–Whitney) and bootstrap robustness checks. The results are described in turn.</w:t>
      </w:r>
    </w:p>
    <w:p>
      <w:pPr>
        <w:pStyle w:val="Heading2"/>
      </w:pPr>
      <w:r>
        <w:t>5.1  H1 — Lower EI and Greater Investment in Male-Founded Startups</w:t>
      </w:r>
    </w:p>
    <w:p>
      <w:pPr>
        <w:spacing w:line="360" w:lineRule="auto"/>
      </w:pPr>
      <w:r>
        <w:t>H1 predicted that participants with lower EI would invest more in male-founded startups. This hypothesis was not supported. Correlations between EI and investment within the male-founder condition were essentially zero for the total score and for every sub-dimension, with all p-values well above conventional thresholds. There was no evidence that lower-EI participants favoured male-founded ventures.</w:t>
      </w:r>
    </w:p>
    <w:p>
      <w:pPr>
        <w:pStyle w:val="Heading2"/>
      </w:pPr>
      <w:r>
        <w:t>5.2  H2 — Higher EI and Greater Investment in Female-Founded Startups</w:t>
      </w:r>
    </w:p>
    <w:p>
      <w:pPr>
        <w:spacing w:line="360" w:lineRule="auto"/>
      </w:pPr>
      <w:r>
        <w:t>H2 predicted the complementary effect, that participants with higher EI would invest more in female-founded startups. This was also not supported. Within the female-founder condition the EI–investment correlations were all small and non-significant (the largest being r = .12 for OEA, p = .40), and they were no larger than the corresponding correlations in the male-founder condition. Higher EI did not translate into greater generosity toward female founders.</w:t>
      </w:r>
    </w:p>
    <w:p>
      <w:pPr>
        <w:pStyle w:val="Heading2"/>
      </w:pPr>
      <w:r>
        <w:t>5.3  H6 — Higher EI and More Equal Allocation Across Founder Genders</w:t>
      </w:r>
    </w:p>
    <w:p>
      <w:pPr>
        <w:spacing w:line="360" w:lineRule="auto"/>
      </w:pPr>
      <w:r>
        <w:t>H6 proposed that higher-EI participants would allocate funding more equally across founder-gender conditions than lower-EI participants. Because founder gender is a between-subjects factor, this was operationalised as an EI × founder-gender interaction on total investment, and the analysis was repeated for pairwise comparisons among male, female, and mixed teams and for each EI dimension. No interaction reached significance in any specification. The omnibus three-level interaction was F = 0.35, p = .705. A bootstrap and Fisher-z power analysis indicated that this test was adequately powered to detect a moderate interaction at N = 187, so the null result is informative rather than merely underpowered. H6 was not supported.</w:t>
      </w:r>
    </w:p>
    <w:p>
      <w:pPr>
        <w:pStyle w:val="Heading2"/>
      </w:pPr>
      <w:r>
        <w:t>5.4  H4 — Low-EI Preference for Masculine- over Feminine-Congruent Startups</w:t>
      </w:r>
    </w:p>
    <w:p>
      <w:pPr>
        <w:spacing w:line="360" w:lineRule="auto"/>
      </w:pPr>
      <w:r>
        <w:t>H4 predicted that lower-EI participants would invest more in male-founded startups operating in male-dominated industries than in female-founded startups operating in female-dominated industries — that is, a preference for the masculine-congruent over the feminine-congruent venture. This hypothesis received partial, directional support. Among participants below the median on total EI, investment in the masculine-congruent startup (SiteVision evaluated in the male-founder condition) exceeded investment in the feminine-congruent startup (BalanceUp evaluated in the female-founder condition): M = 2.22 versus 1.76, a one-tailed Welch test p = .032, Mann–Whitney p = .021, Cohen's d = 0.50. The two-tailed test was marginal (p = .064). However, the formal EI × congruity interaction on the full sample was non-significant (p = .294 in the two-way analysis), and the three-way EI × founder × industry interaction was non-significant for every EI dimension (smallest p = .48). The effect therefore exists as a simple comparison within the low-EI subgroup but not as a statistically significant moderation, and it later proved fragile under robustness testing.</w:t>
      </w:r>
    </w:p>
    <w:p>
      <w:pPr>
        <w:pStyle w:val="Heading2"/>
      </w:pPr>
      <w:r>
        <w:t>5.5  H7 — Self-Emotion Appraisal as the Specific Driver</w:t>
      </w:r>
    </w:p>
    <w:p>
      <w:pPr>
        <w:spacing w:line="360" w:lineRule="auto"/>
      </w:pPr>
      <w:r>
        <w:t>H7, derived from the most committed section of the literature review, proposed that any EI moderation of the congruity preference would be driven specifically by self-emotion appraisal (SEA), controlling for the other three dimensions. This was not supported, and indeed the data ran contrary to the prediction. In a model entering all four dimensions and their interactions with congruity simultaneously, the SEA × congruity interaction was b = +0.05, p = .77 — not only non-significant but wrong-signed relative to the hypothesis. No individual WLEIS dimension significantly moderated the congruity preference, whether tested jointly or in isolation. The moderation of the low-EI effect, to the extent that it exists, is diffuse across the total score and does not localise to SEA.</w:t>
      </w:r>
    </w:p>
    <w:p>
      <w:pPr>
        <w:pStyle w:val="Heading2"/>
      </w:pPr>
      <w:r>
        <w:t>5.6  H8 — Stronger EI Moderation Among Male Participants</w:t>
      </w:r>
    </w:p>
    <w:p>
      <w:pPr>
        <w:spacing w:line="360" w:lineRule="auto"/>
      </w:pPr>
      <w:r>
        <w:t>H8 proposed that EI's moderation of the gender-based investment gap would be stronger among male than female participants. This was not supported. The three-way EI × founder-gender × participant-gender interaction was b = +0.03, p = .97, and the EI × founder-gender slopes estimated separately within each participant-gender group were near-identical and both non-significant (male participants p = .86; female participants p = .79). This null is partly attributable to the fact, noted above, that there is no raw gender gap for EI to moderate, and partly to the restricted EI range within each gender.</w:t>
      </w:r>
    </w:p>
    <w:p>
      <w:pPr>
        <w:pStyle w:val="Heading2"/>
      </w:pPr>
      <w:r>
        <w:t>5.7  H9 — Warmth Deficit as a Mediator Among Low-EI Participants</w:t>
      </w:r>
    </w:p>
    <w:p>
      <w:pPr>
        <w:spacing w:line="360" w:lineRule="auto"/>
      </w:pPr>
      <w:r>
        <w:t>H9 proposed that female-founded startups would receive lower warmth ratings than male-founded startups and that this warmth deficit would mediate the investment gap among lower-EI participants. This hypothesis failed on both legs. First, there was no warmth deficit: female-founded teams were rated equal to, or slightly higher than, male-founded teams on the six-item warmth scale (M = 3.68 versus 3.59, p = .39), and the same held for competence (p = .48). Second, the mediation did not hold: within the low-EI subgroup the bootstrap indirect effect of founder gender on investment through warmth was −0.05, with a 95% confidence interval of [−0.15, +0.04] that comfortably included zero. The operative perceptual mechanism in the data was perceived probability of success, not warmth.</w:t>
      </w:r>
    </w:p>
    <w:p>
      <w:pPr>
        <w:pStyle w:val="Heading1"/>
      </w:pPr>
      <w:r>
        <w:t>6. The Three Significant Results</w:t>
      </w:r>
    </w:p>
    <w:p>
      <w:pPr>
        <w:spacing w:line="360" w:lineRule="auto"/>
      </w:pPr>
      <w:r>
        <w:t>Against this largely null backdrop, three results reached significance and were developed into the thesis storyline. They form a nested sequence that moves from the industry context, to a founder-by-industry congruity effect, to an individual-difference moderation by EI.</w:t>
      </w:r>
    </w:p>
    <w:p>
      <w:pPr>
        <w:pStyle w:val="Heading2"/>
      </w:pPr>
      <w:r>
        <w:t>6.1  Result 1 — The Industry Effect (SiteVision &gt; BalanceUp)</w:t>
      </w:r>
    </w:p>
    <w:p>
      <w:pPr>
        <w:spacing w:line="360" w:lineRule="auto"/>
      </w:pPr>
      <w:r>
        <w:t>On a within-person basis, participants invested significantly more in SiteVision, the male-typed ConTech venture, than in BalanceUp, the female-typed wellness venture: paired t(186) = 5.08, p &lt; .001, with a mean difference of +0.48 on the 0–3 scale. This was the strongest and most consistent effect in the study. It held across both experienced and inexperienced investors (both p ≤ .002) and showed no moderation by experience (interaction p = .851), establishing it as a stable, sample-wide preference for the male-typed venture and defining the gender-typing of the choice environment within which the founder-level effects operate.</w:t>
      </w:r>
    </w:p>
    <w:p>
      <w:pPr>
        <w:pStyle w:val="Heading2"/>
      </w:pPr>
      <w:r>
        <w:t>6.2  Result 2 — The Gender-Role Congruity Effect (A versus B)</w:t>
      </w:r>
    </w:p>
    <w:p>
      <w:pPr>
        <w:spacing w:line="360" w:lineRule="auto"/>
      </w:pPr>
      <w:r>
        <w:t>The second result compared the two off-diagonal cells of the founder-by-industry design. Cell A consisted of investment in SiteVision among participants in the female-founder condition (a female founder in a male-typed industry), and Cell B consisted of investment in BalanceUp among participants in the male-founder condition (a male founder in a female-typed industry). Cell A received significantly more funding than Cell B: M = 2.22 versus 1.68, Welch t(115) = 3.34, p = .001, Cohen's d = 0.62 — a medium-to-large effect and one of the strongest in the dataset. It is important to be precise about the interpretation. The originally framed hypothesis had been that female founders in male-typed industries would be penalised relative to male founders in female-typed industries; the data reversed this, because the male-typed industry (SiteVision) is the generally more-funded venture. The significant result therefore reflects a congruity or, more precisely, an industry-driven advantage rather than a penalty against incongruent female founders. Consistent with this, female-founded SiteVision ventures were rated as significantly more likely to succeed than male-founded BalanceUp ventures (M = 5.07 versus 4.34, p = .002), pointing to perceived viability as the proximal driver. A complementary within-industry analysis confirmed that there was no female penalty inside either industry once the venture itself was held constant.</w:t>
      </w:r>
    </w:p>
    <w:p>
      <w:pPr>
        <w:spacing w:before="160"/>
      </w:pPr>
      <w:r>
        <w:rPr>
          <w:b/>
        </w:rPr>
        <w:t>Figure 2</w:t>
      </w:r>
      <w:r>
        <w:t xml:space="preserve">  </w:t>
      </w:r>
      <w:r>
        <w:rPr>
          <w:i/>
        </w:rPr>
        <w:t>Investment by Founder Gender and Industry Typing</w:t>
      </w:r>
    </w:p>
    <w:p>
      <w:pPr>
        <w:jc w:val="center"/>
      </w:pPr>
      <w:r>
        <w:drawing>
          <wp:inline xmlns:a="http://schemas.openxmlformats.org/drawingml/2006/main" xmlns:pic="http://schemas.openxmlformats.org/drawingml/2006/picture">
            <wp:extent cx="5303520" cy="3692780"/>
            <wp:docPr id="2" name="Picture 2"/>
            <wp:cNvGraphicFramePr>
              <a:graphicFrameLocks noChangeAspect="1"/>
            </wp:cNvGraphicFramePr>
            <a:graphic>
              <a:graphicData uri="http://schemas.openxmlformats.org/drawingml/2006/picture">
                <pic:pic>
                  <pic:nvPicPr>
                    <pic:cNvPr id="0" name="fig16_incongruent_penalty.png"/>
                    <pic:cNvPicPr/>
                  </pic:nvPicPr>
                  <pic:blipFill>
                    <a:blip r:embed="rId10"/>
                    <a:stretch>
                      <a:fillRect/>
                    </a:stretch>
                  </pic:blipFill>
                  <pic:spPr>
                    <a:xfrm>
                      <a:off x="0" y="0"/>
                      <a:ext cx="5303520" cy="3692780"/>
                    </a:xfrm>
                    <a:prstGeom prst="rect"/>
                  </pic:spPr>
                </pic:pic>
              </a:graphicData>
            </a:graphic>
          </wp:inline>
        </w:drawing>
      </w:r>
    </w:p>
    <w:p>
      <w:pPr>
        <w:spacing w:after="200"/>
      </w:pPr>
      <w:r>
        <w:rPr>
          <w:i/>
          <w:sz w:val="20"/>
        </w:rPr>
        <w:t xml:space="preserve">Note. </w:t>
      </w:r>
      <w:r>
        <w:rPr>
          <w:sz w:val="20"/>
        </w:rPr>
        <w:t>Mean amount invested (±1 SE). Cell A = female founders in the male-typed industry (SiteVision); Cell B = male founders in the female-typed industry (BalanceUp).</w:t>
      </w:r>
    </w:p>
    <w:p>
      <w:pPr>
        <w:pStyle w:val="Heading2"/>
      </w:pPr>
      <w:r>
        <w:t>6.3  Result 3 — The Low-EI Masculine-Congruent Preference</w:t>
      </w:r>
    </w:p>
    <w:p>
      <w:pPr>
        <w:spacing w:line="360" w:lineRule="auto"/>
      </w:pPr>
      <w:r>
        <w:t>The third result is the EI-relevant one. Among participants below the median on total WLEIS, investment in the masculine-congruent startup (a male founder in the male-typed SiteVision) exceeded investment in the feminine-congruent startup (a female founder in the female-typed BalanceUp): M = 2.22 versus 1.76, one-tailed Welch p = .032, Mann–Whitney p = .021, d = 0.50. The same low-EI participants rated the masculine-congruent venture as both more likely to succeed (p = .008) and somewhat riskier (p = .045), a profile consistent with stereotype-consistent, heuristic processing that is not corrected by emotional self-regulation. This result is the empirical anchor for the thesis's claim that EI conditions the expression of gender-congruity bias, although, as set out below, it is statistically the most fragile of the three.</w:t>
      </w:r>
    </w:p>
    <w:p>
      <w:pPr>
        <w:spacing w:before="160"/>
      </w:pPr>
      <w:r>
        <w:rPr>
          <w:b/>
        </w:rPr>
        <w:t>Figure 3</w:t>
      </w:r>
      <w:r>
        <w:t xml:space="preserve">  </w:t>
      </w:r>
      <w:r>
        <w:rPr>
          <w:i/>
        </w:rPr>
        <w:t>Low-EI Participants: Masculine- versus Feminine-Congruent Investment</w:t>
      </w:r>
    </w:p>
    <w:p>
      <w:pPr>
        <w:jc w:val="center"/>
      </w:pPr>
      <w:r>
        <w:drawing>
          <wp:inline xmlns:a="http://schemas.openxmlformats.org/drawingml/2006/main" xmlns:pic="http://schemas.openxmlformats.org/drawingml/2006/picture">
            <wp:extent cx="4389120" cy="3731999"/>
            <wp:docPr id="3" name="Picture 3"/>
            <wp:cNvGraphicFramePr>
              <a:graphicFrameLocks noChangeAspect="1"/>
            </wp:cNvGraphicFramePr>
            <a:graphic>
              <a:graphicData uri="http://schemas.openxmlformats.org/drawingml/2006/picture">
                <pic:pic>
                  <pic:nvPicPr>
                    <pic:cNvPr id="0" name="fig14_lowEI_congruence.png"/>
                    <pic:cNvPicPr/>
                  </pic:nvPicPr>
                  <pic:blipFill>
                    <a:blip r:embed="rId11"/>
                    <a:stretch>
                      <a:fillRect/>
                    </a:stretch>
                  </pic:blipFill>
                  <pic:spPr>
                    <a:xfrm>
                      <a:off x="0" y="0"/>
                      <a:ext cx="4389120" cy="3731999"/>
                    </a:xfrm>
                    <a:prstGeom prst="rect"/>
                  </pic:spPr>
                </pic:pic>
              </a:graphicData>
            </a:graphic>
          </wp:inline>
        </w:drawing>
      </w:r>
    </w:p>
    <w:p>
      <w:pPr>
        <w:spacing w:after="200"/>
      </w:pPr>
      <w:r>
        <w:rPr>
          <w:i/>
          <w:sz w:val="20"/>
        </w:rPr>
        <w:t xml:space="preserve">Note. </w:t>
      </w:r>
      <w:r>
        <w:rPr>
          <w:sz w:val="20"/>
        </w:rPr>
        <w:t>Mean amount invested (±1 SE) among participants below the median on total WLEIS. The bracket reports the one-tailed test.</w:t>
      </w:r>
    </w:p>
    <w:p>
      <w:pPr>
        <w:pStyle w:val="Heading2"/>
      </w:pPr>
      <w:r>
        <w:t>6.4  The Absence of a Raw Gender Funding Gap</w:t>
      </w:r>
    </w:p>
    <w:p>
      <w:pPr>
        <w:spacing w:line="360" w:lineRule="auto"/>
      </w:pPr>
      <w:r>
        <w:t>An important clarifying analysis showed that, when founder gender was collapsed into a simple male-versus-female between-subjects comparison, there was no funding gap and the direction was if anything reversed: per-startup investment averaged 1.90 in the male-founder condition and 2.04 in the female-founder condition, Welch t = −1.14, p = .257. EI did not moderate this non-existent gap, with an omnibus EI × founder-gender interaction of F = 0.35, p = .705. The substantive implication is that the gender effect in these data is not a main effect but an interaction: it appears only in the founder-by-industry congruity cells, which is precisely where Results 2 and 3 locate it. This reframing — congruity rather than a simple gap — is central to interpreting the study honestly.</w:t>
      </w:r>
    </w:p>
    <w:p>
      <w:pPr>
        <w:pStyle w:val="Heading1"/>
      </w:pPr>
      <w:r>
        <w:t>7. Robustness Battery</w:t>
      </w:r>
    </w:p>
    <w:p>
      <w:pPr>
        <w:spacing w:line="360" w:lineRule="auto"/>
      </w:pPr>
      <w:r>
        <w:t>The three significant results were subjected to an extensive robustness battery, comprising adjustment for perceptual and dispositional covariates, a formal treatment of presentation order, an attention filter, and re-estimation within experience-based subgroups. The findings are summarised in the table and then discussed.</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r>
              <w:rPr>
                <w:b/>
                <w:sz w:val="18"/>
              </w:rPr>
              <w:t>Robustness lever</w:t>
            </w:r>
          </w:p>
        </w:tc>
        <w:tc>
          <w:tcPr>
            <w:tcW w:type="dxa" w:w="2268"/>
          </w:tcPr>
          <w:p>
            <w:r>
              <w:rPr>
                <w:b/>
                <w:sz w:val="18"/>
              </w:rPr>
              <w:t>R1 Industry</w:t>
            </w:r>
          </w:p>
        </w:tc>
        <w:tc>
          <w:tcPr>
            <w:tcW w:type="dxa" w:w="2268"/>
          </w:tcPr>
          <w:p>
            <w:r>
              <w:rPr>
                <w:b/>
                <w:sz w:val="18"/>
              </w:rPr>
              <w:t>R2 Congruity</w:t>
            </w:r>
          </w:p>
        </w:tc>
        <w:tc>
          <w:tcPr>
            <w:tcW w:type="dxa" w:w="2268"/>
          </w:tcPr>
          <w:p>
            <w:r>
              <w:rPr>
                <w:b/>
                <w:sz w:val="18"/>
              </w:rPr>
              <w:t>R3 Low-EI</w:t>
            </w:r>
          </w:p>
        </w:tc>
      </w:tr>
      <w:tr>
        <w:tc>
          <w:tcPr>
            <w:tcW w:type="dxa" w:w="2268"/>
          </w:tcPr>
          <w:p>
            <w:r>
              <w:rPr>
                <w:sz w:val="18"/>
              </w:rPr>
              <w:t>Baseline</w:t>
            </w:r>
          </w:p>
        </w:tc>
        <w:tc>
          <w:tcPr>
            <w:tcW w:type="dxa" w:w="2268"/>
          </w:tcPr>
          <w:p>
            <w:r>
              <w:rPr>
                <w:sz w:val="18"/>
              </w:rPr>
              <w:t>+0.48, p &lt; .001</w:t>
            </w:r>
          </w:p>
        </w:tc>
        <w:tc>
          <w:tcPr>
            <w:tcW w:type="dxa" w:w="2268"/>
          </w:tcPr>
          <w:p>
            <w:r>
              <w:rPr>
                <w:sz w:val="18"/>
              </w:rPr>
              <w:t>+0.54, p = .001</w:t>
            </w:r>
          </w:p>
        </w:tc>
        <w:tc>
          <w:tcPr>
            <w:tcW w:type="dxa" w:w="2268"/>
          </w:tcPr>
          <w:p>
            <w:r>
              <w:rPr>
                <w:sz w:val="18"/>
              </w:rPr>
              <w:t>+0.46, p₁ = .032</w:t>
            </w:r>
          </w:p>
        </w:tc>
      </w:tr>
      <w:tr>
        <w:tc>
          <w:tcPr>
            <w:tcW w:type="dxa" w:w="2268"/>
          </w:tcPr>
          <w:p>
            <w:r>
              <w:rPr>
                <w:sz w:val="18"/>
              </w:rPr>
              <w:t>+ Expected success (Q5/Q47)</w:t>
            </w:r>
          </w:p>
        </w:tc>
        <w:tc>
          <w:tcPr>
            <w:tcW w:type="dxa" w:w="2268"/>
          </w:tcPr>
          <w:p>
            <w:r>
              <w:rPr>
                <w:sz w:val="18"/>
              </w:rPr>
              <w:t>p = .059</w:t>
            </w:r>
          </w:p>
        </w:tc>
        <w:tc>
          <w:tcPr>
            <w:tcW w:type="dxa" w:w="2268"/>
          </w:tcPr>
          <w:p>
            <w:r>
              <w:rPr>
                <w:sz w:val="18"/>
              </w:rPr>
              <w:t>p = .091</w:t>
            </w:r>
          </w:p>
        </w:tc>
        <w:tc>
          <w:tcPr>
            <w:tcW w:type="dxa" w:w="2268"/>
          </w:tcPr>
          <w:p>
            <w:r>
              <w:rPr>
                <w:sz w:val="18"/>
              </w:rPr>
              <w:t>p = .68</w:t>
            </w:r>
          </w:p>
        </w:tc>
      </w:tr>
      <w:tr>
        <w:tc>
          <w:tcPr>
            <w:tcW w:type="dxa" w:w="2268"/>
          </w:tcPr>
          <w:p>
            <w:r>
              <w:rPr>
                <w:sz w:val="18"/>
              </w:rPr>
              <w:t>+ Startup risk (Q6/Q48)</w:t>
            </w:r>
          </w:p>
        </w:tc>
        <w:tc>
          <w:tcPr>
            <w:tcW w:type="dxa" w:w="2268"/>
          </w:tcPr>
          <w:p>
            <w:r>
              <w:rPr>
                <w:sz w:val="18"/>
              </w:rPr>
              <w:t>p &lt; .001</w:t>
            </w:r>
          </w:p>
        </w:tc>
        <w:tc>
          <w:tcPr>
            <w:tcW w:type="dxa" w:w="2268"/>
          </w:tcPr>
          <w:p>
            <w:r>
              <w:rPr>
                <w:sz w:val="18"/>
              </w:rPr>
              <w:t>p = .002</w:t>
            </w:r>
          </w:p>
        </w:tc>
        <w:tc>
          <w:tcPr>
            <w:tcW w:type="dxa" w:w="2268"/>
          </w:tcPr>
          <w:p>
            <w:r>
              <w:rPr>
                <w:sz w:val="18"/>
              </w:rPr>
              <w:t>p = .092</w:t>
            </w:r>
          </w:p>
        </w:tc>
      </w:tr>
      <w:tr>
        <w:tc>
          <w:tcPr>
            <w:tcW w:type="dxa" w:w="2268"/>
          </w:tcPr>
          <w:p>
            <w:r>
              <w:rPr>
                <w:sz w:val="18"/>
              </w:rPr>
              <w:t>+ Competence (Q9/Q49)</w:t>
            </w:r>
          </w:p>
        </w:tc>
        <w:tc>
          <w:tcPr>
            <w:tcW w:type="dxa" w:w="2268"/>
          </w:tcPr>
          <w:p>
            <w:r>
              <w:rPr>
                <w:sz w:val="18"/>
              </w:rPr>
              <w:t>p &lt; .001</w:t>
            </w:r>
          </w:p>
        </w:tc>
        <w:tc>
          <w:tcPr>
            <w:tcW w:type="dxa" w:w="2268"/>
          </w:tcPr>
          <w:p>
            <w:r>
              <w:rPr>
                <w:sz w:val="18"/>
              </w:rPr>
              <w:t>p = .004</w:t>
            </w:r>
          </w:p>
        </w:tc>
        <w:tc>
          <w:tcPr>
            <w:tcW w:type="dxa" w:w="2268"/>
          </w:tcPr>
          <w:p>
            <w:r>
              <w:rPr>
                <w:sz w:val="18"/>
              </w:rPr>
              <w:t>p = .28</w:t>
            </w:r>
          </w:p>
        </w:tc>
      </w:tr>
      <w:tr>
        <w:tc>
          <w:tcPr>
            <w:tcW w:type="dxa" w:w="2268"/>
          </w:tcPr>
          <w:p>
            <w:r>
              <w:rPr>
                <w:sz w:val="18"/>
              </w:rPr>
              <w:t>+ Risk trait (Q14/Q15)</w:t>
            </w:r>
          </w:p>
        </w:tc>
        <w:tc>
          <w:tcPr>
            <w:tcW w:type="dxa" w:w="2268"/>
          </w:tcPr>
          <w:p>
            <w:r>
              <w:rPr>
                <w:sz w:val="18"/>
              </w:rPr>
              <w:t>not moderated</w:t>
            </w:r>
          </w:p>
        </w:tc>
        <w:tc>
          <w:tcPr>
            <w:tcW w:type="dxa" w:w="2268"/>
          </w:tcPr>
          <w:p>
            <w:r>
              <w:rPr>
                <w:sz w:val="18"/>
              </w:rPr>
              <w:t>p = .007</w:t>
            </w:r>
          </w:p>
        </w:tc>
        <w:tc>
          <w:tcPr>
            <w:tcW w:type="dxa" w:w="2268"/>
          </w:tcPr>
          <w:p>
            <w:r>
              <w:rPr>
                <w:sz w:val="18"/>
              </w:rPr>
              <w:t>p = .038</w:t>
            </w:r>
          </w:p>
        </w:tc>
      </w:tr>
      <w:tr>
        <w:tc>
          <w:tcPr>
            <w:tcW w:type="dxa" w:w="2268"/>
          </w:tcPr>
          <w:p>
            <w:r>
              <w:rPr>
                <w:sz w:val="18"/>
              </w:rPr>
              <w:t>+ All covariates</w:t>
            </w:r>
          </w:p>
        </w:tc>
        <w:tc>
          <w:tcPr>
            <w:tcW w:type="dxa" w:w="2268"/>
          </w:tcPr>
          <w:p>
            <w:r>
              <w:rPr>
                <w:sz w:val="18"/>
              </w:rPr>
              <w:t>p = .032</w:t>
            </w:r>
          </w:p>
        </w:tc>
        <w:tc>
          <w:tcPr>
            <w:tcW w:type="dxa" w:w="2268"/>
          </w:tcPr>
          <w:p>
            <w:r>
              <w:rPr>
                <w:sz w:val="18"/>
              </w:rPr>
              <w:t>p = .106</w:t>
            </w:r>
          </w:p>
        </w:tc>
        <w:tc>
          <w:tcPr>
            <w:tcW w:type="dxa" w:w="2268"/>
          </w:tcPr>
          <w:p>
            <w:r>
              <w:rPr>
                <w:sz w:val="18"/>
              </w:rPr>
              <w:t>p = .75</w:t>
            </w:r>
          </w:p>
        </w:tc>
      </w:tr>
      <w:tr>
        <w:tc>
          <w:tcPr>
            <w:tcW w:type="dxa" w:w="2268"/>
          </w:tcPr>
          <w:p>
            <w:r>
              <w:rPr>
                <w:sz w:val="18"/>
              </w:rPr>
              <w:t>SiteVision shown first</w:t>
            </w:r>
          </w:p>
        </w:tc>
        <w:tc>
          <w:tcPr>
            <w:tcW w:type="dxa" w:w="2268"/>
          </w:tcPr>
          <w:p>
            <w:r>
              <w:rPr>
                <w:sz w:val="18"/>
              </w:rPr>
              <w:t>+1.08, p &lt; .001</w:t>
            </w:r>
          </w:p>
        </w:tc>
        <w:tc>
          <w:tcPr>
            <w:tcW w:type="dxa" w:w="2268"/>
          </w:tcPr>
          <w:p>
            <w:r>
              <w:rPr>
                <w:sz w:val="18"/>
              </w:rPr>
              <w:t>t = 5.89, p &lt; .001</w:t>
            </w:r>
          </w:p>
        </w:tc>
        <w:tc>
          <w:tcPr>
            <w:tcW w:type="dxa" w:w="2268"/>
          </w:tcPr>
          <w:p>
            <w:r>
              <w:rPr>
                <w:sz w:val="18"/>
              </w:rPr>
              <w:t>t = 4.79, p &lt; .001</w:t>
            </w:r>
          </w:p>
        </w:tc>
      </w:tr>
      <w:tr>
        <w:tc>
          <w:tcPr>
            <w:tcW w:type="dxa" w:w="2268"/>
          </w:tcPr>
          <w:p>
            <w:r>
              <w:rPr>
                <w:sz w:val="18"/>
              </w:rPr>
              <w:t>BalanceUp shown first</w:t>
            </w:r>
          </w:p>
        </w:tc>
        <w:tc>
          <w:tcPr>
            <w:tcW w:type="dxa" w:w="2268"/>
          </w:tcPr>
          <w:p>
            <w:r>
              <w:rPr>
                <w:sz w:val="18"/>
              </w:rPr>
              <w:t>−0.15, p = .24</w:t>
            </w:r>
          </w:p>
        </w:tc>
        <w:tc>
          <w:tcPr>
            <w:tcW w:type="dxa" w:w="2268"/>
          </w:tcPr>
          <w:p>
            <w:r>
              <w:rPr>
                <w:sz w:val="18"/>
              </w:rPr>
              <w:t>t = −0.85, p = .40</w:t>
            </w:r>
          </w:p>
        </w:tc>
        <w:tc>
          <w:tcPr>
            <w:tcW w:type="dxa" w:w="2268"/>
          </w:tcPr>
          <w:p>
            <w:r>
              <w:rPr>
                <w:sz w:val="18"/>
              </w:rPr>
              <w:t>t = −1.21, p = .88</w:t>
            </w:r>
          </w:p>
        </w:tc>
      </w:tr>
      <w:tr>
        <w:tc>
          <w:tcPr>
            <w:tcW w:type="dxa" w:w="2268"/>
          </w:tcPr>
          <w:p>
            <w:r>
              <w:rPr>
                <w:sz w:val="18"/>
              </w:rPr>
              <w:t>Effect × order interaction</w:t>
            </w:r>
          </w:p>
        </w:tc>
        <w:tc>
          <w:tcPr>
            <w:tcW w:type="dxa" w:w="2268"/>
          </w:tcPr>
          <w:p>
            <w:r>
              <w:rPr>
                <w:sz w:val="18"/>
              </w:rPr>
              <w:t>b = 1.24, p &lt; .001</w:t>
            </w:r>
          </w:p>
        </w:tc>
        <w:tc>
          <w:tcPr>
            <w:tcW w:type="dxa" w:w="2268"/>
          </w:tcPr>
          <w:p>
            <w:r>
              <w:rPr>
                <w:sz w:val="18"/>
              </w:rPr>
              <w:t>b = 1.40, p &lt; .001</w:t>
            </w:r>
          </w:p>
        </w:tc>
        <w:tc>
          <w:tcPr>
            <w:tcW w:type="dxa" w:w="2268"/>
          </w:tcPr>
          <w:p>
            <w:r>
              <w:rPr>
                <w:sz w:val="18"/>
              </w:rPr>
              <w:t>b = 1.62, p &lt; .001</w:t>
            </w:r>
          </w:p>
        </w:tc>
      </w:tr>
      <w:tr>
        <w:tc>
          <w:tcPr>
            <w:tcW w:type="dxa" w:w="2268"/>
          </w:tcPr>
          <w:p>
            <w:r>
              <w:rPr>
                <w:sz w:val="18"/>
              </w:rPr>
              <w:t>Attention filter (drop 5%)</w:t>
            </w:r>
          </w:p>
        </w:tc>
        <w:tc>
          <w:tcPr>
            <w:tcW w:type="dxa" w:w="2268"/>
          </w:tcPr>
          <w:p>
            <w:r>
              <w:rPr>
                <w:sz w:val="18"/>
              </w:rPr>
              <w:t>p &lt; .001</w:t>
            </w:r>
          </w:p>
        </w:tc>
        <w:tc>
          <w:tcPr>
            <w:tcW w:type="dxa" w:w="2268"/>
          </w:tcPr>
          <w:p>
            <w:r>
              <w:rPr>
                <w:sz w:val="18"/>
              </w:rPr>
              <w:t>p = .001</w:t>
            </w:r>
          </w:p>
        </w:tc>
        <w:tc>
          <w:tcPr>
            <w:tcW w:type="dxa" w:w="2268"/>
          </w:tcPr>
          <w:p>
            <w:r>
              <w:rPr>
                <w:sz w:val="18"/>
              </w:rPr>
              <w:t>p₁ = .052</w:t>
            </w:r>
          </w:p>
        </w:tc>
      </w:tr>
      <w:tr>
        <w:tc>
          <w:tcPr>
            <w:tcW w:type="dxa" w:w="2268"/>
          </w:tcPr>
          <w:p>
            <w:r>
              <w:rPr>
                <w:sz w:val="18"/>
              </w:rPr>
              <w:t>Investment experience</w:t>
            </w:r>
          </w:p>
        </w:tc>
        <w:tc>
          <w:tcPr>
            <w:tcW w:type="dxa" w:w="2268"/>
          </w:tcPr>
          <w:p>
            <w:r>
              <w:rPr>
                <w:sz w:val="18"/>
              </w:rPr>
              <w:t>both groups hold</w:t>
            </w:r>
          </w:p>
        </w:tc>
        <w:tc>
          <w:tcPr>
            <w:tcW w:type="dxa" w:w="2268"/>
          </w:tcPr>
          <w:p>
            <w:r>
              <w:rPr>
                <w:sz w:val="18"/>
              </w:rPr>
              <w:t>inexperienced only</w:t>
            </w:r>
          </w:p>
        </w:tc>
        <w:tc>
          <w:tcPr>
            <w:tcW w:type="dxa" w:w="2268"/>
          </w:tcPr>
          <w:p>
            <w:r>
              <w:rPr>
                <w:sz w:val="18"/>
              </w:rPr>
              <w:t>inexperienced only (.016)</w:t>
            </w:r>
          </w:p>
        </w:tc>
      </w:tr>
      <w:tr>
        <w:tc>
          <w:tcPr>
            <w:tcW w:type="dxa" w:w="2268"/>
          </w:tcPr>
          <w:p>
            <w:r>
              <w:rPr>
                <w:sz w:val="18"/>
              </w:rPr>
              <w:t>Never-founded subgroup</w:t>
            </w:r>
          </w:p>
        </w:tc>
        <w:tc>
          <w:tcPr>
            <w:tcW w:type="dxa" w:w="2268"/>
          </w:tcPr>
          <w:p>
            <w:r>
              <w:rPr>
                <w:sz w:val="18"/>
              </w:rPr>
              <w:t>p &lt; .001</w:t>
            </w:r>
          </w:p>
        </w:tc>
        <w:tc>
          <w:tcPr>
            <w:tcW w:type="dxa" w:w="2268"/>
          </w:tcPr>
          <w:p>
            <w:r>
              <w:rPr>
                <w:sz w:val="18"/>
              </w:rPr>
              <w:t>p &lt; .001</w:t>
            </w:r>
          </w:p>
        </w:tc>
        <w:tc>
          <w:tcPr>
            <w:tcW w:type="dxa" w:w="2268"/>
          </w:tcPr>
          <w:p>
            <w:r>
              <w:rPr>
                <w:sz w:val="18"/>
              </w:rPr>
              <w:t>p₁ = .059</w:t>
            </w:r>
          </w:p>
        </w:tc>
      </w:tr>
      <w:tr>
        <w:tc>
          <w:tcPr>
            <w:tcW w:type="dxa" w:w="2268"/>
          </w:tcPr>
          <w:p>
            <w:r>
              <w:rPr>
                <w:sz w:val="18"/>
              </w:rPr>
              <w:t>Bottom-tertile EI definition</w:t>
            </w:r>
          </w:p>
        </w:tc>
        <w:tc>
          <w:tcPr>
            <w:tcW w:type="dxa" w:w="2268"/>
          </w:tcPr>
          <w:p>
            <w:r>
              <w:rPr>
                <w:sz w:val="18"/>
              </w:rPr>
              <w:t>—</w:t>
            </w:r>
          </w:p>
        </w:tc>
        <w:tc>
          <w:tcPr>
            <w:tcW w:type="dxa" w:w="2268"/>
          </w:tcPr>
          <w:p>
            <w:r>
              <w:rPr>
                <w:sz w:val="18"/>
              </w:rPr>
              <w:t>—</w:t>
            </w:r>
          </w:p>
        </w:tc>
        <w:tc>
          <w:tcPr>
            <w:tcW w:type="dxa" w:w="2268"/>
          </w:tcPr>
          <w:p>
            <w:r>
              <w:rPr>
                <w:sz w:val="18"/>
              </w:rPr>
              <w:t>p₁ = .050</w:t>
            </w:r>
          </w:p>
        </w:tc>
      </w:tr>
      <w:tr>
        <w:tc>
          <w:tcPr>
            <w:tcW w:type="dxa" w:w="2268"/>
          </w:tcPr>
          <w:p>
            <w:r>
              <w:rPr>
                <w:sz w:val="18"/>
              </w:rPr>
              <w:t>EI-dimension specificity</w:t>
            </w:r>
          </w:p>
        </w:tc>
        <w:tc>
          <w:tcPr>
            <w:tcW w:type="dxa" w:w="2268"/>
          </w:tcPr>
          <w:p>
            <w:r>
              <w:rPr>
                <w:sz w:val="18"/>
              </w:rPr>
              <w:t>—</w:t>
            </w:r>
          </w:p>
        </w:tc>
        <w:tc>
          <w:tcPr>
            <w:tcW w:type="dxa" w:w="2268"/>
          </w:tcPr>
          <w:p>
            <w:r>
              <w:rPr>
                <w:sz w:val="18"/>
              </w:rPr>
              <w:t>—</w:t>
            </w:r>
          </w:p>
        </w:tc>
        <w:tc>
          <w:tcPr>
            <w:tcW w:type="dxa" w:w="2268"/>
          </w:tcPr>
          <w:p>
            <w:r>
              <w:rPr>
                <w:sz w:val="18"/>
              </w:rPr>
              <w:t>all ns; SEA p = .77</w:t>
            </w:r>
          </w:p>
        </w:tc>
      </w:tr>
    </w:tbl>
    <w:p>
      <w:pPr>
        <w:pStyle w:val="Heading2"/>
      </w:pPr>
      <w:r>
        <w:t>7.1  Adjustment for Perceived Success, Risk, Competence, and Risk Trait</w:t>
      </w:r>
    </w:p>
    <w:p>
      <w:pPr>
        <w:spacing w:line="360" w:lineRule="auto"/>
      </w:pPr>
      <w:r>
        <w:t>The single most consequential covariate was perceived probability of success. Entering it reduced all three effects substantially: the industry effect fell to p = .059, the congruity effect to p = .091, and the low-EI effect to p = .68. The within-person investment gap correlated r = .75 with the corresponding difference in perceived success, indicating that the effects operate largely through perceived venture viability rather than through founder gender directly. By contrast, perceived startup risk and founder competence did not account for the industry and congruity effects, which remained significant at p &lt; .005 after adjusting for each; only the fragile low-EI effect was absorbed by these covariates. Dispositional risk tolerance (the Dohmen general and financial items) did not threaten any result; if anything the congruity and low-EI effects strengthened when risk traits alone were controlled (p = .007 and p = .038 respectively).</w:t>
      </w:r>
    </w:p>
    <w:p>
      <w:pPr>
        <w:spacing w:before="160"/>
      </w:pPr>
      <w:r>
        <w:rPr>
          <w:b/>
        </w:rPr>
        <w:t>Figure 4</w:t>
      </w:r>
      <w:r>
        <w:t xml:space="preserve">  </w:t>
      </w:r>
      <w:r>
        <w:rPr>
          <w:i/>
        </w:rPr>
        <w:t>Adjusted Effect Coefficients Across Robustness Specifications</w:t>
      </w:r>
    </w:p>
    <w:p>
      <w:pPr>
        <w:jc w:val="center"/>
      </w:pPr>
      <w:r>
        <w:drawing>
          <wp:inline xmlns:a="http://schemas.openxmlformats.org/drawingml/2006/main" xmlns:pic="http://schemas.openxmlformats.org/drawingml/2006/picture">
            <wp:extent cx="5303520" cy="3257911"/>
            <wp:docPr id="4" name="Picture 4"/>
            <wp:cNvGraphicFramePr>
              <a:graphicFrameLocks noChangeAspect="1"/>
            </wp:cNvGraphicFramePr>
            <a:graphic>
              <a:graphicData uri="http://schemas.openxmlformats.org/drawingml/2006/picture">
                <pic:pic>
                  <pic:nvPicPr>
                    <pic:cNvPr id="0" name="fig21_robustness_coefficients.png"/>
                    <pic:cNvPicPr/>
                  </pic:nvPicPr>
                  <pic:blipFill>
                    <a:blip r:embed="rId12"/>
                    <a:stretch>
                      <a:fillRect/>
                    </a:stretch>
                  </pic:blipFill>
                  <pic:spPr>
                    <a:xfrm>
                      <a:off x="0" y="0"/>
                      <a:ext cx="5303520" cy="3257911"/>
                    </a:xfrm>
                    <a:prstGeom prst="rect"/>
                  </pic:spPr>
                </pic:pic>
              </a:graphicData>
            </a:graphic>
          </wp:inline>
        </w:drawing>
      </w:r>
    </w:p>
    <w:p>
      <w:pPr>
        <w:spacing w:after="200"/>
      </w:pPr>
      <w:r>
        <w:rPr>
          <w:i/>
          <w:sz w:val="20"/>
        </w:rPr>
        <w:t xml:space="preserve">Note. </w:t>
      </w:r>
      <w:r>
        <w:rPr>
          <w:sz w:val="20"/>
        </w:rPr>
        <w:t>Effect coefficient (0–3 scale) for each result under successive covariate adjustments. * p &lt; .05. Note how adding perceived success collapses all three effects.</w:t>
      </w:r>
    </w:p>
    <w:p>
      <w:pPr>
        <w:spacing w:before="160"/>
      </w:pPr>
      <w:r>
        <w:rPr>
          <w:b/>
        </w:rPr>
        <w:t>Figure 5</w:t>
      </w:r>
      <w:r>
        <w:t xml:space="preserve">  </w:t>
      </w:r>
      <w:r>
        <w:rPr>
          <w:i/>
        </w:rPr>
        <w:t>Perceived-Success Mechanism</w:t>
      </w:r>
    </w:p>
    <w:p>
      <w:pPr>
        <w:jc w:val="center"/>
      </w:pPr>
      <w:r>
        <w:drawing>
          <wp:inline xmlns:a="http://schemas.openxmlformats.org/drawingml/2006/main" xmlns:pic="http://schemas.openxmlformats.org/drawingml/2006/picture">
            <wp:extent cx="4754880" cy="3664622"/>
            <wp:docPr id="5" name="Picture 5"/>
            <wp:cNvGraphicFramePr>
              <a:graphicFrameLocks noChangeAspect="1"/>
            </wp:cNvGraphicFramePr>
            <a:graphic>
              <a:graphicData uri="http://schemas.openxmlformats.org/drawingml/2006/picture">
                <pic:pic>
                  <pic:nvPicPr>
                    <pic:cNvPr id="0" name="fig23_success_mechanism.png"/>
                    <pic:cNvPicPr/>
                  </pic:nvPicPr>
                  <pic:blipFill>
                    <a:blip r:embed="rId13"/>
                    <a:stretch>
                      <a:fillRect/>
                    </a:stretch>
                  </pic:blipFill>
                  <pic:spPr>
                    <a:xfrm>
                      <a:off x="0" y="0"/>
                      <a:ext cx="4754880" cy="3664622"/>
                    </a:xfrm>
                    <a:prstGeom prst="rect"/>
                  </pic:spPr>
                </pic:pic>
              </a:graphicData>
            </a:graphic>
          </wp:inline>
        </w:drawing>
      </w:r>
    </w:p>
    <w:p>
      <w:pPr>
        <w:spacing w:after="200"/>
      </w:pPr>
      <w:r>
        <w:rPr>
          <w:i/>
          <w:sz w:val="20"/>
        </w:rPr>
        <w:t xml:space="preserve">Note. </w:t>
      </w:r>
      <w:r>
        <w:rPr>
          <w:sz w:val="20"/>
        </w:rPr>
        <w:t>Within-person investment gap (SiteVision − BalanceUp) plotted against the perceived-success gap, with linear fit. Points jittered for legibility.</w:t>
      </w:r>
    </w:p>
    <w:p>
      <w:pPr>
        <w:pStyle w:val="Heading2"/>
      </w:pPr>
      <w:r>
        <w:t>7.2  Sensitivity to Presentation Order</w:t>
      </w:r>
    </w:p>
    <w:p>
      <w:pPr>
        <w:spacing w:line="360" w:lineRule="auto"/>
      </w:pPr>
      <w:r>
        <w:t>The most important robustness finding concerns pitch presentation order. Because order was counterbalanced and approximately balanced across conditions, including it as a covariate left the average effect estimates essentially unchanged (the industry coefficient remained 0.48, p &lt; .001; the congruity coefficient 0.54, p = .001; the low-EI coefficient 0.46, but now p = .069). However, the effect-by-order interaction was large and highly significant for all three results. Each effect was very large when SiteVision was presented first and disappeared, or numerically reversed, when BalanceUp was presented first: the industry preference was +1.08 (p &lt; .001) versus −0.15 (p = .24); the congruity comparison was t = 5.89 (p &lt; .001) versus t = −0.85 (p = .40); and the low-EI comparison was t = 4.79 (p &lt; .001) versus t = −1.21 (p = .88). This pattern is consistent with a primacy or anchoring contribution, whereby participants allocated more to whichever pitch they saw first; because SiteVision is the masculine-typed venture, such an order effect mechanically resembles an industry or congruity effect. Two implications follow. The average effects are not the product of a simple confound, since order was balanced across conditions; but their generalisability is limited, because they are not stable across presentation orders. This order dependence should be disclosed transparently as a boundary condition.</w:t>
      </w:r>
    </w:p>
    <w:p>
      <w:pPr>
        <w:spacing w:before="160"/>
      </w:pPr>
      <w:r>
        <w:rPr>
          <w:b/>
        </w:rPr>
        <w:t>Figure 6</w:t>
      </w:r>
      <w:r>
        <w:t xml:space="preserve">  </w:t>
      </w:r>
      <w:r>
        <w:rPr>
          <w:i/>
        </w:rPr>
        <w:t>Effect Size by Pitch Presentation Order</w:t>
      </w:r>
    </w:p>
    <w:p>
      <w:pPr>
        <w:jc w:val="center"/>
      </w:pPr>
      <w:r>
        <w:drawing>
          <wp:inline xmlns:a="http://schemas.openxmlformats.org/drawingml/2006/main" xmlns:pic="http://schemas.openxmlformats.org/drawingml/2006/picture">
            <wp:extent cx="5303520" cy="3457700"/>
            <wp:docPr id="6" name="Picture 6"/>
            <wp:cNvGraphicFramePr>
              <a:graphicFrameLocks noChangeAspect="1"/>
            </wp:cNvGraphicFramePr>
            <a:graphic>
              <a:graphicData uri="http://schemas.openxmlformats.org/drawingml/2006/picture">
                <pic:pic>
                  <pic:nvPicPr>
                    <pic:cNvPr id="0" name="fig20_pitch_order_interaction.png"/>
                    <pic:cNvPicPr/>
                  </pic:nvPicPr>
                  <pic:blipFill>
                    <a:blip r:embed="rId14"/>
                    <a:stretch>
                      <a:fillRect/>
                    </a:stretch>
                  </pic:blipFill>
                  <pic:spPr>
                    <a:xfrm>
                      <a:off x="0" y="0"/>
                      <a:ext cx="5303520" cy="3457700"/>
                    </a:xfrm>
                    <a:prstGeom prst="rect"/>
                  </pic:spPr>
                </pic:pic>
              </a:graphicData>
            </a:graphic>
          </wp:inline>
        </w:drawing>
      </w:r>
    </w:p>
    <w:p>
      <w:pPr>
        <w:spacing w:after="200"/>
      </w:pPr>
      <w:r>
        <w:rPr>
          <w:i/>
          <w:sz w:val="20"/>
        </w:rPr>
        <w:t xml:space="preserve">Note. </w:t>
      </w:r>
      <w:r>
        <w:rPr>
          <w:sz w:val="20"/>
        </w:rPr>
        <w:t>Mean investment difference (0–3 scale) underlying each result, split by whether SiteVision or BalanceUp was presented first. All three effects are present only when SiteVision is shown first.</w:t>
      </w:r>
    </w:p>
    <w:p>
      <w:pPr>
        <w:pStyle w:val="Heading2"/>
      </w:pPr>
      <w:r>
        <w:t>7.3  Attention Filter and Subgroup Stability</w:t>
      </w:r>
    </w:p>
    <w:p>
      <w:pPr>
        <w:spacing w:line="360" w:lineRule="auto"/>
      </w:pPr>
      <w:r>
        <w:t>Excluding the fastest five percent of respondents as a careless-responding filter left the industry and congruity effects unchanged (p &lt; .001 and p = .001), while the low-EI effect slipped to borderline significance (one-tailed p = .052). The low-EI effect was likewise borderline under a bottom-tertile definition of low EI (p = .050) and within the never-founded subgroup (p = .059), and it reached significance only among inexperienced investors (p = .016). The industry and congruity effects, in contrast, held firmly across investment- and entrepreneurial-experience subgroups.</w:t>
      </w:r>
    </w:p>
    <w:p>
      <w:pPr>
        <w:pStyle w:val="Heading2"/>
      </w:pPr>
      <w:r>
        <w:t>7.4  Overall Robustness Assessment</w:t>
      </w:r>
    </w:p>
    <w:p>
      <w:pPr>
        <w:spacing w:line="360" w:lineRule="auto"/>
      </w:pPr>
      <w:r>
        <w:t>Taken together, the robustness battery supports three conclusions. First, perceived probability of success is the proximal covariate that accounts for all three effects, reinforcing a viability-based rather than warmth-based mechanism and aligning with the failure of the warmth-mediation hypothesis (H9). Second, the industry effect (R1) and the congruity effect (R2) are robust to adjustment for risk, competence, and risk traits, to attention filtering, and to subgroup variation, and are threatened only by the success covariate (which mediates them) and by presentation order (which moderates them). Third, the low-EI congruence effect (R3) is fragile, falling to borderline or non-significant under almost every check, and should therefore be reported as suggestive rather than confirmatory.</w:t>
      </w:r>
    </w:p>
    <w:p>
      <w:pPr>
        <w:pStyle w:val="Heading1"/>
      </w:pPr>
      <w:r>
        <w:t>8. Comparison with the Literature Review</w:t>
      </w:r>
    </w:p>
    <w:p>
      <w:pPr>
        <w:spacing w:line="360" w:lineRule="auto"/>
      </w:pPr>
      <w:r>
        <w:t>The results were compared against the thesis literature review. The review is largely structured to predict effects that the data did not produce, so the comparison identifies both points of agreement and several points requiring revision.</w:t>
      </w:r>
    </w:p>
    <w:p>
      <w:pPr>
        <w:pStyle w:val="Heading2"/>
      </w:pPr>
      <w:r>
        <w:t>8.1  Points of Agreement</w:t>
      </w:r>
    </w:p>
    <w:p>
      <w:pPr>
        <w:spacing w:line="360" w:lineRule="auto"/>
      </w:pPr>
      <w:r>
        <w:t>The data confirm the review's emphasis on industry gender-typing as a key boundary condition: SiteVision, the male-typed venture, was systematically favoured (Result 1). They also confirm the proposition, associated with Tonoyan and Strohmeyer, that female founders are not penalised in female-typed or gender-neutral industries — indeed, there was no raw funding gap at all and female-founded ventures were rated slightly higher. Finally, the prominence of perceived success and risk in the robustness analyses is broadly consistent with the review's treatment of EI, risk perception, and the affective shaping of financial judgment.</w:t>
      </w:r>
    </w:p>
    <w:p>
      <w:pPr>
        <w:pStyle w:val="Heading2"/>
      </w:pPr>
      <w:r>
        <w:t>8.2  Points of Contradiction and Required Revisions</w:t>
      </w:r>
    </w:p>
    <w:p>
      <w:pPr>
        <w:spacing w:line="360" w:lineRule="auto"/>
      </w:pPr>
      <w:r>
        <w:t>Four tensions require attention in the review. First, the review opens by asserting a robust gender funding gap, whereas the experiment found none as a main effect; the review should add a paragraph conceding that experimental evidence is mixed and that the gap is conditional on industry congruity. Second, the review builds its Stereotype-Content-Model argument and the H9 mediation on the premise that female founders elicit a warmth deficit, but the data show no such deficit and no warmth-based mediation; this section should be reframed toward competence and perceived viability, and warmth mediation marked as exploratory. Third, the extended subsection arguing that self-emotion appraisal is the specific mechanism is contradicted by the null, wrong-signed SEA result, and should be softened from a claim to a candidate hypothesis, supported by recent work noting that dimension-specific EI effects on decision-making are weak and inconsistent. Fourth, the review presents the stereotype that women are more emotional and less able to regulate emotion, yet in this sample women scored higher on measured emotional intelligence, particularly on the appraisal dimensions — an ironic empirical counterpoint worth noting in the discussion.</w:t>
      </w:r>
    </w:p>
    <w:p>
      <w:pPr>
        <w:pStyle w:val="Heading2"/>
      </w:pPr>
      <w:r>
        <w:t>8.3  Literature to Add</w:t>
      </w:r>
    </w:p>
    <w:p>
      <w:pPr>
        <w:spacing w:line="360" w:lineRule="auto"/>
      </w:pPr>
      <w:r>
        <w:t>Several papers should be incorporated. On the contradicting and nuancing side, the Science Advances (2020) study on the penalty for lack of industry fit provides the cleanest prior congruity result and should be engaged directly, since the present data show the industry effect but not the female-specific fit penalty; the crowdfunding warmth-and-competence literature, including Svetek (2023), shows that competence rather than warmth drives women's funding success and that female-led campaigns can raise comparable total amounts; and a 2024 review of ability emotional intelligence documents the weakness of dimension-specific EI effects. On the confirming side, Tonoyan and Strohmeyer (2021) should be drawn on more heavily, and the EI–risk-perception mediation literature can be used to connect the success and risk findings to the EI framework.</w:t>
      </w:r>
    </w:p>
    <w:p>
      <w:pPr>
        <w:pStyle w:val="Heading1"/>
      </w:pPr>
      <w:r>
        <w:t>9. Summary of Hypotheses and Outcomes</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b/>
                <w:sz w:val="20"/>
              </w:rPr>
              <w:t>Hypothesis</w:t>
            </w:r>
          </w:p>
        </w:tc>
        <w:tc>
          <w:tcPr>
            <w:tcW w:type="dxa" w:w="3024"/>
          </w:tcPr>
          <w:p>
            <w:r>
              <w:rPr>
                <w:b/>
                <w:sz w:val="20"/>
              </w:rPr>
              <w:t>Prediction</w:t>
            </w:r>
          </w:p>
        </w:tc>
        <w:tc>
          <w:tcPr>
            <w:tcW w:type="dxa" w:w="3024"/>
          </w:tcPr>
          <w:p>
            <w:r>
              <w:rPr>
                <w:b/>
                <w:sz w:val="20"/>
              </w:rPr>
              <w:t>Outcome</w:t>
            </w:r>
          </w:p>
        </w:tc>
      </w:tr>
      <w:tr>
        <w:tc>
          <w:tcPr>
            <w:tcW w:type="dxa" w:w="3024"/>
          </w:tcPr>
          <w:p>
            <w:r>
              <w:rPr>
                <w:sz w:val="20"/>
              </w:rPr>
              <w:t>H1</w:t>
            </w:r>
          </w:p>
        </w:tc>
        <w:tc>
          <w:tcPr>
            <w:tcW w:type="dxa" w:w="3024"/>
          </w:tcPr>
          <w:p>
            <w:r>
              <w:rPr>
                <w:sz w:val="20"/>
              </w:rPr>
              <w:t>Lower EI → more investment in male-founded startups</w:t>
            </w:r>
          </w:p>
        </w:tc>
        <w:tc>
          <w:tcPr>
            <w:tcW w:type="dxa" w:w="3024"/>
          </w:tcPr>
          <w:p>
            <w:r>
              <w:rPr>
                <w:sz w:val="20"/>
              </w:rPr>
              <w:t>Not supported (all r ≈ 0)</w:t>
            </w:r>
          </w:p>
        </w:tc>
      </w:tr>
      <w:tr>
        <w:tc>
          <w:tcPr>
            <w:tcW w:type="dxa" w:w="3024"/>
          </w:tcPr>
          <w:p>
            <w:r>
              <w:rPr>
                <w:sz w:val="20"/>
              </w:rPr>
              <w:t>H2</w:t>
            </w:r>
          </w:p>
        </w:tc>
        <w:tc>
          <w:tcPr>
            <w:tcW w:type="dxa" w:w="3024"/>
          </w:tcPr>
          <w:p>
            <w:r>
              <w:rPr>
                <w:sz w:val="20"/>
              </w:rPr>
              <w:t>Higher EI → more investment in female-founded startups</w:t>
            </w:r>
          </w:p>
        </w:tc>
        <w:tc>
          <w:tcPr>
            <w:tcW w:type="dxa" w:w="3024"/>
          </w:tcPr>
          <w:p>
            <w:r>
              <w:rPr>
                <w:sz w:val="20"/>
              </w:rPr>
              <w:t>Not supported (all ns)</w:t>
            </w:r>
          </w:p>
        </w:tc>
      </w:tr>
      <w:tr>
        <w:tc>
          <w:tcPr>
            <w:tcW w:type="dxa" w:w="3024"/>
          </w:tcPr>
          <w:p>
            <w:r>
              <w:rPr>
                <w:sz w:val="20"/>
              </w:rPr>
              <w:t>H4</w:t>
            </w:r>
          </w:p>
        </w:tc>
        <w:tc>
          <w:tcPr>
            <w:tcW w:type="dxa" w:w="3024"/>
          </w:tcPr>
          <w:p>
            <w:r>
              <w:rPr>
                <w:sz w:val="20"/>
              </w:rPr>
              <w:t>Low-EI prefer masculine- over feminine-congruent</w:t>
            </w:r>
          </w:p>
        </w:tc>
        <w:tc>
          <w:tcPr>
            <w:tcW w:type="dxa" w:w="3024"/>
          </w:tcPr>
          <w:p>
            <w:r>
              <w:rPr>
                <w:sz w:val="20"/>
              </w:rPr>
              <w:t>Partial / directional (p₁ = .032); fragile</w:t>
            </w:r>
          </w:p>
        </w:tc>
      </w:tr>
      <w:tr>
        <w:tc>
          <w:tcPr>
            <w:tcW w:type="dxa" w:w="3024"/>
          </w:tcPr>
          <w:p>
            <w:r>
              <w:rPr>
                <w:sz w:val="20"/>
              </w:rPr>
              <w:t>H6</w:t>
            </w:r>
          </w:p>
        </w:tc>
        <w:tc>
          <w:tcPr>
            <w:tcW w:type="dxa" w:w="3024"/>
          </w:tcPr>
          <w:p>
            <w:r>
              <w:rPr>
                <w:sz w:val="20"/>
              </w:rPr>
              <w:t>Higher EI → more equal allocation across genders</w:t>
            </w:r>
          </w:p>
        </w:tc>
        <w:tc>
          <w:tcPr>
            <w:tcW w:type="dxa" w:w="3024"/>
          </w:tcPr>
          <w:p>
            <w:r>
              <w:rPr>
                <w:sz w:val="20"/>
              </w:rPr>
              <w:t>Not supported (omnibus p = .705)</w:t>
            </w:r>
          </w:p>
        </w:tc>
      </w:tr>
      <w:tr>
        <w:tc>
          <w:tcPr>
            <w:tcW w:type="dxa" w:w="3024"/>
          </w:tcPr>
          <w:p>
            <w:r>
              <w:rPr>
                <w:sz w:val="20"/>
              </w:rPr>
              <w:t>H7</w:t>
            </w:r>
          </w:p>
        </w:tc>
        <w:tc>
          <w:tcPr>
            <w:tcW w:type="dxa" w:w="3024"/>
          </w:tcPr>
          <w:p>
            <w:r>
              <w:rPr>
                <w:sz w:val="20"/>
              </w:rPr>
              <w:t>EI moderation driven specifically by SEA</w:t>
            </w:r>
          </w:p>
        </w:tc>
        <w:tc>
          <w:tcPr>
            <w:tcW w:type="dxa" w:w="3024"/>
          </w:tcPr>
          <w:p>
            <w:r>
              <w:rPr>
                <w:sz w:val="20"/>
              </w:rPr>
              <w:t>Not supported (SEA p = .77, wrong sign)</w:t>
            </w:r>
          </w:p>
        </w:tc>
      </w:tr>
      <w:tr>
        <w:tc>
          <w:tcPr>
            <w:tcW w:type="dxa" w:w="3024"/>
          </w:tcPr>
          <w:p>
            <w:r>
              <w:rPr>
                <w:sz w:val="20"/>
              </w:rPr>
              <w:t>H8</w:t>
            </w:r>
          </w:p>
        </w:tc>
        <w:tc>
          <w:tcPr>
            <w:tcW w:type="dxa" w:w="3024"/>
          </w:tcPr>
          <w:p>
            <w:r>
              <w:rPr>
                <w:sz w:val="20"/>
              </w:rPr>
              <w:t>EI moderation stronger for male participants</w:t>
            </w:r>
          </w:p>
        </w:tc>
        <w:tc>
          <w:tcPr>
            <w:tcW w:type="dxa" w:w="3024"/>
          </w:tcPr>
          <w:p>
            <w:r>
              <w:rPr>
                <w:sz w:val="20"/>
              </w:rPr>
              <w:t>Not supported (three-way p = .97)</w:t>
            </w:r>
          </w:p>
        </w:tc>
      </w:tr>
      <w:tr>
        <w:tc>
          <w:tcPr>
            <w:tcW w:type="dxa" w:w="3024"/>
          </w:tcPr>
          <w:p>
            <w:r>
              <w:rPr>
                <w:sz w:val="20"/>
              </w:rPr>
              <w:t>H9</w:t>
            </w:r>
          </w:p>
        </w:tc>
        <w:tc>
          <w:tcPr>
            <w:tcW w:type="dxa" w:w="3024"/>
          </w:tcPr>
          <w:p>
            <w:r>
              <w:rPr>
                <w:sz w:val="20"/>
              </w:rPr>
              <w:t>Warmth deficit mediates gap among low-EI</w:t>
            </w:r>
          </w:p>
        </w:tc>
        <w:tc>
          <w:tcPr>
            <w:tcW w:type="dxa" w:w="3024"/>
          </w:tcPr>
          <w:p>
            <w:r>
              <w:rPr>
                <w:sz w:val="20"/>
              </w:rPr>
              <w:t>Not supported (no deficit; indirect CI incl. 0)</w:t>
            </w:r>
          </w:p>
        </w:tc>
      </w:tr>
      <w:tr>
        <w:tc>
          <w:tcPr>
            <w:tcW w:type="dxa" w:w="3024"/>
          </w:tcPr>
          <w:p>
            <w:r>
              <w:rPr>
                <w:sz w:val="20"/>
              </w:rPr>
              <w:t>R1</w:t>
            </w:r>
          </w:p>
        </w:tc>
        <w:tc>
          <w:tcPr>
            <w:tcW w:type="dxa" w:w="3024"/>
          </w:tcPr>
          <w:p>
            <w:r>
              <w:rPr>
                <w:sz w:val="20"/>
              </w:rPr>
              <w:t>Industry effect: SiteVision &gt; BalanceUp</w:t>
            </w:r>
          </w:p>
        </w:tc>
        <w:tc>
          <w:tcPr>
            <w:tcW w:type="dxa" w:w="3024"/>
          </w:tcPr>
          <w:p>
            <w:r>
              <w:rPr>
                <w:sz w:val="20"/>
              </w:rPr>
              <w:t>Supported, robust (p &lt; .001)</w:t>
            </w:r>
          </w:p>
        </w:tc>
      </w:tr>
      <w:tr>
        <w:tc>
          <w:tcPr>
            <w:tcW w:type="dxa" w:w="3024"/>
          </w:tcPr>
          <w:p>
            <w:r>
              <w:rPr>
                <w:sz w:val="20"/>
              </w:rPr>
              <w:t>R2</w:t>
            </w:r>
          </w:p>
        </w:tc>
        <w:tc>
          <w:tcPr>
            <w:tcW w:type="dxa" w:w="3024"/>
          </w:tcPr>
          <w:p>
            <w:r>
              <w:rPr>
                <w:sz w:val="20"/>
              </w:rPr>
              <w:t>Congruity advantage: A &gt; B</w:t>
            </w:r>
          </w:p>
        </w:tc>
        <w:tc>
          <w:tcPr>
            <w:tcW w:type="dxa" w:w="3024"/>
          </w:tcPr>
          <w:p>
            <w:r>
              <w:rPr>
                <w:sz w:val="20"/>
              </w:rPr>
              <w:t>Supported, robust (p = .001, d = .62)</w:t>
            </w:r>
          </w:p>
        </w:tc>
      </w:tr>
      <w:tr>
        <w:tc>
          <w:tcPr>
            <w:tcW w:type="dxa" w:w="3024"/>
          </w:tcPr>
          <w:p>
            <w:r>
              <w:rPr>
                <w:sz w:val="20"/>
              </w:rPr>
              <w:t>R3</w:t>
            </w:r>
          </w:p>
        </w:tc>
        <w:tc>
          <w:tcPr>
            <w:tcW w:type="dxa" w:w="3024"/>
          </w:tcPr>
          <w:p>
            <w:r>
              <w:rPr>
                <w:sz w:val="20"/>
              </w:rPr>
              <w:t>Low-EI masculine-congruent preference</w:t>
            </w:r>
          </w:p>
        </w:tc>
        <w:tc>
          <w:tcPr>
            <w:tcW w:type="dxa" w:w="3024"/>
          </w:tcPr>
          <w:p>
            <w:r>
              <w:rPr>
                <w:sz w:val="20"/>
              </w:rPr>
              <w:t>Supported but fragile (p₁ = .032)</w:t>
            </w:r>
          </w:p>
        </w:tc>
      </w:tr>
    </w:tbl>
    <w:p>
      <w:pPr>
        <w:pStyle w:val="Heading1"/>
      </w:pPr>
      <w:r>
        <w:t>10. Overall Conclusion</w:t>
      </w:r>
    </w:p>
    <w:p>
      <w:pPr>
        <w:spacing w:line="360" w:lineRule="auto"/>
      </w:pPr>
      <w:r>
        <w:t>The analysis does not support a simple account in which emotional intelligence reduces a gender funding gap, principally because no raw gender funding gap was present to be reduced. What the data do show is, first, a strong and robust preference for the male-typed industry; second, a medium-to-large congruity advantage that is driven by that industry's perceived viability rather than by a penalty against female founders; and third, a suggestive but fragile tendency for lower-EI participants to favour the masculine-congruent venture. Across all three results the unifying mechanism is perceived probability of success, and the most serious threat to inference is the dependence of the effects on pitch presentation order. The honest narrative for the thesis is therefore one of a congruity-and-viability effect, conditioned weakly by emotional intelligence and bounded by an order sensitivity that must be reported, rather than a clean demonstration of EI as a debiasing resource.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