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26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(6 Fragen)</w:t>
      </w:r>
    </w:p>
    <w:p>
      <w:pPr>
        <w:spacing w:after="60" w:before="0"/>
        <w:ind w:left="240"/>
      </w:pPr>
      <w:r>
        <w:t xml:space="preserve">Branch — Screen-out: unter 18 Jahre: wenn alter &lt; 18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60-99</w:t>
      </w:r>
    </w:p>
    <w:p>
      <w:pPr>
        <w:spacing w:after="60" w:before="0"/>
        <w:ind w:left="240"/>
      </w:pPr>
      <w:r>
        <w:t xml:space="preserve">Branch — altersgruppe 50-59: wenn alter &lt; 60</w:t>
      </w:r>
    </w:p>
    <w:p>
      <w:pPr>
        <w:spacing w:after="60" w:before="0"/>
        <w:ind w:left="480"/>
      </w:pPr>
      <w:r>
        <w:t xml:space="preserve">Embedded Data: altersgruppe = 50-59</w:t>
      </w:r>
    </w:p>
    <w:p>
      <w:pPr>
        <w:spacing w:after="60" w:before="0"/>
        <w:ind w:left="240"/>
      </w:pPr>
      <w:r>
        <w:t xml:space="preserve">Branch — altersgruppe 40-49: wenn alter &lt; 50</w:t>
      </w:r>
    </w:p>
    <w:p>
      <w:pPr>
        <w:spacing w:after="60" w:before="0"/>
        <w:ind w:left="480"/>
      </w:pPr>
      <w:r>
        <w:t xml:space="preserve">Embedded Data: altersgruppe = 40-49</w:t>
      </w:r>
    </w:p>
    <w:p>
      <w:pPr>
        <w:spacing w:after="60" w:before="0"/>
        <w:ind w:left="240"/>
      </w:pPr>
      <w:r>
        <w:t xml:space="preserve">Branch — altersgruppe 30-39: wenn alter &lt; 40</w:t>
      </w:r>
    </w:p>
    <w:p>
      <w:pPr>
        <w:spacing w:after="60" w:before="0"/>
        <w:ind w:left="480"/>
      </w:pPr>
      <w:r>
        <w:t xml:space="preserve">Embedded Data: altersgruppe = 30-39</w:t>
      </w:r>
    </w:p>
    <w:p>
      <w:pPr>
        <w:spacing w:after="60" w:before="0"/>
        <w:ind w:left="240"/>
      </w:pPr>
      <w:r>
        <w:t xml:space="preserve">Branch — altersgruppe 18-29: wenn alter &lt; 30</w:t>
      </w:r>
    </w:p>
    <w:p>
      <w:pPr>
        <w:spacing w:after="60" w:before="0"/>
        <w:ind w:left="480"/>
      </w:pPr>
      <w:r>
        <w:t xml:space="preserve">Embedded Data: altersgruppe = 18-29</w:t>
      </w:r>
    </w:p>
    <w:p>
      <w:pPr>
        <w:spacing w:after="60" w:before="0"/>
        <w:ind w:left="240"/>
      </w:pPr>
      <w:r>
        <w:t xml:space="preserve">Standard: Markenbekanntheit (4 Fragen)</w:t>
      </w:r>
    </w:p>
    <w:p>
      <w:pPr>
        <w:spacing w:after="60" w:before="0"/>
        <w:ind w:left="240"/>
      </w:pPr>
      <w:r>
        <w:t xml:space="preserve">Branch — Screen-out: NEOH nicht bekannt: wenn bekanntheit = NEOH (13) nicht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Medien (1 Frage)</w:t>
      </w:r>
    </w:p>
    <w:p>
      <w:pPr>
        <w:spacing w:after="60" w:before="0"/>
        <w:ind w:left="240"/>
      </w:pPr>
      <w:r>
        <w:t xml:space="preserve">Standard: Markengesundheit (5 Fragen)</w:t>
      </w:r>
    </w:p>
    <w:p>
      <w:pPr>
        <w:spacing w:after="60" w:before="0"/>
        <w:ind w:left="240"/>
      </w:pPr>
      <w:r>
        <w:t xml:space="preserve">Standard: Markenwahrnehmung (1 Frage)</w:t>
      </w:r>
    </w:p>
    <w:p>
      <w:pPr>
        <w:spacing w:after="60" w:before="0"/>
        <w:ind w:left="240"/>
      </w:pPr>
      <w:r>
        <w:t xml:space="preserve">Standard: Bedürfnisse und Bedeutung (2 Fragen)</w:t>
      </w:r>
    </w:p>
    <w:p>
      <w:pPr>
        <w:spacing w:after="60" w:before="0"/>
        <w:ind w:left="240"/>
      </w:pPr>
      <w:r>
        <w:t xml:space="preserve">Standard: Markteffekte (1 Frage)</w:t>
      </w:r>
    </w:p>
    <w:p>
      <w:pPr>
        <w:spacing w:after="60" w:before="0"/>
        <w:ind w:left="24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Dauer: ca. 10–13 Minuten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2026-09-24T10:37:16.590Z</dcterms:created>
  <dcterms:modified xsi:type="dcterms:W3CDTF">2026-09-24T10:37:16.590Z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