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25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16 Jahre: wenn alter &lt; 16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65+</w:t>
      </w:r>
    </w:p>
    <w:p>
      <w:pPr>
        <w:spacing w:after="60" w:before="0"/>
        <w:ind w:left="240"/>
      </w:pPr>
      <w:r>
        <w:t xml:space="preserve">Branch — altersgruppe 50-64: wenn alter &lt; 65</w:t>
      </w:r>
    </w:p>
    <w:p>
      <w:pPr>
        <w:spacing w:after="60" w:before="0"/>
        <w:ind w:left="480"/>
      </w:pPr>
      <w:r>
        <w:t xml:space="preserve">Embedded Data: altersgruppe = 50-64</w:t>
      </w:r>
    </w:p>
    <w:p>
      <w:pPr>
        <w:spacing w:after="60" w:before="0"/>
        <w:ind w:left="240"/>
      </w:pPr>
      <w:r>
        <w:t xml:space="preserve">Branch — altersgruppe 35-49: wenn alter &lt; 50</w:t>
      </w:r>
    </w:p>
    <w:p>
      <w:pPr>
        <w:spacing w:after="60" w:before="0"/>
        <w:ind w:left="480"/>
      </w:pPr>
      <w:r>
        <w:t xml:space="preserve">Embedded Data: altersgruppe = 35-49</w:t>
      </w:r>
    </w:p>
    <w:p>
      <w:pPr>
        <w:spacing w:after="60" w:before="0"/>
        <w:ind w:left="240"/>
      </w:pPr>
      <w:r>
        <w:t xml:space="preserve">Branch — altersgruppe 25-34: wenn alter &lt; 35</w:t>
      </w:r>
    </w:p>
    <w:p>
      <w:pPr>
        <w:spacing w:after="60" w:before="0"/>
        <w:ind w:left="480"/>
      </w:pPr>
      <w:r>
        <w:t xml:space="preserve">Embedded Data: altersgruppe = 25-34</w:t>
      </w:r>
    </w:p>
    <w:p>
      <w:pPr>
        <w:spacing w:after="60" w:before="0"/>
        <w:ind w:left="240"/>
      </w:pPr>
      <w:r>
        <w:t xml:space="preserve">Branch — altersgruppe 16-24: wenn alter &lt; 25</w:t>
      </w:r>
    </w:p>
    <w:p>
      <w:pPr>
        <w:spacing w:after="60" w:before="0"/>
        <w:ind w:left="480"/>
      </w:pPr>
      <w:r>
        <w:t xml:space="preserve">Embedded Data: altersgruppe = 16-24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(4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2026-09-23T12:31:25.661Z</dcterms:created>
  <dcterms:modified xsi:type="dcterms:W3CDTF">2026-09-23T12:31:25.661Z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