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earlier (Step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3 (Mon 19 Oct) and session 4 (Mon 9 Nov):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eight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w:t>
      </w:r>
      <w:r>
        <w:rPr>
          <w:rFonts w:ascii="Verdana" w:cs="Verdana" w:eastAsia="Verdana" w:hAnsi="Verdana"/>
          <w:b/>
          <w:bCs/>
          <w:sz w:val="19"/>
          <w:szCs w:val="19"/>
        </w:rPr>
        <w:t xml:space="preserve">Each group finds 45 criteria (indicators) by session 3 (Monday 19 October 2026)</w:t>
      </w:r>
      <w:r>
        <w:rPr>
          <w:rFonts w:ascii="Verdana" w:cs="Verdana" w:eastAsia="Verdana" w:hAnsi="Verdana"/>
          <w:sz w:val="19"/>
          <w:szCs w:val="19"/>
        </w:rPr>
        <w:t xml:space="preserve">: 5 political, 10 economic, 10 social, 10 technological, 5 environmental and 5 legal. They should describe the six countries for Julius Meinl. For every criterion give the definition, unit, direction, the </w:t>
      </w:r>
      <w:r>
        <w:rPr>
          <w:rFonts w:ascii="Verdana" w:cs="Verdana" w:eastAsia="Verdana" w:hAnsi="Verdana"/>
          <w:b/>
          <w:bCs/>
          <w:sz w:val="19"/>
          <w:szCs w:val="19"/>
        </w:rPr>
        <w:t xml:space="preserve">source name and a working link</w:t>
      </w:r>
      <w:r>
        <w:rPr>
          <w:rFonts w:ascii="Verdana" w:cs="Verdana" w:eastAsia="Verdana" w:hAnsi="Verdana"/>
          <w:sz w:val="19"/>
          <w:szCs w:val="19"/>
        </w:rPr>
        <w:t xml:space="preserve">, and the steps another group needs to find the data. Check that data exist for all six countries. The source is essential: if your criterion is selected, the groups of the other five countries must find the numbers for their countries with your instructions.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by session 3. The instructor merges the proposals of all groups and preselects the final criteria, again 5 political, 10 economic, 10 social, 10 technological, 5 environmental and 5 legal (section 5). Then the shared sheet "Country scoring model" is published with the selected criteria </w:t>
      </w:r>
      <w:r>
        <w:rPr>
          <w:rFonts w:ascii="Verdana" w:cs="Verdana" w:eastAsia="Verdana" w:hAnsi="Verdana"/>
          <w:sz w:val="19"/>
          <w:szCs w:val="19"/>
          <w:highlight w:val="yellow"/>
        </w:rPr>
        <w:t xml:space="preserve">[date]</w:t>
      </w:r>
      <w:r>
        <w:rPr>
          <w:rFonts w:ascii="Verdana" w:cs="Verdana" w:eastAsia="Verdana" w:hAnsi="Verdana"/>
          <w:sz w:val="19"/>
          <w:szCs w:val="19"/>
        </w:rPr>
        <w:t xml:space="preserve">.</w:t>
      </w:r>
    </w:p>
    <w:p>
      <w:pPr>
        <w:pStyle w:val="Heading2"/>
        <w:keepNext/>
      </w:pPr>
      <w:r>
        <w:rPr>
          <w:rFonts w:ascii="Verdana" w:cs="Verdana" w:eastAsia="Verdana" w:hAnsi="Verdana"/>
        </w:rPr>
        <w:t xml:space="preserve">Step 2  Frame the decision and apply the common criteria</w:t>
      </w:r>
    </w:p>
    <w:p>
      <w:pPr>
        <w:keepNext/>
        <w:spacing w:after="60" w:before="0" w:line="252"/>
      </w:pPr>
      <w:r>
        <w:rPr>
          <w:rFonts w:ascii="Verdana" w:cs="Verdana" w:eastAsia="Verdana" w:hAnsi="Verdana"/>
          <w:sz w:val="19"/>
          <w:szCs w:val="19"/>
        </w:rPr>
        <w:t xml:space="preserve">Write one sentence that says what your model decides, for example: "Which of the six countries offers Julius Meinl the best prospects for launching a premium coffee brand through local partners in hospitality and retail?" Then apply the </w:t>
      </w:r>
      <w:r>
        <w:rPr>
          <w:rFonts w:ascii="Verdana" w:cs="Verdana" w:eastAsia="Verdana" w:hAnsi="Verdana"/>
          <w:b/>
          <w:bCs/>
          <w:sz w:val="19"/>
          <w:szCs w:val="19"/>
        </w:rPr>
        <w:t xml:space="preserve">common criteria</w:t>
      </w:r>
      <w:r>
        <w:rPr>
          <w:rFonts w:ascii="Verdana" w:cs="Verdana" w:eastAsia="Verdana" w:hAnsi="Verdana"/>
          <w:sz w:val="19"/>
          <w:szCs w:val="19"/>
        </w:rPr>
        <w:t xml:space="preserve">: the 45 indicators the instructor selected from the group proposals, grouped under the six PESTEL dimensions (section 5). </w:t>
      </w:r>
      <w:r>
        <w:rPr>
          <w:rFonts w:ascii="Verdana" w:cs="Verdana" w:eastAsia="Verdana" w:hAnsi="Verdana"/>
          <w:b/>
          <w:bCs/>
          <w:sz w:val="19"/>
          <w:szCs w:val="19"/>
        </w:rPr>
        <w:t xml:space="preserve">All groups use the same criteria unchanged</w:t>
      </w:r>
      <w:r>
        <w:rPr>
          <w:rFonts w:ascii="Verdana" w:cs="Verdana" w:eastAsia="Verdana" w:hAnsi="Verdana"/>
          <w:sz w:val="19"/>
          <w:szCs w:val="19"/>
        </w:rPr>
        <w:t xml:space="preserve">, so the six country results are comparable. Rules:</w:t>
      </w:r>
    </w:p>
    <w:p>
      <w:pPr>
        <w:pStyle w:val="ListParagraph"/>
        <w:numPr>
          <w:ilvl w:val="0"/>
          <w:numId w:val="2"/>
        </w:numPr>
        <w:spacing w:after="60" w:line="252"/>
      </w:pPr>
      <w:r>
        <w:rPr>
          <w:rFonts w:ascii="Verdana" w:cs="Verdana" w:eastAsia="Verdana" w:hAnsi="Verdana"/>
          <w:sz w:val="19"/>
          <w:szCs w:val="19"/>
        </w:rPr>
        <w:t xml:space="preserve">Every indicator has a fixed definition, unit and direction (higher is better or lower is better). Do not change them.</w:t>
      </w:r>
    </w:p>
    <w:p>
      <w:pPr>
        <w:pStyle w:val="ListParagraph"/>
        <w:numPr>
          <w:ilvl w:val="0"/>
          <w:numId w:val="2"/>
        </w:numPr>
        <w:spacing w:after="60" w:line="252"/>
      </w:pPr>
      <w:r>
        <w:rPr>
          <w:rFonts w:ascii="Verdana" w:cs="Verdana" w:eastAsia="Verdana" w:hAnsi="Verdana"/>
          <w:sz w:val="19"/>
          <w:szCs w:val="19"/>
        </w:rPr>
        <w:t xml:space="preserve">Qualitative criteria use the same rubric in every group (anchors on the Rubrics sheet). Two team members score independently, then agree and write down the reason.</w:t>
      </w:r>
    </w:p>
    <w:p>
      <w:pPr>
        <w:pStyle w:val="ListParagraph"/>
        <w:numPr>
          <w:ilvl w:val="0"/>
          <w:numId w:val="2"/>
        </w:numPr>
        <w:spacing w:after="100" w:line="252"/>
      </w:pPr>
      <w:r>
        <w:rPr>
          <w:rFonts w:ascii="Verdana" w:cs="Verdana" w:eastAsia="Verdana" w:hAnsi="Verdana"/>
          <w:sz w:val="19"/>
          <w:szCs w:val="19"/>
        </w:rPr>
        <w:t xml:space="preserve">You may add an extra indicator of your own, but label it clearly as an extra: it stays out of the common score.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(slide 2) and a short rationale for each PESTEL dimension: why it matters for Julius Meinl.</w:t>
      </w:r>
    </w:p>
    <w:p>
      <w:pPr>
        <w:pStyle w:val="Heading2"/>
        <w:keepNext/>
      </w:pPr>
      <w:r>
        <w:rPr>
          <w:rFonts w:ascii="Verdana" w:cs="Verdana" w:eastAsia="Verdana" w:hAnsi="Verdana"/>
        </w:rPr>
        <w:t xml:space="preserve">Step 3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4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5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6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7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8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 (example list)</w:t>
      </w:r>
    </w:p>
    <w:p>
      <w:pPr>
        <w:spacing w:after="100" w:before="0" w:line="252"/>
      </w:pPr>
      <w:r>
        <w:rPr>
          <w:rFonts w:ascii="Verdana" w:cs="Verdana" w:eastAsia="Verdana" w:hAnsi="Verdana"/>
          <w:sz w:val="19"/>
          <w:szCs w:val="19"/>
        </w:rPr>
        <w:t xml:space="preserve">The final criteria are selected by the instructor from the proposals of all groups (Step 1): 5 political, 10 economic, 10 social, 10 technological, 5 environmental and 5 legal, 45 in total. The list below is the instructor's example list that starts the search; the selected list may differ. The weight of a dimension is split equally among its indicators. Units, definitions and sources are on the Indicators sheet of the Google Sheet; rubric scores (R) follow the Rubrics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PESTEL dimension</w:t>
            </w:r>
          </w:p>
        </w:tc>
        <w:tc>
          <w:tcPr>
            <w:tcW w:type="dxa" w:w="7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Indicators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Political</w:t>
            </w:r>
            <w:r>
              <w:rPr>
                <w:rFonts w:ascii="Verdana" w:cs="Verdana" w:eastAsia="Verdana" w:hAnsi="Verdana"/>
                <w:sz w:val="15"/>
                <w:szCs w:val="15"/>
              </w:rPr>
              <w:t xml:space="preserve"> (5 indicators, weight 15)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Political stability and absence of violence (WGI)</w:t>
            </w:r>
          </w:p>
          <w:p>
            <w:pPr>
              <w:spacing w:after="40" w:line="240"/>
            </w:pPr>
            <w:r>
              <w:rPr>
                <w:rFonts w:ascii="Verdana" w:cs="Verdana" w:eastAsia="Verdana" w:hAnsi="Verdana"/>
                <w:sz w:val="15"/>
                <w:szCs w:val="15"/>
              </w:rPr>
              <w:t xml:space="preserve">Government effectiveness (WGI)</w:t>
            </w:r>
          </w:p>
          <w:p>
            <w:pPr>
              <w:spacing w:after="40" w:line="240"/>
            </w:pPr>
            <w:r>
              <w:rPr>
                <w:rFonts w:ascii="Verdana" w:cs="Verdana" w:eastAsia="Verdana" w:hAnsi="Verdana"/>
                <w:sz w:val="15"/>
                <w:szCs w:val="15"/>
              </w:rPr>
              <w:t xml:space="preserve">Corruption Perceptions Index</w:t>
            </w:r>
          </w:p>
          <w:p>
            <w:pPr>
              <w:spacing w:after="40" w:line="240"/>
            </w:pPr>
            <w:r>
              <w:rPr>
                <w:rFonts w:ascii="Verdana" w:cs="Verdana" w:eastAsia="Verdana" w:hAnsi="Verdana"/>
                <w:sz w:val="15"/>
                <w:szCs w:val="15"/>
              </w:rPr>
              <w:t xml:space="preserve">Country risk rating (Coface)</w:t>
            </w:r>
          </w:p>
          <w:p>
            <w:pPr>
              <w:spacing w:after="40" w:line="240"/>
            </w:pPr>
            <w:r>
              <w:rPr>
                <w:rFonts w:ascii="Verdana" w:cs="Verdana" w:eastAsia="Verdana" w:hAnsi="Verdana"/>
                <w:sz w:val="15"/>
                <w:szCs w:val="15"/>
              </w:rPr>
              <w:t xml:space="preserve">EU trade agreement with the country (R)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Economic</w:t>
            </w:r>
            <w:r>
              <w:rPr>
                <w:rFonts w:ascii="Verdana" w:cs="Verdana" w:eastAsia="Verdana" w:hAnsi="Verdana"/>
                <w:sz w:val="15"/>
                <w:szCs w:val="15"/>
              </w:rPr>
              <w:t xml:space="preserve"> (10, weight 25)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GDP per capita, PPP</w:t>
            </w:r>
          </w:p>
          <w:p>
            <w:pPr>
              <w:spacing w:after="40" w:line="240"/>
            </w:pPr>
            <w:r>
              <w:rPr>
                <w:rFonts w:ascii="Verdana" w:cs="Verdana" w:eastAsia="Verdana" w:hAnsi="Verdana"/>
                <w:sz w:val="15"/>
                <w:szCs w:val="15"/>
              </w:rPr>
              <w:t xml:space="preserve">GDP growth, projected (IMF)</w:t>
            </w:r>
          </w:p>
          <w:p>
            <w:pPr>
              <w:spacing w:after="40" w:line="240"/>
            </w:pPr>
            <w:r>
              <w:rPr>
                <w:rFonts w:ascii="Verdana" w:cs="Verdana" w:eastAsia="Verdana" w:hAnsi="Verdana"/>
                <w:sz w:val="15"/>
                <w:szCs w:val="15"/>
              </w:rPr>
              <w:t xml:space="preserve">Household consumption per capita</w:t>
            </w:r>
          </w:p>
          <w:p>
            <w:pPr>
              <w:spacing w:after="40" w:line="240"/>
            </w:pPr>
            <w:r>
              <w:rPr>
                <w:rFonts w:ascii="Verdana" w:cs="Verdana" w:eastAsia="Verdana" w:hAnsi="Verdana"/>
                <w:sz w:val="15"/>
                <w:szCs w:val="15"/>
              </w:rPr>
              <w:t xml:space="preserve">Inflation (lower is better)</w:t>
            </w:r>
          </w:p>
          <w:p>
            <w:pPr>
              <w:spacing w:after="40" w:line="240"/>
            </w:pPr>
            <w:r>
              <w:rPr>
                <w:rFonts w:ascii="Verdana" w:cs="Verdana" w:eastAsia="Verdana" w:hAnsi="Verdana"/>
                <w:sz w:val="15"/>
                <w:szCs w:val="15"/>
              </w:rPr>
              <w:t xml:space="preserve">Income inequality, Gini (lower is better)</w:t>
            </w:r>
          </w:p>
          <w:p>
            <w:pPr>
              <w:spacing w:after="40" w:line="240"/>
            </w:pPr>
            <w:r>
              <w:rPr>
                <w:rFonts w:ascii="Verdana" w:cs="Verdana" w:eastAsia="Verdana" w:hAnsi="Verdana"/>
                <w:sz w:val="15"/>
                <w:szCs w:val="15"/>
              </w:rPr>
              <w:t xml:space="preserve">Exchange-rate change against the US dollar (lower is better)</w:t>
            </w:r>
          </w:p>
          <w:p>
            <w:pPr>
              <w:spacing w:after="40" w:line="240"/>
            </w:pPr>
            <w:r>
              <w:rPr>
                <w:rFonts w:ascii="Verdana" w:cs="Verdana" w:eastAsia="Verdana" w:hAnsi="Verdana"/>
                <w:sz w:val="15"/>
                <w:szCs w:val="15"/>
              </w:rPr>
              <w:t xml:space="preserve">Population</w:t>
            </w:r>
          </w:p>
          <w:p>
            <w:pPr>
              <w:spacing w:after="40" w:line="240"/>
            </w:pPr>
            <w:r>
              <w:rPr>
                <w:rFonts w:ascii="Verdana" w:cs="Verdana" w:eastAsia="Verdana" w:hAnsi="Verdana"/>
                <w:sz w:val="15"/>
                <w:szCs w:val="15"/>
              </w:rPr>
              <w:t xml:space="preserve">International tourism receipts</w:t>
            </w:r>
          </w:p>
          <w:p>
            <w:pPr>
              <w:spacing w:after="40" w:line="240"/>
            </w:pPr>
            <w:r>
              <w:rPr>
                <w:rFonts w:ascii="Verdana" w:cs="Verdana" w:eastAsia="Verdana" w:hAnsi="Verdana"/>
                <w:sz w:val="15"/>
                <w:szCs w:val="15"/>
              </w:rPr>
              <w:t xml:space="preserve">Coffee imports, HS 0901</w:t>
            </w:r>
          </w:p>
          <w:p>
            <w:pPr>
              <w:spacing w:after="40" w:line="240"/>
            </w:pPr>
            <w:r>
              <w:rPr>
                <w:rFonts w:ascii="Verdana" w:cs="Verdana" w:eastAsia="Verdana" w:hAnsi="Verdana"/>
                <w:sz w:val="15"/>
                <w:szCs w:val="15"/>
              </w:rPr>
              <w:t xml:space="preserve">Applied tariff on roasted coffee, HS 0901.21, EU origin (lower is better)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Social</w:t>
            </w:r>
            <w:r>
              <w:rPr>
                <w:rFonts w:ascii="Verdana" w:cs="Verdana" w:eastAsia="Verdana" w:hAnsi="Verdana"/>
                <w:sz w:val="15"/>
                <w:szCs w:val="15"/>
              </w:rPr>
              <w:t xml:space="preserve"> (10, weight 25)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consumption per capita</w:t>
            </w:r>
          </w:p>
          <w:p>
            <w:pPr>
              <w:spacing w:after="40" w:line="240"/>
            </w:pPr>
            <w:r>
              <w:rPr>
                <w:rFonts w:ascii="Verdana" w:cs="Verdana" w:eastAsia="Verdana" w:hAnsi="Verdana"/>
                <w:sz w:val="15"/>
                <w:szCs w:val="15"/>
              </w:rPr>
              <w:t xml:space="preserve">International tourist arrivals</w:t>
            </w:r>
          </w:p>
          <w:p>
            <w:pPr>
              <w:spacing w:after="40" w:line="240"/>
            </w:pPr>
            <w:r>
              <w:rPr>
                <w:rFonts w:ascii="Verdana" w:cs="Verdana" w:eastAsia="Verdana" w:hAnsi="Verdana"/>
                <w:sz w:val="15"/>
                <w:szCs w:val="15"/>
              </w:rPr>
              <w:t xml:space="preserve">Share of visitors from Europe</w:t>
            </w:r>
          </w:p>
          <w:p>
            <w:pPr>
              <w:spacing w:after="40" w:line="240"/>
            </w:pPr>
            <w:r>
              <w:rPr>
                <w:rFonts w:ascii="Verdana" w:cs="Verdana" w:eastAsia="Verdana" w:hAnsi="Verdana"/>
                <w:sz w:val="15"/>
                <w:szCs w:val="15"/>
              </w:rPr>
              <w:t xml:space="preserve">Urban population share</w:t>
            </w:r>
          </w:p>
          <w:p>
            <w:pPr>
              <w:spacing w:after="40" w:line="240"/>
            </w:pPr>
            <w:r>
              <w:rPr>
                <w:rFonts w:ascii="Verdana" w:cs="Verdana" w:eastAsia="Verdana" w:hAnsi="Verdana"/>
                <w:sz w:val="15"/>
                <w:szCs w:val="15"/>
              </w:rPr>
              <w:t xml:space="preserve">Cafe culture (R)</w:t>
            </w:r>
          </w:p>
          <w:p>
            <w:pPr>
              <w:spacing w:after="40" w:line="240"/>
            </w:pPr>
            <w:r>
              <w:rPr>
                <w:rFonts w:ascii="Verdana" w:cs="Verdana" w:eastAsia="Verdana" w:hAnsi="Verdana"/>
                <w:sz w:val="15"/>
                <w:szCs w:val="15"/>
              </w:rPr>
              <w:t xml:space="preserve">European influence on coffee culture (R)</w:t>
            </w:r>
          </w:p>
          <w:p>
            <w:pPr>
              <w:spacing w:after="40" w:line="240"/>
            </w:pPr>
            <w:r>
              <w:rPr>
                <w:rFonts w:ascii="Verdana" w:cs="Verdana" w:eastAsia="Verdana" w:hAnsi="Verdana"/>
                <w:sz w:val="15"/>
                <w:szCs w:val="15"/>
              </w:rPr>
              <w:t xml:space="preserve">Human Development Index</w:t>
            </w:r>
          </w:p>
          <w:p>
            <w:pPr>
              <w:spacing w:after="40" w:line="240"/>
            </w:pPr>
            <w:r>
              <w:rPr>
                <w:rFonts w:ascii="Verdana" w:cs="Verdana" w:eastAsia="Verdana" w:hAnsi="Verdana"/>
                <w:sz w:val="15"/>
                <w:szCs w:val="15"/>
              </w:rPr>
              <w:t xml:space="preserve">Specialty cafes in the capital (own count)</w:t>
            </w:r>
          </w:p>
          <w:p>
            <w:pPr>
              <w:spacing w:after="40" w:line="240"/>
            </w:pPr>
            <w:r>
              <w:rPr>
                <w:rFonts w:ascii="Verdana" w:cs="Verdana" w:eastAsia="Verdana" w:hAnsi="Verdana"/>
                <w:sz w:val="15"/>
                <w:szCs w:val="15"/>
              </w:rPr>
              <w:t xml:space="preserve">International-brand hotels in the capital (own count)</w:t>
            </w:r>
          </w:p>
          <w:p>
            <w:pPr>
              <w:spacing w:after="40" w:line="240"/>
            </w:pPr>
            <w:r>
              <w:rPr>
                <w:rFonts w:ascii="Verdana" w:cs="Verdana" w:eastAsia="Verdana" w:hAnsi="Verdana"/>
                <w:sz w:val="15"/>
                <w:szCs w:val="15"/>
              </w:rPr>
              <w:t xml:space="preserve">Tertiary school enrolment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Technological</w:t>
            </w:r>
            <w:r>
              <w:rPr>
                <w:rFonts w:ascii="Verdana" w:cs="Verdana" w:eastAsia="Verdana" w:hAnsi="Verdana"/>
                <w:sz w:val="15"/>
                <w:szCs w:val="15"/>
              </w:rPr>
              <w:t xml:space="preserve"> (10, weight 10)</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Individuals using the Internet</w:t>
            </w:r>
          </w:p>
          <w:p>
            <w:pPr>
              <w:spacing w:after="40" w:line="240"/>
            </w:pPr>
            <w:r>
              <w:rPr>
                <w:rFonts w:ascii="Verdana" w:cs="Verdana" w:eastAsia="Verdana" w:hAnsi="Verdana"/>
                <w:sz w:val="15"/>
                <w:szCs w:val="15"/>
              </w:rPr>
              <w:t xml:space="preserve">Logistics Performance Index</w:t>
            </w:r>
          </w:p>
          <w:p>
            <w:pPr>
              <w:spacing w:after="40" w:line="240"/>
            </w:pPr>
            <w:r>
              <w:rPr>
                <w:rFonts w:ascii="Verdana" w:cs="Verdana" w:eastAsia="Verdana" w:hAnsi="Verdana"/>
                <w:sz w:val="15"/>
                <w:szCs w:val="15"/>
              </w:rPr>
              <w:t xml:space="preserve">Global Innovation Index</w:t>
            </w:r>
          </w:p>
          <w:p>
            <w:pPr>
              <w:spacing w:after="40" w:line="240"/>
            </w:pPr>
            <w:r>
              <w:rPr>
                <w:rFonts w:ascii="Verdana" w:cs="Verdana" w:eastAsia="Verdana" w:hAnsi="Verdana"/>
                <w:sz w:val="15"/>
                <w:szCs w:val="15"/>
              </w:rPr>
              <w:t xml:space="preserve">Online retail and food delivery share</w:t>
            </w:r>
          </w:p>
          <w:p>
            <w:pPr>
              <w:spacing w:after="40" w:line="240"/>
            </w:pPr>
            <w:r>
              <w:rPr>
                <w:rFonts w:ascii="Verdana" w:cs="Verdana" w:eastAsia="Verdana" w:hAnsi="Verdana"/>
                <w:sz w:val="15"/>
                <w:szCs w:val="15"/>
              </w:rPr>
              <w:t xml:space="preserve">Account ownership, adults</w:t>
            </w:r>
          </w:p>
          <w:p>
            <w:pPr>
              <w:spacing w:after="40" w:line="240"/>
            </w:pPr>
            <w:r>
              <w:rPr>
                <w:rFonts w:ascii="Verdana" w:cs="Verdana" w:eastAsia="Verdana" w:hAnsi="Verdana"/>
                <w:sz w:val="15"/>
                <w:szCs w:val="15"/>
              </w:rPr>
              <w:t xml:space="preserve">Mobile cellular subscriptions</w:t>
            </w:r>
          </w:p>
          <w:p>
            <w:pPr>
              <w:spacing w:after="40" w:line="240"/>
            </w:pPr>
            <w:r>
              <w:rPr>
                <w:rFonts w:ascii="Verdana" w:cs="Verdana" w:eastAsia="Verdana" w:hAnsi="Verdana"/>
                <w:sz w:val="15"/>
                <w:szCs w:val="15"/>
              </w:rPr>
              <w:t xml:space="preserve">Fixed broadband subscriptions</w:t>
            </w:r>
          </w:p>
          <w:p>
            <w:pPr>
              <w:spacing w:after="40" w:line="240"/>
            </w:pPr>
            <w:r>
              <w:rPr>
                <w:rFonts w:ascii="Verdana" w:cs="Verdana" w:eastAsia="Verdana" w:hAnsi="Verdana"/>
                <w:sz w:val="15"/>
                <w:szCs w:val="15"/>
              </w:rPr>
              <w:t xml:space="preserve">Secure Internet servers</w:t>
            </w:r>
          </w:p>
          <w:p>
            <w:pPr>
              <w:spacing w:after="40" w:line="240"/>
            </w:pPr>
            <w:r>
              <w:rPr>
                <w:rFonts w:ascii="Verdana" w:cs="Verdana" w:eastAsia="Verdana" w:hAnsi="Verdana"/>
                <w:sz w:val="15"/>
                <w:szCs w:val="15"/>
              </w:rPr>
              <w:t xml:space="preserve">E-Government Development Index</w:t>
            </w:r>
          </w:p>
          <w:p>
            <w:pPr>
              <w:spacing w:after="40" w:line="240"/>
            </w:pPr>
            <w:r>
              <w:rPr>
                <w:rFonts w:ascii="Verdana" w:cs="Verdana" w:eastAsia="Verdana" w:hAnsi="Verdana"/>
                <w:sz w:val="15"/>
                <w:szCs w:val="15"/>
              </w:rPr>
              <w:t xml:space="preserve">Container port traffic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Environmental</w:t>
            </w:r>
            <w:r>
              <w:rPr>
                <w:rFonts w:ascii="Verdana" w:cs="Verdana" w:eastAsia="Verdana" w:hAnsi="Verdana"/>
                <w:sz w:val="15"/>
                <w:szCs w:val="15"/>
              </w:rPr>
              <w:t xml:space="preserve"> (5, weight 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Demand for certified and sustainable coffee (R)</w:t>
            </w:r>
          </w:p>
          <w:p>
            <w:pPr>
              <w:spacing w:after="40" w:line="240"/>
            </w:pPr>
            <w:r>
              <w:rPr>
                <w:rFonts w:ascii="Verdana" w:cs="Verdana" w:eastAsia="Verdana" w:hAnsi="Verdana"/>
                <w:sz w:val="15"/>
                <w:szCs w:val="15"/>
              </w:rPr>
              <w:t xml:space="preserve">Environmental Performance Index</w:t>
            </w:r>
          </w:p>
          <w:p>
            <w:pPr>
              <w:spacing w:after="40" w:line="240"/>
            </w:pPr>
            <w:r>
              <w:rPr>
                <w:rFonts w:ascii="Verdana" w:cs="Verdana" w:eastAsia="Verdana" w:hAnsi="Verdana"/>
                <w:sz w:val="15"/>
                <w:szCs w:val="15"/>
              </w:rPr>
              <w:t xml:space="preserve">Climate vulnerability and readiness (ND-GAIN)</w:t>
            </w:r>
          </w:p>
          <w:p>
            <w:pPr>
              <w:spacing w:after="40" w:line="240"/>
            </w:pPr>
            <w:r>
              <w:rPr>
                <w:rFonts w:ascii="Verdana" w:cs="Verdana" w:eastAsia="Verdana" w:hAnsi="Verdana"/>
                <w:sz w:val="15"/>
                <w:szCs w:val="15"/>
              </w:rPr>
              <w:t xml:space="preserve">Domestic coffee production (lower is better: local competition)</w:t>
            </w:r>
          </w:p>
          <w:p>
            <w:pPr>
              <w:spacing w:after="40" w:line="240"/>
            </w:pPr>
            <w:r>
              <w:rPr>
                <w:rFonts w:ascii="Verdana" w:cs="Verdana" w:eastAsia="Verdana" w:hAnsi="Verdana"/>
                <w:sz w:val="15"/>
                <w:szCs w:val="15"/>
              </w:rPr>
              <w:t xml:space="preserve">Packaging and waste rules for imported goods (R)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Legal</w:t>
            </w:r>
            <w:r>
              <w:rPr>
                <w:rFonts w:ascii="Verdana" w:cs="Verdana" w:eastAsia="Verdana" w:hAnsi="Verdana"/>
                <w:sz w:val="15"/>
                <w:szCs w:val="15"/>
              </w:rPr>
              <w:t xml:space="preserve"> (5, weight 20)</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Regulatory quality (WGI)</w:t>
            </w:r>
          </w:p>
          <w:p>
            <w:pPr>
              <w:spacing w:after="40" w:line="240"/>
            </w:pPr>
            <w:r>
              <w:rPr>
                <w:rFonts w:ascii="Verdana" w:cs="Verdana" w:eastAsia="Verdana" w:hAnsi="Verdana"/>
                <w:sz w:val="15"/>
                <w:szCs w:val="15"/>
              </w:rPr>
              <w:t xml:space="preserve">Rule of law (WGI)</w:t>
            </w:r>
          </w:p>
          <w:p>
            <w:pPr>
              <w:spacing w:after="40" w:line="240"/>
            </w:pPr>
            <w:r>
              <w:rPr>
                <w:rFonts w:ascii="Verdana" w:cs="Verdana" w:eastAsia="Verdana" w:hAnsi="Verdana"/>
                <w:sz w:val="15"/>
                <w:szCs w:val="15"/>
              </w:rPr>
              <w:t xml:space="preserve">Product, labelling and certification requirements for coffee (R)</w:t>
            </w:r>
          </w:p>
          <w:p>
            <w:pPr>
              <w:spacing w:after="40" w:line="240"/>
            </w:pPr>
            <w:r>
              <w:rPr>
                <w:rFonts w:ascii="Verdana" w:cs="Verdana" w:eastAsia="Verdana" w:hAnsi="Verdana"/>
                <w:sz w:val="15"/>
                <w:szCs w:val="15"/>
              </w:rPr>
              <w:t xml:space="preserve">Trademark protection (R)</w:t>
            </w:r>
          </w:p>
          <w:p>
            <w:pPr>
              <w:spacing w:after="40" w:line="240"/>
            </w:pPr>
            <w:r>
              <w:rPr>
                <w:rFonts w:ascii="Verdana" w:cs="Verdana" w:eastAsia="Verdana" w:hAnsi="Verdana"/>
                <w:sz w:val="15"/>
                <w:szCs w:val="15"/>
              </w:rPr>
              <w:t xml:space="preserve">Rules for ending a distribution agreement (R)</w:t>
            </w:r>
          </w:p>
        </w:tc>
      </w:tr>
    </w:tbl>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7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source type of each figure (official statistic, industry report, own count or estimate) in the source list.</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(1) the PowerPoint slides: </w:t>
      </w:r>
      <w:r>
        <w:rPr>
          <w:rFonts w:ascii="Verdana" w:cs="Verdana" w:eastAsia="Verdana" w:hAnsi="Verdana"/>
          <w:b/>
          <w:bCs/>
          <w:sz w:val="19"/>
          <w:szCs w:val="19"/>
        </w:rPr>
        <w:t xml:space="preserve">all numbers are presented in the slides</w:t>
      </w:r>
      <w:r>
        <w:rPr>
          <w:rFonts w:ascii="Verdana" w:cs="Verdana" w:eastAsia="Verdana" w:hAnsi="Verdana"/>
          <w:sz w:val="19"/>
          <w:szCs w:val="19"/>
        </w:rPr>
        <w:t xml:space="preserve">, three to five slides with an overview of the industry, key figures per segment (use charts and tables) and the main trends, closing with the implication for Julius Meinl (where is there room for a Viennese coffee house brand, and where is none?); (2) a </w:t>
      </w:r>
      <w:r>
        <w:rPr>
          <w:rFonts w:ascii="Verdana" w:cs="Verdana" w:eastAsia="Verdana" w:hAnsi="Verdana"/>
          <w:b/>
          <w:bCs/>
          <w:sz w:val="19"/>
          <w:szCs w:val="19"/>
        </w:rPr>
        <w:t xml:space="preserve">source list</w:t>
      </w:r>
      <w:r>
        <w:rPr>
          <w:rFonts w:ascii="Verdana" w:cs="Verdana" w:eastAsia="Verdana" w:hAnsi="Verdana"/>
          <w:sz w:val="19"/>
          <w:szCs w:val="19"/>
        </w:rPr>
        <w:t xml:space="preserve"> in Excel or Google Sheets (template "Industry sources") with one row per number or fact on your slides: segment, statistic, value, unit, year, source, source type, link, date accessed, slide number and quality.</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source list (template "Industry sources"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every source behind the numbers on your industry slides, and (3) a list of the AI tools you used. The industry numbers themselves are shown in the presentation.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Common criteria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collected and documented correctly; normalisation, weights and results explained; rubric scores justified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All four alternative weight sets run correctly;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 Part B adds real industry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completed: 45 proposed criteria with sources, handed in at session 3; data plan for your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r>
              <w:rPr>
                <w:rFonts w:ascii="Verdana" w:cs="Verdana" w:eastAsia="Verdana" w:hAnsi="Verdana"/>
                <w:sz w:val="16"/>
                <w:szCs w:val="16"/>
              </w:rPr>
              <w:t xml:space="preserve"> (Mon 19 Oct)</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After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merges the proposals, selects the final criteria and publishes the shared Country scoring model </w:t>
            </w:r>
            <w:r>
              <w:rPr>
                <w:rFonts w:ascii="Verdana" w:cs="Verdana" w:eastAsia="Verdana" w:hAnsi="Verdana"/>
                <w:sz w:val="16"/>
                <w:szCs w:val="16"/>
                <w:highlight w:val="yellow"/>
              </w:rPr>
              <w:t xml:space="preserve">[date]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r>
              <w:rPr>
                <w:rFonts w:ascii="Verdana" w:cs="Verdana" w:eastAsia="Verdana" w:hAnsi="Verdana"/>
                <w:sz w:val="16"/>
                <w:szCs w:val="16"/>
              </w:rPr>
              <w:t xml:space="preserve"> (Mon 9 Nov)</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r>
              <w:rPr>
                <w:rFonts w:ascii="Verdana" w:cs="Verdana" w:eastAsia="Verdana" w:hAnsi="Verdana"/>
                <w:sz w:val="16"/>
                <w:szCs w:val="16"/>
              </w:rPr>
              <w:t xml:space="preserve"> (9 to 16 Nov)</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r>
              <w:rPr>
                <w:rFonts w:ascii="Verdana" w:cs="Verdana" w:eastAsia="Verdana" w:hAnsi="Verdana"/>
                <w:sz w:val="16"/>
                <w:szCs w:val="16"/>
              </w:rPr>
              <w:t xml:space="preserve"> (Mon 16 Nov, 08:00)</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Double counting.</w:t>
      </w:r>
      <w:r>
        <w:rPr>
          <w:rFonts w:ascii="Verdana" w:cs="Verdana" w:eastAsia="Verdana" w:hAnsi="Verdana"/>
          <w:sz w:val="19"/>
          <w:szCs w:val="19"/>
        </w:rPr>
        <w:t xml:space="preserve"> GDP, population and imports are strongly correlated.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2026-10-13T16:15:18.226Z</dcterms:created>
  <dcterms:modified xsi:type="dcterms:W3CDTF">2026-10-13T16:15:18.226Z</dcterms:modified>
</cp:coreProperties>
</file>

<file path=docProps/custom.xml><?xml version="1.0" encoding="utf-8"?>
<Properties xmlns="http://schemas.openxmlformats.org/officeDocument/2006/custom-properties" xmlns:vt="http://schemas.openxmlformats.org/officeDocument/2006/docPropsVTypes"/>
</file>