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number, chains versus independents, sales, growth, coffee prices</w:t>
      </w:r>
    </w:p>
    <w:p w:rsidR="005D6EAF" w:rsidRPr="008A2AB1" w:rsidRDefault="005D6EAF" w:rsidP="008A2AB1">
      <w:pPr>
        <w:pStyle w:val="ListParagraph"/>
        <w:numPr>
          <w:ilvl w:val="0"/>
          <w:numId w:val="12"/>
        </w:numPr>
        <w:spacing w:after="0" w:line="240" w:lineRule="auto"/>
        <w:rPr>
          <w:lang w:val="en-US"/>
        </w:rPr>
      </w:pPr>
      <w:r>
        <w:rPr>
          <w:lang w:val="en-US"/>
        </w:rPr>
        <w:t>Cafes: number and specialty cafes, chains versus independents, sales, growth, prices of espresso and cappuccino</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and restaurants,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 5 Oct</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 12 Oct</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Find 45 PESTEL Criteria (due session 3)</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 19 Oct</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Collect Data (Country Scoring Model)</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 9 Nov</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 16 Nov</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 23 Nov</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 30 Nov</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 7 Dec</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