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(see the allocation table).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14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14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Fourteen indicators, the same for all groups (proposal; the instructor confirms the final set after Step 1). The second label shows which of Julius Meinl's six dimensions each indicator serves. Rubric scores follow the Rubrics sheet of the Google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22"/>
        <w:gridCol w:w="1900"/>
        <w:gridCol w:w="1950"/>
      </w:tblGrid>
      <w:tr>
        <w:trPr>
          <w:cantSplit/>
          <w:tblHeader/>
        </w:trPr>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 and weight</w:t>
            </w:r>
          </w:p>
        </w:tc>
        <w:tc>
          <w:tcPr>
            <w:tcW w:type="dxa" w:w="37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 (unit)</w:t>
            </w:r>
          </w:p>
        </w:tc>
        <w:tc>
          <w:tcPr>
            <w:tcW w:type="dxa" w:w="1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dimension</w:t>
            </w:r>
          </w:p>
        </w:tc>
        <w:tc>
          <w:tcPr>
            <w:tcW w:type="dxa" w:w="19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Source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(15)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 estimate)</w:t>
            </w:r>
          </w:p>
          <w:p>
            <w:pPr>
              <w:spacing w:after="40" w:line="240"/>
            </w:pPr>
            <w:r>
              <w:rPr>
                <w:rFonts w:ascii="Verdana" w:cs="Verdana" w:eastAsia="Verdana" w:hAnsi="Verdana"/>
                <w:sz w:val="15"/>
                <w:szCs w:val="15"/>
              </w:rPr>
              <w:t xml:space="preserve">EU trade agreement with the country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Country risk</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(international dollars)</w:t>
            </w:r>
          </w:p>
          <w:p>
            <w:pPr>
              <w:spacing w:after="40" w:line="240"/>
            </w:pPr>
            <w:r>
              <w:rPr>
                <w:rFonts w:ascii="Verdana" w:cs="Verdana" w:eastAsia="Verdana" w:hAnsi="Verdana"/>
                <w:sz w:val="15"/>
                <w:szCs w:val="15"/>
              </w:rPr>
              <w:t xml:space="preserve">Household consumption per capita (US dollars)</w:t>
            </w:r>
          </w:p>
          <w:p>
            <w:pPr>
              <w:spacing w:after="40" w:line="240"/>
            </w:pPr>
            <w:r>
              <w:rPr>
                <w:rFonts w:ascii="Verdana" w:cs="Verdana" w:eastAsia="Verdana" w:hAnsi="Verdana"/>
                <w:sz w:val="15"/>
                <w:szCs w:val="15"/>
              </w:rPr>
              <w:t xml:space="preserve">Inflation (% per year; lower is better)</w:t>
            </w:r>
          </w:p>
          <w:p>
            <w:pPr>
              <w:spacing w:after="40" w:line="240"/>
            </w:pPr>
            <w:r>
              <w:rPr>
                <w:rFonts w:ascii="Verdana" w:cs="Verdana" w:eastAsia="Verdana" w:hAnsi="Verdana"/>
                <w:sz w:val="15"/>
                <w:szCs w:val="15"/>
              </w:rPr>
              <w:t xml:space="preserve">Applied tariff on roasted coffee, HS 0901.21, EU origin (%; lower is better)</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EU Access2Markets; WTO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 (kg)</w:t>
            </w:r>
          </w:p>
          <w:p>
            <w:pPr>
              <w:spacing w:after="40" w:line="240"/>
            </w:pPr>
            <w:r>
              <w:rPr>
                <w:rFonts w:ascii="Verdana" w:cs="Verdana" w:eastAsia="Verdana" w:hAnsi="Verdana"/>
                <w:sz w:val="15"/>
                <w:szCs w:val="15"/>
              </w:rPr>
              <w:t xml:space="preserve">International tourist arrivals (number)</w:t>
            </w:r>
          </w:p>
          <w:p>
            <w:pPr>
              <w:spacing w:after="40" w:line="240"/>
            </w:pPr>
            <w:r>
              <w:rPr>
                <w:rFonts w:ascii="Verdana" w:cs="Verdana" w:eastAsia="Verdana" w:hAnsi="Verdana"/>
                <w:sz w:val="15"/>
                <w:szCs w:val="15"/>
              </w:rPr>
              <w:t xml:space="preserve">Cafe culture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culture</w:t>
            </w:r>
          </w:p>
          <w:p>
            <w:pPr>
              <w:spacing w:after="40" w:line="240"/>
            </w:pPr>
            <w:r>
              <w:rPr>
                <w:rFonts w:ascii="Verdana" w:cs="Verdana" w:eastAsia="Verdana" w:hAnsi="Verdana"/>
                <w:sz w:val="15"/>
                <w:szCs w:val="15"/>
              </w:rPr>
              <w:t xml:space="preserve">Tourism and hotels</w:t>
            </w:r>
          </w:p>
          <w:p>
            <w:pPr>
              <w:spacing w:after="40" w:line="240"/>
            </w:pPr>
            <w:r>
              <w:rPr>
                <w:rFonts w:ascii="Verdana" w:cs="Verdana" w:eastAsia="Verdana" w:hAnsi="Verdana"/>
                <w:sz w:val="15"/>
                <w:szCs w:val="15"/>
              </w:rPr>
              <w:t xml:space="preserve">Coffee culture</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w:t>
            </w:r>
          </w:p>
          <w:p>
            <w:pPr>
              <w:spacing w:after="40" w:line="240"/>
            </w:pPr>
            <w:r>
              <w:rPr>
                <w:rFonts w:ascii="Verdana" w:cs="Verdana" w:eastAsia="Verdana" w:hAnsi="Verdana"/>
                <w:sz w:val="15"/>
                <w:szCs w:val="15"/>
              </w:rPr>
              <w:t xml:space="preserve">World Bank WDI (UN Tourism)</w:t>
            </w:r>
          </w:p>
          <w:p>
            <w:pPr>
              <w:spacing w:after="40" w:line="240"/>
            </w:pPr>
            <w:r>
              <w:rPr>
                <w:rFonts w:ascii="Verdana" w:cs="Verdana" w:eastAsia="Verdana" w:hAnsi="Verdana"/>
                <w:sz w:val="15"/>
                <w:szCs w:val="15"/>
              </w:rPr>
              <w:t xml:space="preserve">Own assessment with sources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 (% of population)</w:t>
            </w:r>
          </w:p>
          <w:p>
            <w:pPr>
              <w:spacing w:after="40" w:line="240"/>
            </w:pPr>
            <w:r>
              <w:rPr>
                <w:rFonts w:ascii="Verdana" w:cs="Verdana" w:eastAsia="Verdana" w:hAnsi="Verdana"/>
                <w:sz w:val="15"/>
                <w:szCs w:val="15"/>
              </w:rPr>
              <w:t xml:space="preserve">Logistics Performance Index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LPI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Industry reports, certification bodies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(20)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 estimate)</w:t>
            </w:r>
          </w:p>
          <w:p>
            <w:pPr>
              <w:spacing w:after="40" w:line="240"/>
            </w:pPr>
            <w:r>
              <w:rPr>
                <w:rFonts w:ascii="Verdana" w:cs="Verdana" w:eastAsia="Verdana" w:hAnsi="Verdana"/>
                <w:sz w:val="15"/>
                <w:szCs w:val="15"/>
              </w:rPr>
              <w:t xml:space="preserve">Product, labelling and certification requirements for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Import and regulation</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14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five-forces ratings with evidence,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doc4qq4pqo0nv_x3khmjx">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b-_meedf8vmtxyri1hcso">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do4afqffvaqk_9lv-qtii">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y5aj0suwhebqx-wxexwcd">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fakcgxygyisnsjhmc7gx1">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pn1af7jvqwfxyaatbfyfx">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debmioacxkini6yvl98kl">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gq1nchm1xqipagyziqy0k">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ndmtijvrehblckjnfeia-">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0ptlofnr6emxobjs0zwcb">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jagnfpztt3d9ukyeb4qvi">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sanky7w2vn6vebcvlper6">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ylbhaktcrrv9tpcrsi0lp">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zzt-yqsj1wi0lcbnwonlc">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cqdnadyjzhup6qa2crxw5">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raptvgrctsvge2nqu21n5">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x2s1ljtvjriufr1pzd-vc">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z5e-heetqd3k615amagws">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pqwjsdrr02l4pz6rs93w5">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7l-xewjqeyrlgtfpywy2z">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y-gmticbdbjybb7oboaz8">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y6yotnmmehatulgv0qggx">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c-3jffonmmaew3hcbg_ub">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xqgoyvqn3bhto7spszjha">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hqif7znm-lyvjeq32v87s">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af_dfzzl-xll4qjniagak">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zmp9qgkqa2syasyxw2y4h">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qyzmsfsbrbmunxwqssej2">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drqs6m8tyij3cuewzgion">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tmbxx6eimlzjtirnwindr">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doc4qq4pqo0nv_x3khmjx" Type="http://schemas.openxmlformats.org/officeDocument/2006/relationships/hyperlink" Target="https://github.com/arnefloh-wu/scoring-method-search" TargetMode="External"/><Relationship Id="rIdb-_meedf8vmtxyri1hcso" Type="http://schemas.openxmlformats.org/officeDocument/2006/relationships/hyperlink" Target="https://knowledge4policy.ec.europa.eu/composite-indicators/toolkit_en/your-10-step-pocket-guide-composite-indicators-scoreboards_en" TargetMode="External"/><Relationship Id="rIddo4afqffvaqk_9lv-qtii" Type="http://schemas.openxmlformats.org/officeDocument/2006/relationships/hyperlink" Target="https://doi.org/10.1787/9789264043466-en" TargetMode="External"/><Relationship Id="rIdy5aj0suwhebqx-wxexwcd" Type="http://schemas.openxmlformats.org/officeDocument/2006/relationships/hyperlink" Target="https://doi.org/10.1007/s11205-017-1832-9" TargetMode="External"/><Relationship Id="rIdfakcgxygyisnsjhmc7gx1" Type="http://schemas.openxmlformats.org/officeDocument/2006/relationships/hyperlink" Target="https://bpmsg.com/new-ahp-excel-template-with-multiple-inputs/" TargetMode="External"/><Relationship Id="rIdpn1af7jvqwfxyaatbfyfx" Type="http://schemas.openxmlformats.org/officeDocument/2006/relationships/hyperlink" Target="https://bestworstmethod.com/" TargetMode="External"/><Relationship Id="rIddebmioacxkini6yvl98kl" Type="http://schemas.openxmlformats.org/officeDocument/2006/relationships/hyperlink" Target="https://knowledge4policy.ec.europa.eu/composite-indicators/coin-tool_en" TargetMode="External"/><Relationship Id="rIdgq1nchm1xqipagyziqy0k" Type="http://schemas.openxmlformats.org/officeDocument/2006/relationships/hyperlink" Target="https://globaledge.msu.edu/mpi" TargetMode="External"/><Relationship Id="rIdndmtijvrehblckjnfeia-" Type="http://schemas.openxmlformats.org/officeDocument/2006/relationships/hyperlink" Target="https://doi.org/10.1016/S0007-6813%2897%2990030-6" TargetMode="External"/><Relationship Id="rId0ptlofnr6emxobjs0zwcb" Type="http://schemas.openxmlformats.org/officeDocument/2006/relationships/hyperlink" Target="https://hbr.org/2001/09/distance-still-matters-the-hard-reality-of-global-expansion" TargetMode="External"/><Relationship Id="rIdjagnfpztt3d9ukyeb4qvi" Type="http://schemas.openxmlformats.org/officeDocument/2006/relationships/hyperlink" Target="https://doi.org/10.5539/ijms.v4n6p44" TargetMode="External"/><Relationship Id="rIdsanky7w2vn6vebcvlper6" Type="http://schemas.openxmlformats.org/officeDocument/2006/relationships/hyperlink" Target="https://doi.org/10.1016/j.ecolecon.2016.06.018" TargetMode="External"/><Relationship Id="rIdylbhaktcrrv9tpcrsi0lp" Type="http://schemas.openxmlformats.org/officeDocument/2006/relationships/hyperlink" Target="https://umbraco.exportpotential.intracen.org/media/cklh2pi5/epa-methodology_230627.pdf" TargetMode="External"/><Relationship Id="rIdzzt-yqsj1wi0lcbnwonlc" Type="http://schemas.openxmlformats.org/officeDocument/2006/relationships/hyperlink" Target="https://www.kearney.com/industry/consumer-retail/global-retail-development-index" TargetMode="External"/><Relationship Id="rIdcqdnadyjzhup6qa2crxw5" Type="http://schemas.openxmlformats.org/officeDocument/2006/relationships/hyperlink" Target="https://www.eurazeo.com/sites/default/files/2023-10/Eurazeo-International-Expansion-Playbook-GROWTH.pdf" TargetMode="External"/><Relationship Id="rIdraptvgrctsvge2nqu21n5" Type="http://schemas.openxmlformats.org/officeDocument/2006/relationships/hyperlink" Target="https://www.iveypublishing.ca/s/product/the-espresso-lane-to-global-markets/01t5c00000CwqzKAAR" TargetMode="External"/><Relationship Id="rIdx2s1ljtvjriufr1pzd-vc" Type="http://schemas.openxmlformats.org/officeDocument/2006/relationships/hyperlink" Target="https://www.lightingglobal.org/wp-content/uploads/2018/11/IFC-PAYG-market-attractiveness-index-USER-GUIDE-AND-DATA-1Oct2018.pdf" TargetMode="External"/><Relationship Id="rIdz5e-heetqd3k615amagws" Type="http://schemas.openxmlformats.org/officeDocument/2006/relationships/hyperlink" Target="https://databank.worldbank.org/source/world-development-indicators" TargetMode="External"/><Relationship Id="rIdpqwjsdrr02l4pz6rs93w5" Type="http://schemas.openxmlformats.org/officeDocument/2006/relationships/hyperlink" Target="https://data.imf.org/datasets/WEO" TargetMode="External"/><Relationship Id="rId7l-xewjqeyrlgtfpywy2z" Type="http://schemas.openxmlformats.org/officeDocument/2006/relationships/hyperlink" Target="https://www.worldbank.org/en/publication/worldwide-governance-indicators" TargetMode="External"/><Relationship Id="rIdy-gmticbdbjybb7oboaz8" Type="http://schemas.openxmlformats.org/officeDocument/2006/relationships/hyperlink" Target="https://trade.ec.europa.eu/access-to-markets/en/content/what-access2markets-0" TargetMode="External"/><Relationship Id="rIdy6yotnmmehatulgv0qggx" Type="http://schemas.openxmlformats.org/officeDocument/2006/relationships/hyperlink" Target="https://stats.wto.org/" TargetMode="External"/><Relationship Id="rIdc-3jffonmmaew3hcbg_ub" Type="http://schemas.openxmlformats.org/officeDocument/2006/relationships/hyperlink" Target="https://www.cepii.fr/CEPII/en/bdd_modele/bdd_modele_item.asp?id=8" TargetMode="External"/><Relationship Id="rIdxqgoyvqn3bhto7spszjha" Type="http://schemas.openxmlformats.org/officeDocument/2006/relationships/hyperlink" Target="https://geerthofstede.com/research-and-vsm/dimension-data-matrix/" TargetMode="External"/><Relationship Id="rIdhqif7znm-lyvjeq32v87s" Type="http://schemas.openxmlformats.org/officeDocument/2006/relationships/hyperlink" Target="https://www.coface.com/news-economy-and-insights/business-risk-dashboard/country-risk-files" TargetMode="External"/><Relationship Id="rIdaf_dfzzl-xll4qjniagak" Type="http://schemas.openxmlformats.org/officeDocument/2006/relationships/hyperlink" Target="https://www.euromonitor.com/our-expertise/passport" TargetMode="External"/><Relationship Id="rIdzmp9qgkqa2syasyxw2y4h" Type="http://schemas.openxmlformats.org/officeDocument/2006/relationships/hyperlink" Target="https://www.ico.org/" TargetMode="External"/><Relationship Id="rIdqyzmsfsbrbmunxwqssej2" Type="http://schemas.openxmlformats.org/officeDocument/2006/relationships/hyperlink" Target="https://www.fas.usda.gov/" TargetMode="External"/><Relationship Id="rIddrqs6m8tyij3cuewzgion" Type="http://schemas.openxmlformats.org/officeDocument/2006/relationships/hyperlink" Target="https://www.trademap.org/" TargetMode="External"/><Relationship Id="rIdtmbxx6eimlzjtirnwindr"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2026-10-13T15:58:57.457Z</dcterms:created>
  <dcterms:modified xsi:type="dcterms:W3CDTF">2026-10-13T15:58:57.457Z</dcterms:modified>
</cp:coreProperties>
</file>

<file path=docProps/custom.xml><?xml version="1.0" encoding="utf-8"?>
<Properties xmlns="http://schemas.openxmlformats.org/officeDocument/2006/custom-properties" xmlns:vt="http://schemas.openxmlformats.org/officeDocument/2006/docPropsVTypes"/>
</file>