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and collects its data. The scoring uses one set of criteria and one set of weights for all groups. The criteria are grouped by the six PESTEL dimensions, and the weights are fixed upfront by the instructor. All groups enter their data in a shared Google Sheet. The dimensions are:</w:t>
      </w:r>
    </w:p>
    <w:p w:rsidR="00B959E5" w:rsidRDefault="00B959E5" w:rsidP="00B959E5">
      <w:pPr>
        <w:pStyle w:val="ListParagraph"/>
        <w:numPr>
          <w:ilvl w:val="0"/>
          <w:numId w:val="8"/>
        </w:numPr>
        <w:spacing w:after="0" w:line="240" w:lineRule="auto"/>
        <w:ind w:left="1434" w:hanging="357"/>
      </w:pPr>
      <w:r>
        <w:t>Political: political stability, trade agreement with the EU</w:t>
      </w:r>
    </w:p>
    <w:p w:rsidR="00B959E5" w:rsidRDefault="00B959E5" w:rsidP="00B959E5">
      <w:pPr>
        <w:pStyle w:val="ListParagraph"/>
        <w:numPr>
          <w:ilvl w:val="0"/>
          <w:numId w:val="8"/>
        </w:numPr>
        <w:spacing w:after="0" w:line="240" w:lineRule="auto"/>
        <w:ind w:left="1434" w:hanging="357"/>
      </w:pPr>
      <w:r>
        <w:t>Economic: purchasing power, household consumption, inflation, import tariff</w:t>
      </w:r>
    </w:p>
    <w:p w:rsidR="00B959E5" w:rsidRDefault="00B959E5" w:rsidP="00B959E5">
      <w:pPr>
        <w:pStyle w:val="ListParagraph"/>
        <w:numPr>
          <w:ilvl w:val="0"/>
          <w:numId w:val="8"/>
        </w:numPr>
        <w:spacing w:after="0" w:line="240" w:lineRule="auto"/>
        <w:ind w:left="1434" w:hanging="357"/>
      </w:pPr>
      <w:r>
        <w:t>Social: coffee consumption and cafe culture, tourism</w:t>
      </w:r>
    </w:p>
    <w:p w:rsidR="00B959E5" w:rsidRDefault="00B959E5" w:rsidP="00B959E5">
      <w:pPr>
        <w:pStyle w:val="ListParagraph"/>
        <w:numPr>
          <w:ilvl w:val="0"/>
          <w:numId w:val="8"/>
        </w:numPr>
        <w:spacing w:after="0" w:line="240" w:lineRule="auto"/>
        <w:ind w:left="1434" w:hanging="357"/>
      </w:pPr>
      <w:r>
        <w:t>Technological: digital reach and logistics performance</w:t>
      </w:r>
    </w:p>
    <w:p w:rsidR="00B959E5" w:rsidRDefault="00B959E5" w:rsidP="00B959E5">
      <w:pPr>
        <w:pStyle w:val="ListParagraph"/>
        <w:numPr>
          <w:ilvl w:val="0"/>
          <w:numId w:val="8"/>
        </w:numPr>
        <w:spacing w:after="0" w:line="240" w:lineRule="auto"/>
        <w:ind w:left="1434" w:hanging="357"/>
      </w:pPr>
      <w:r>
        <w:t>Environmental: demand for certified and sustainable coffee</w:t>
      </w:r>
    </w:p>
    <w:p w:rsidR="00B959E5" w:rsidRDefault="00B959E5" w:rsidP="00B959E5">
      <w:pPr>
        <w:pStyle w:val="ListParagraph"/>
        <w:numPr>
          <w:ilvl w:val="0"/>
          <w:numId w:val="8"/>
        </w:numPr>
        <w:spacing w:after="0" w:line="240" w:lineRule="auto"/>
        <w:ind w:left="1434" w:hanging="357"/>
      </w:pPr>
      <w:r>
        <w:t>Legal: regulatory quality, product and labelling requirements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Collect and document the data of the allocated country, including year and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w:t>
      </w:r>
    </w:p>
    <w:p w:rsidR="00B959E5" w:rsidRDefault="00B959E5" w:rsidP="00B959E5">
      <w:pPr>
        <w:pStyle w:val="ListParagraph"/>
        <w:keepNext/>
        <w:spacing w:after="0" w:line="240" w:lineRule="auto"/>
        <w:rPr>
          <w:lang w:val="en-US"/>
        </w:rPr>
      </w:pPr>
      <w:r>
        <w:rPr>
          <w:lang w:val="en-US"/>
        </w:rPr>
        <w:t>Each group conducts a focused analysis of the coffee industry in its allocated country and assesses how attractive it is for a premium newcomer from Vienna. Students should analyze:</w:t>
      </w:r>
    </w:p>
    <w:p w:rsidR="005D6EAF" w:rsidRPr="008A2AB1" w:rsidRDefault="005D6EAF" w:rsidP="008A2AB1">
      <w:pPr>
        <w:pStyle w:val="ListParagraph"/>
        <w:numPr>
          <w:ilvl w:val="0"/>
          <w:numId w:val="12"/>
        </w:numPr>
        <w:spacing w:after="0" w:line="240" w:lineRule="auto"/>
        <w:rPr>
          <w:lang w:val="en-US"/>
        </w:rPr>
      </w:pPr>
      <w:r>
        <w:rPr>
          <w:lang w:val="en-US"/>
        </w:rPr>
        <w:t>Size, growth and demand drivers of the coffee industry, out of home and at home</w:t>
      </w:r>
    </w:p>
    <w:p w:rsidR="005D6EAF" w:rsidRPr="008A2AB1" w:rsidRDefault="005D6EAF" w:rsidP="008A2AB1">
      <w:pPr>
        <w:pStyle w:val="ListParagraph"/>
        <w:numPr>
          <w:ilvl w:val="0"/>
          <w:numId w:val="12"/>
        </w:numPr>
        <w:spacing w:after="0" w:line="240" w:lineRule="auto"/>
        <w:rPr>
          <w:lang w:val="en-US"/>
        </w:rPr>
      </w:pPr>
      <w:r>
        <w:rPr>
          <w:lang w:val="en-US"/>
        </w:rPr>
        <w:t>The value chain from green coffee to the consumer, and where Julius Meinl would enter</w:t>
      </w:r>
    </w:p>
    <w:p w:rsidR="005D6EAF" w:rsidRPr="008A2AB1" w:rsidRDefault="005D6EAF" w:rsidP="008A2AB1">
      <w:pPr>
        <w:pStyle w:val="ListParagraph"/>
        <w:numPr>
          <w:ilvl w:val="0"/>
          <w:numId w:val="12"/>
        </w:numPr>
        <w:spacing w:after="0" w:line="240" w:lineRule="auto"/>
        <w:rPr>
          <w:lang w:val="en-US"/>
        </w:rPr>
      </w:pPr>
      <w:r>
        <w:rPr>
          <w:lang w:val="en-US"/>
        </w:rPr>
        <w:t>The industry structure: types of players, concentration and price positioning</w:t>
      </w:r>
    </w:p>
    <w:p w:rsidR="005D6EAF" w:rsidRPr="008A2AB1" w:rsidRDefault="005D6EAF" w:rsidP="008A2AB1">
      <w:pPr>
        <w:pStyle w:val="ListParagraph"/>
        <w:numPr>
          <w:ilvl w:val="0"/>
          <w:numId w:val="12"/>
        </w:numPr>
        <w:spacing w:after="0" w:line="240" w:lineRule="auto"/>
        <w:rPr>
          <w:lang w:val="en-US"/>
        </w:rPr>
      </w:pPr>
      <w:r>
        <w:rPr>
          <w:lang w:val="en-US"/>
        </w:rPr>
        <w:t>The rules of the game: import conditions and regulations that apply</w:t>
      </w:r>
    </w:p>
    <w:p w:rsidR="005D6EAF" w:rsidRPr="008A2AB1" w:rsidRDefault="005D6EAF" w:rsidP="008A2AB1">
      <w:pPr>
        <w:pStyle w:val="ListParagraph"/>
        <w:numPr>
          <w:ilvl w:val="0"/>
          <w:numId w:val="12"/>
        </w:numPr>
        <w:spacing w:after="0" w:line="240" w:lineRule="auto"/>
        <w:rPr>
          <w:lang w:val="en-US"/>
        </w:rPr>
      </w:pPr>
      <w:r>
        <w:rPr>
          <w:lang w:val="en-US"/>
        </w:rPr>
        <w:t>Trends and outlook for premium coffee</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shelf prices in supermarkets and online shops,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Collect Data, PESTEL Indicator Search</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Normalisation, First Results</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(Mon 16 Nov 2026,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Latin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each group is required to submit one Excel file and one presentation file. The Excel file should contain your country's data with all sources including links, your industry analysis and a list of the AI tools you used. The data of your country are also entered in the shared Google Sheet. The presentation covers the scoring of your allocated country on the common criteria and the industry analysis of that country, and should end with a clear, justified recommendation. The presentation should not exceed 20 minutes (20 slides plus appendix), followed by 10 minutes of discussion. Both files are due on Canvas on Monday 16 November 2026 at 8:00.</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