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criteria (indicators) that could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w:t>
      </w:r>
      <w:r>
        <w:rPr>
          <w:rFonts w:ascii="Verdana" w:cs="Verdana" w:eastAsia="Verdana" w:hAnsi="Verdana"/>
          <w:sz w:val="19"/>
          <w:szCs w:val="19"/>
          <w:highlight w:val="yellow"/>
        </w:rPr>
        <w:t xml:space="preserve">[date]</w:t>
      </w:r>
      <w:r>
        <w:rPr>
          <w:rFonts w:ascii="Verdana" w:cs="Verdana" w:eastAsia="Verdana" w:hAnsi="Verdana"/>
          <w:sz w:val="19"/>
          <w:szCs w:val="19"/>
        </w:rPr>
        <w:t xml:space="preserve">. The instructor merges the proposals of all groups and selects the final criteria: 5 political, 10 economic, 10 social, 10 technological, 5 environmental and 5 legal (section 5). Then the shared sheet "Country scoring model" is published with the selected criteria.</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the 45 indicators the instructor selected from the group proposals,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 (example list)</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list below is the instructor's example list that starts the search; the selected list may differ.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sources")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sources"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(proposed criteria with sources) by </w:t>
            </w:r>
            <w:r>
              <w:rPr>
                <w:rFonts w:ascii="Verdana" w:cs="Verdana" w:eastAsia="Verdana" w:hAnsi="Verdana"/>
                <w:sz w:val="16"/>
                <w:szCs w:val="16"/>
                <w:highlight w:val="yellow"/>
              </w:rPr>
              <w:t xml:space="preserve">[date]</w:t>
            </w:r>
            <w:r>
              <w:rPr>
                <w:rFonts w:ascii="Verdana" w:cs="Verdana" w:eastAsia="Verdana" w:hAnsi="Verdana"/>
                <w:sz w:val="16"/>
                <w:szCs w:val="16"/>
              </w:rPr>
              <w:t xml:space="preserve">;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merges the proposals, selects the final criteria and publishes the shared Country scoring model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im7dbjsr4crdgtmtnl2ey">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4"/>
          <w:szCs w:val="14"/>
        </w:rPr>
        <w:t xml:space="preserve">JRC: 10-step pocket guide to composite indicators (free): </w:t>
      </w:r>
      <w:hyperlink w:history="1" r:id="rIdwoy6cycpdaoslhuitbxja">
        <w:r>
          <w:rPr>
            <w:rStyle w:val="Hyperlink"/>
            <w:rFonts w:ascii="Verdana" w:cs="Verdana" w:eastAsia="Verdana" w:hAnsi="Verdana"/>
            <w:sz w:val="12"/>
            <w:szCs w:val="12"/>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4"/>
          <w:szCs w:val="14"/>
        </w:rPr>
        <w:t xml:space="preserve">OECD/JRC: Handbook on constructing composite indicators (free): </w:t>
      </w:r>
      <w:hyperlink w:history="1" r:id="rId25c-oq4tdsmwvzr8ckgo6">
        <w:r>
          <w:rPr>
            <w:rStyle w:val="Hyperlink"/>
            <w:rFonts w:ascii="Verdana" w:cs="Verdana" w:eastAsia="Verdana" w:hAnsi="Verdana"/>
            <w:sz w:val="12"/>
            <w:szCs w:val="12"/>
          </w:rPr>
          <w:t xml:space="preserve">https://doi.org/10.1787/9789264043466-en</w:t>
        </w:r>
      </w:hyperlink>
    </w:p>
    <w:p>
      <w:pPr>
        <w:pStyle w:val="ListParagraph"/>
        <w:numPr>
          <w:ilvl w:val="0"/>
          <w:numId w:val="2"/>
        </w:numPr>
        <w:spacing w:after="10" w:line="240"/>
      </w:pPr>
      <w:r>
        <w:rPr>
          <w:rFonts w:ascii="Verdana" w:cs="Verdana" w:eastAsia="Verdana" w:hAnsi="Verdana"/>
          <w:sz w:val="14"/>
          <w:szCs w:val="14"/>
        </w:rPr>
        <w:t xml:space="preserve">Greco et al. (2019): weighting and aggregation in composite indices (open access): </w:t>
      </w:r>
      <w:hyperlink w:history="1" r:id="rIdghs-a_u93mzlow26zyns4">
        <w:r>
          <w:rPr>
            <w:rStyle w:val="Hyperlink"/>
            <w:rFonts w:ascii="Verdana" w:cs="Verdana" w:eastAsia="Verdana" w:hAnsi="Verdana"/>
            <w:sz w:val="12"/>
            <w:szCs w:val="12"/>
          </w:rPr>
          <w:t xml:space="preserve">https://doi.org/10.1007/s11205-017-1832-9</w:t>
        </w:r>
      </w:hyperlink>
    </w:p>
    <w:p>
      <w:pPr>
        <w:pStyle w:val="ListParagraph"/>
        <w:numPr>
          <w:ilvl w:val="0"/>
          <w:numId w:val="2"/>
        </w:numPr>
        <w:spacing w:after="10" w:line="240"/>
      </w:pPr>
      <w:r>
        <w:rPr>
          <w:rFonts w:ascii="Verdana" w:cs="Verdana" w:eastAsia="Verdana" w:hAnsi="Verdana"/>
          <w:sz w:val="14"/>
          <w:szCs w:val="14"/>
        </w:rPr>
        <w:t xml:space="preserve">BPMSG: AHP Excel template (free): </w:t>
      </w:r>
      <w:hyperlink w:history="1" r:id="rIdamclggtyjcs2c7nds56fi">
        <w:r>
          <w:rPr>
            <w:rStyle w:val="Hyperlink"/>
            <w:rFonts w:ascii="Verdana" w:cs="Verdana" w:eastAsia="Verdana" w:hAnsi="Verdana"/>
            <w:sz w:val="12"/>
            <w:szCs w:val="12"/>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4"/>
          <w:szCs w:val="14"/>
        </w:rPr>
        <w:t xml:space="preserve">Best-Worst Method solvers (free): </w:t>
      </w:r>
      <w:hyperlink w:history="1" r:id="rIdgdh9qvmiosmi9duqis9iu">
        <w:r>
          <w:rPr>
            <w:rStyle w:val="Hyperlink"/>
            <w:rFonts w:ascii="Verdana" w:cs="Verdana" w:eastAsia="Verdana" w:hAnsi="Verdana"/>
            <w:sz w:val="12"/>
            <w:szCs w:val="12"/>
          </w:rPr>
          <w:t xml:space="preserve">https://bestworstmethod.com/</w:t>
        </w:r>
      </w:hyperlink>
    </w:p>
    <w:p>
      <w:pPr>
        <w:pStyle w:val="ListParagraph"/>
        <w:numPr>
          <w:ilvl w:val="0"/>
          <w:numId w:val="2"/>
        </w:numPr>
        <w:spacing w:after="10" w:line="240"/>
      </w:pPr>
      <w:r>
        <w:rPr>
          <w:rFonts w:ascii="Verdana" w:cs="Verdana" w:eastAsia="Verdana" w:hAnsi="Verdana"/>
          <w:sz w:val="14"/>
          <w:szCs w:val="14"/>
        </w:rPr>
        <w:t xml:space="preserve">JRC COIN Tool, Excel composite indicators (free): </w:t>
      </w:r>
      <w:hyperlink w:history="1" r:id="rId_u_q3uetjafu_hbsmsonw">
        <w:r>
          <w:rPr>
            <w:rStyle w:val="Hyperlink"/>
            <w:rFonts w:ascii="Verdana" w:cs="Verdana" w:eastAsia="Verdana" w:hAnsi="Verdana"/>
            <w:sz w:val="12"/>
            <w:szCs w:val="12"/>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4"/>
          <w:szCs w:val="14"/>
        </w:rPr>
        <w:t xml:space="preserve">globalEDGE Market Potential Index: eight dimensions with published weights (25, 15, 12.5, 12.5, 10, 10, 7.5, 7.5): </w:t>
      </w:r>
      <w:hyperlink w:history="1" r:id="rIdun5ljxrmzwoinyffvcwh1">
        <w:r>
          <w:rPr>
            <w:rStyle w:val="Hyperlink"/>
            <w:rFonts w:ascii="Verdana" w:cs="Verdana" w:eastAsia="Verdana" w:hAnsi="Verdana"/>
            <w:sz w:val="12"/>
            <w:szCs w:val="12"/>
          </w:rPr>
          <w:t xml:space="preserve">https://globaledge.msu.edu/mpi</w:t>
        </w:r>
      </w:hyperlink>
    </w:p>
    <w:p>
      <w:pPr>
        <w:pStyle w:val="ListParagraph"/>
        <w:numPr>
          <w:ilvl w:val="0"/>
          <w:numId w:val="2"/>
        </w:numPr>
        <w:spacing w:after="10" w:line="240"/>
      </w:pPr>
      <w:r>
        <w:rPr>
          <w:rFonts w:ascii="Verdana" w:cs="Verdana" w:eastAsia="Verdana" w:hAnsi="Verdana"/>
          <w:sz w:val="14"/>
          <w:szCs w:val="14"/>
        </w:rPr>
        <w:t xml:space="preserve">Cavusgil (1997): measuring the potential of emerging markets (WU library): </w:t>
      </w:r>
      <w:hyperlink w:history="1" r:id="rIdrk1pavcyhbk29d1-s8sri">
        <w:r>
          <w:rPr>
            <w:rStyle w:val="Hyperlink"/>
            <w:rFonts w:ascii="Verdana" w:cs="Verdana" w:eastAsia="Verdana" w:hAnsi="Verdana"/>
            <w:sz w:val="12"/>
            <w:szCs w:val="12"/>
          </w:rPr>
          <w:t xml:space="preserve">https://doi.org/10.1016/S0007-6813%2897%2990030-6</w:t>
        </w:r>
      </w:hyperlink>
    </w:p>
    <w:p>
      <w:pPr>
        <w:pStyle w:val="ListParagraph"/>
        <w:numPr>
          <w:ilvl w:val="0"/>
          <w:numId w:val="2"/>
        </w:numPr>
        <w:spacing w:after="10" w:line="240"/>
      </w:pPr>
      <w:r>
        <w:rPr>
          <w:rFonts w:ascii="Verdana" w:cs="Verdana" w:eastAsia="Verdana" w:hAnsi="Verdana"/>
          <w:sz w:val="14"/>
          <w:szCs w:val="14"/>
        </w:rPr>
        <w:t xml:space="preserve">Ghemawat (2001): Distance still matters, the CAGE framework (WU library): </w:t>
      </w:r>
      <w:hyperlink w:history="1" r:id="rIdswetbb_iro7-zhxw4vols">
        <w:r>
          <w:rPr>
            <w:rStyle w:val="Hyperlink"/>
            <w:rFonts w:ascii="Verdana" w:cs="Verdana" w:eastAsia="Verdana" w:hAnsi="Verdana"/>
            <w:sz w:val="12"/>
            <w:szCs w:val="12"/>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4"/>
          <w:szCs w:val="14"/>
        </w:rPr>
        <w:t xml:space="preserve">Musso and Francioni: how smaller firms select foreign markets (open access): </w:t>
      </w:r>
      <w:hyperlink w:history="1" r:id="rIdyaxmyjkfv26vhq4jj-7jy">
        <w:r>
          <w:rPr>
            <w:rStyle w:val="Hyperlink"/>
            <w:rFonts w:ascii="Verdana" w:cs="Verdana" w:eastAsia="Verdana" w:hAnsi="Verdana"/>
            <w:sz w:val="12"/>
            <w:szCs w:val="12"/>
          </w:rPr>
          <w:t xml:space="preserve">https://doi.org/10.5539/ijms.v4n6p44</w:t>
        </w:r>
      </w:hyperlink>
    </w:p>
    <w:p>
      <w:pPr>
        <w:pStyle w:val="ListParagraph"/>
        <w:numPr>
          <w:ilvl w:val="0"/>
          <w:numId w:val="2"/>
        </w:numPr>
        <w:spacing w:after="10" w:line="240"/>
      </w:pPr>
      <w:r>
        <w:rPr>
          <w:rFonts w:ascii="Verdana" w:cs="Verdana" w:eastAsia="Verdana" w:hAnsi="Verdana"/>
          <w:sz w:val="14"/>
          <w:szCs w:val="14"/>
        </w:rPr>
        <w:t xml:space="preserve">Pollesch and Dale (2016): normalisation choices (WU library): </w:t>
      </w:r>
      <w:hyperlink w:history="1" r:id="rIddtcrsk9vr2r06hjonxw7v">
        <w:r>
          <w:rPr>
            <w:rStyle w:val="Hyperlink"/>
            <w:rFonts w:ascii="Verdana" w:cs="Verdana" w:eastAsia="Verdana" w:hAnsi="Verdana"/>
            <w:sz w:val="12"/>
            <w:szCs w:val="12"/>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4"/>
          <w:szCs w:val="14"/>
        </w:rPr>
        <w:t xml:space="preserve">ITC Export Potential Map, methodology (free): </w:t>
      </w:r>
      <w:hyperlink w:history="1" r:id="rIdko46l4-olmx0p9d_ny4gc">
        <w:r>
          <w:rPr>
            <w:rStyle w:val="Hyperlink"/>
            <w:rFonts w:ascii="Verdana" w:cs="Verdana" w:eastAsia="Verdana" w:hAnsi="Verdana"/>
            <w:sz w:val="12"/>
            <w:szCs w:val="12"/>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4"/>
          <w:szCs w:val="14"/>
        </w:rPr>
        <w:t xml:space="preserve">Kearney Global Retail Development Index (free): </w:t>
      </w:r>
      <w:hyperlink w:history="1" r:id="rIdhgi198c7wmpfgs7ijlcte">
        <w:r>
          <w:rPr>
            <w:rStyle w:val="Hyperlink"/>
            <w:rFonts w:ascii="Verdana" w:cs="Verdana" w:eastAsia="Verdana" w:hAnsi="Verdana"/>
            <w:sz w:val="12"/>
            <w:szCs w:val="12"/>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4"/>
          <w:szCs w:val="14"/>
        </w:rPr>
        <w:t xml:space="preserve">Eurazeo: International Expansion Playbook (free): </w:t>
      </w:r>
      <w:hyperlink w:history="1" r:id="rIdljegwihwfmte2x06e9epm">
        <w:r>
          <w:rPr>
            <w:rStyle w:val="Hyperlink"/>
            <w:rFonts w:ascii="Verdana" w:cs="Verdana" w:eastAsia="Verdana" w:hAnsi="Verdana"/>
            <w:sz w:val="12"/>
            <w:szCs w:val="12"/>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4"/>
          <w:szCs w:val="14"/>
        </w:rPr>
        <w:t xml:space="preserve">Optional case about coffee: The Espresso Lane to Global Markets, illy (Ivey Publishing, paid): </w:t>
      </w:r>
      <w:hyperlink w:history="1" r:id="rIdpmz0wet3i4qnx45ozwebs">
        <w:r>
          <w:rPr>
            <w:rStyle w:val="Hyperlink"/>
            <w:rFonts w:ascii="Verdana" w:cs="Verdana" w:eastAsia="Verdana" w:hAnsi="Verdana"/>
            <w:sz w:val="12"/>
            <w:szCs w:val="12"/>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4"/>
          <w:szCs w:val="14"/>
        </w:rPr>
        <w:t xml:space="preserve">IFC PAYG Market Attractiveness Index, an Excel tool with user guide (free): </w:t>
      </w:r>
      <w:hyperlink w:history="1" r:id="rId5ikmuivpsntmtmtey6uxu">
        <w:r>
          <w:rPr>
            <w:rStyle w:val="Hyperlink"/>
            <w:rFonts w:ascii="Verdana" w:cs="Verdana" w:eastAsia="Verdana" w:hAnsi="Verdana"/>
            <w:sz w:val="12"/>
            <w:szCs w:val="12"/>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4"/>
          <w:szCs w:val="14"/>
        </w:rPr>
        <w:t xml:space="preserve">World Bank World Development Indicators: </w:t>
      </w:r>
      <w:hyperlink w:history="1" r:id="rIdy-hrsdl9yrqv6sk2gcjlh">
        <w:r>
          <w:rPr>
            <w:rStyle w:val="Hyperlink"/>
            <w:rFonts w:ascii="Verdana" w:cs="Verdana" w:eastAsia="Verdana" w:hAnsi="Verdana"/>
            <w:sz w:val="12"/>
            <w:szCs w:val="12"/>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4"/>
          <w:szCs w:val="14"/>
        </w:rPr>
        <w:t xml:space="preserve">IMF World Economic Outlook: </w:t>
      </w:r>
      <w:hyperlink w:history="1" r:id="rIdzs5zxnwcxu-wacxqhvnfk">
        <w:r>
          <w:rPr>
            <w:rStyle w:val="Hyperlink"/>
            <w:rFonts w:ascii="Verdana" w:cs="Verdana" w:eastAsia="Verdana" w:hAnsi="Verdana"/>
            <w:sz w:val="12"/>
            <w:szCs w:val="12"/>
          </w:rPr>
          <w:t xml:space="preserve">https://data.imf.org/datasets/WEO</w:t>
        </w:r>
      </w:hyperlink>
    </w:p>
    <w:p>
      <w:pPr>
        <w:pStyle w:val="ListParagraph"/>
        <w:numPr>
          <w:ilvl w:val="0"/>
          <w:numId w:val="2"/>
        </w:numPr>
        <w:spacing w:after="10" w:line="240"/>
      </w:pPr>
      <w:r>
        <w:rPr>
          <w:rFonts w:ascii="Verdana" w:cs="Verdana" w:eastAsia="Verdana" w:hAnsi="Verdana"/>
          <w:sz w:val="14"/>
          <w:szCs w:val="14"/>
        </w:rPr>
        <w:t xml:space="preserve">World Bank Worldwide Governance Indicators: </w:t>
      </w:r>
      <w:hyperlink w:history="1" r:id="rIdhketzxoaqavgqunz3j_2r">
        <w:r>
          <w:rPr>
            <w:rStyle w:val="Hyperlink"/>
            <w:rFonts w:ascii="Verdana" w:cs="Verdana" w:eastAsia="Verdana" w:hAnsi="Verdana"/>
            <w:sz w:val="12"/>
            <w:szCs w:val="12"/>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4"/>
          <w:szCs w:val="14"/>
        </w:rPr>
        <w:t xml:space="preserve">EU Access2Markets (tariffs, requirements, rules of origin for EU exporters): </w:t>
      </w:r>
      <w:hyperlink w:history="1" r:id="rIdt8bgtlzc0s3-pe2_rzphn">
        <w:r>
          <w:rPr>
            <w:rStyle w:val="Hyperlink"/>
            <w:rFonts w:ascii="Verdana" w:cs="Verdana" w:eastAsia="Verdana" w:hAnsi="Verdana"/>
            <w:sz w:val="12"/>
            <w:szCs w:val="12"/>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4"/>
          <w:szCs w:val="14"/>
        </w:rPr>
        <w:t xml:space="preserve">WTO tariff and trade data: </w:t>
      </w:r>
      <w:hyperlink w:history="1" r:id="rIdiuzeih4bfqmxu8khc9k7f">
        <w:r>
          <w:rPr>
            <w:rStyle w:val="Hyperlink"/>
            <w:rFonts w:ascii="Verdana" w:cs="Verdana" w:eastAsia="Verdana" w:hAnsi="Verdana"/>
            <w:sz w:val="12"/>
            <w:szCs w:val="12"/>
          </w:rPr>
          <w:t xml:space="preserve">https://stats.wto.org/</w:t>
        </w:r>
      </w:hyperlink>
    </w:p>
    <w:p>
      <w:pPr>
        <w:pStyle w:val="ListParagraph"/>
        <w:numPr>
          <w:ilvl w:val="0"/>
          <w:numId w:val="2"/>
        </w:numPr>
        <w:spacing w:after="10" w:line="240"/>
      </w:pPr>
      <w:r>
        <w:rPr>
          <w:rFonts w:ascii="Verdana" w:cs="Verdana" w:eastAsia="Verdana" w:hAnsi="Verdana"/>
          <w:sz w:val="14"/>
          <w:szCs w:val="14"/>
        </w:rPr>
        <w:t xml:space="preserve">CEPII Gravity database (distance, language; free login): </w:t>
      </w:r>
      <w:hyperlink w:history="1" r:id="rIdajtbbsh-r-nemsg_djm89">
        <w:r>
          <w:rPr>
            <w:rStyle w:val="Hyperlink"/>
            <w:rFonts w:ascii="Verdana" w:cs="Verdana" w:eastAsia="Verdana" w:hAnsi="Verdana"/>
            <w:sz w:val="12"/>
            <w:szCs w:val="12"/>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4"/>
          <w:szCs w:val="14"/>
        </w:rPr>
        <w:t xml:space="preserve">Hofstede dimension data matrix: </w:t>
      </w:r>
      <w:hyperlink w:history="1" r:id="rIdvqnlrhsl9lpm6aravqxzs">
        <w:r>
          <w:rPr>
            <w:rStyle w:val="Hyperlink"/>
            <w:rFonts w:ascii="Verdana" w:cs="Verdana" w:eastAsia="Verdana" w:hAnsi="Verdana"/>
            <w:sz w:val="12"/>
            <w:szCs w:val="12"/>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4"/>
          <w:szCs w:val="14"/>
        </w:rPr>
        <w:t xml:space="preserve">Coface country risk assessments: </w:t>
      </w:r>
      <w:hyperlink w:history="1" r:id="rIdaie1pe9ydkdfhngvjgmsw">
        <w:r>
          <w:rPr>
            <w:rStyle w:val="Hyperlink"/>
            <w:rFonts w:ascii="Verdana" w:cs="Verdana" w:eastAsia="Verdana" w:hAnsi="Verdana"/>
            <w:sz w:val="12"/>
            <w:szCs w:val="12"/>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4"/>
          <w:szCs w:val="14"/>
        </w:rPr>
        <w:t xml:space="preserve">Euromonitor Passport and Statista (WU library; statista.com): </w:t>
      </w:r>
      <w:hyperlink w:history="1" r:id="rIdjmshw6yelyosxmke9q4p8">
        <w:r>
          <w:rPr>
            <w:rStyle w:val="Hyperlink"/>
            <w:rFonts w:ascii="Verdana" w:cs="Verdana" w:eastAsia="Verdana" w:hAnsi="Verdana"/>
            <w:sz w:val="12"/>
            <w:szCs w:val="12"/>
          </w:rPr>
          <w:t xml:space="preserve">https://www.euromonitor.com/our-expertise/passport</w:t>
        </w:r>
      </w:hyperlink>
    </w:p>
    <w:p>
      <w:pPr>
        <w:pStyle w:val="ListParagraph"/>
        <w:numPr>
          <w:ilvl w:val="0"/>
          <w:numId w:val="2"/>
        </w:numPr>
        <w:spacing w:after="10" w:line="240"/>
      </w:pPr>
      <w:r>
        <w:rPr>
          <w:rFonts w:ascii="Verdana" w:cs="Verdana" w:eastAsia="Verdana" w:hAnsi="Verdana"/>
          <w:sz w:val="14"/>
          <w:szCs w:val="14"/>
        </w:rPr>
        <w:t xml:space="preserve">International Coffee Organization: coffee statistics: </w:t>
      </w:r>
      <w:hyperlink w:history="1" r:id="rIdufa6rnxbxrlopxkacmdv9">
        <w:r>
          <w:rPr>
            <w:rStyle w:val="Hyperlink"/>
            <w:rFonts w:ascii="Verdana" w:cs="Verdana" w:eastAsia="Verdana" w:hAnsi="Verdana"/>
            <w:sz w:val="12"/>
            <w:szCs w:val="12"/>
          </w:rPr>
          <w:t xml:space="preserve">https://www.ico.org/</w:t>
        </w:r>
      </w:hyperlink>
    </w:p>
    <w:p>
      <w:pPr>
        <w:pStyle w:val="ListParagraph"/>
        <w:numPr>
          <w:ilvl w:val="0"/>
          <w:numId w:val="2"/>
        </w:numPr>
        <w:spacing w:after="10" w:line="240"/>
      </w:pPr>
      <w:r>
        <w:rPr>
          <w:rFonts w:ascii="Verdana" w:cs="Verdana" w:eastAsia="Verdana" w:hAnsi="Verdana"/>
          <w:sz w:val="14"/>
          <w:szCs w:val="14"/>
        </w:rPr>
        <w:t xml:space="preserve">USDA Foreign Agricultural Service: annual coffee reports by country (search for your countries): </w:t>
      </w:r>
      <w:hyperlink w:history="1" r:id="rIdiut959ot_8b70g5lvyet5">
        <w:r>
          <w:rPr>
            <w:rStyle w:val="Hyperlink"/>
            <w:rFonts w:ascii="Verdana" w:cs="Verdana" w:eastAsia="Verdana" w:hAnsi="Verdana"/>
            <w:sz w:val="12"/>
            <w:szCs w:val="12"/>
          </w:rPr>
          <w:t xml:space="preserve">https://www.fas.usda.gov/</w:t>
        </w:r>
      </w:hyperlink>
    </w:p>
    <w:p>
      <w:pPr>
        <w:pStyle w:val="ListParagraph"/>
        <w:numPr>
          <w:ilvl w:val="0"/>
          <w:numId w:val="2"/>
        </w:numPr>
        <w:spacing w:after="10" w:line="240"/>
      </w:pPr>
      <w:r>
        <w:rPr>
          <w:rFonts w:ascii="Verdana" w:cs="Verdana" w:eastAsia="Verdana" w:hAnsi="Verdana"/>
          <w:sz w:val="14"/>
          <w:szCs w:val="14"/>
        </w:rPr>
        <w:t xml:space="preserve">UN Comtrade (comtradeplus.un.org) and ITC Trade Map (free login): coffee trade flows and tariffs, HS 0901: </w:t>
      </w:r>
      <w:hyperlink w:history="1" r:id="rId5dehjnnglprqycdifhcty">
        <w:r>
          <w:rPr>
            <w:rStyle w:val="Hyperlink"/>
            <w:rFonts w:ascii="Verdana" w:cs="Verdana" w:eastAsia="Verdana" w:hAnsi="Verdana"/>
            <w:sz w:val="12"/>
            <w:szCs w:val="12"/>
          </w:rPr>
          <w:t xml:space="preserve">https://www.trademap.org/</w:t>
        </w:r>
      </w:hyperlink>
    </w:p>
    <w:p>
      <w:pPr>
        <w:pStyle w:val="ListParagraph"/>
        <w:numPr>
          <w:ilvl w:val="0"/>
          <w:numId w:val="2"/>
        </w:numPr>
        <w:spacing w:after="10" w:line="240"/>
      </w:pPr>
      <w:r>
        <w:rPr>
          <w:rFonts w:ascii="Verdana" w:cs="Verdana" w:eastAsia="Verdana" w:hAnsi="Verdana"/>
          <w:sz w:val="14"/>
          <w:szCs w:val="14"/>
        </w:rPr>
        <w:t xml:space="preserve">WKO AUSSENWIRTSCHAFT: reports and country profiles: </w:t>
      </w:r>
      <w:hyperlink w:history="1" r:id="rIdldvj69_9y2lwypbg3sm9p">
        <w:r>
          <w:rPr>
            <w:rStyle w:val="Hyperlink"/>
            <w:rFonts w:ascii="Verdana" w:cs="Verdana" w:eastAsia="Verdana" w:hAnsi="Verdana"/>
            <w:sz w:val="12"/>
            <w:szCs w:val="12"/>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m7dbjsr4crdgtmtnl2ey" Type="http://schemas.openxmlformats.org/officeDocument/2006/relationships/hyperlink" Target="https://github.com/arnefloh-wu/scoring-method-search" TargetMode="External"/><Relationship Id="rIdwoy6cycpdaoslhuitbxja" Type="http://schemas.openxmlformats.org/officeDocument/2006/relationships/hyperlink" Target="https://knowledge4policy.ec.europa.eu/composite-indicators/toolkit_en/your-10-step-pocket-guide-composite-indicators-scoreboards_en" TargetMode="External"/><Relationship Id="rId25c-oq4tdsmwvzr8ckgo6" Type="http://schemas.openxmlformats.org/officeDocument/2006/relationships/hyperlink" Target="https://doi.org/10.1787/9789264043466-en" TargetMode="External"/><Relationship Id="rIdghs-a_u93mzlow26zyns4" Type="http://schemas.openxmlformats.org/officeDocument/2006/relationships/hyperlink" Target="https://doi.org/10.1007/s11205-017-1832-9" TargetMode="External"/><Relationship Id="rIdamclggtyjcs2c7nds56fi" Type="http://schemas.openxmlformats.org/officeDocument/2006/relationships/hyperlink" Target="https://bpmsg.com/new-ahp-excel-template-with-multiple-inputs/" TargetMode="External"/><Relationship Id="rIdgdh9qvmiosmi9duqis9iu" Type="http://schemas.openxmlformats.org/officeDocument/2006/relationships/hyperlink" Target="https://bestworstmethod.com/" TargetMode="External"/><Relationship Id="rId_u_q3uetjafu_hbsmsonw" Type="http://schemas.openxmlformats.org/officeDocument/2006/relationships/hyperlink" Target="https://knowledge4policy.ec.europa.eu/composite-indicators/coin-tool_en" TargetMode="External"/><Relationship Id="rIdun5ljxrmzwoinyffvcwh1" Type="http://schemas.openxmlformats.org/officeDocument/2006/relationships/hyperlink" Target="https://globaledge.msu.edu/mpi" TargetMode="External"/><Relationship Id="rIdrk1pavcyhbk29d1-s8sri" Type="http://schemas.openxmlformats.org/officeDocument/2006/relationships/hyperlink" Target="https://doi.org/10.1016/S0007-6813%2897%2990030-6" TargetMode="External"/><Relationship Id="rIdswetbb_iro7-zhxw4vols" Type="http://schemas.openxmlformats.org/officeDocument/2006/relationships/hyperlink" Target="https://hbr.org/2001/09/distance-still-matters-the-hard-reality-of-global-expansion" TargetMode="External"/><Relationship Id="rIdyaxmyjkfv26vhq4jj-7jy" Type="http://schemas.openxmlformats.org/officeDocument/2006/relationships/hyperlink" Target="https://doi.org/10.5539/ijms.v4n6p44" TargetMode="External"/><Relationship Id="rIddtcrsk9vr2r06hjonxw7v" Type="http://schemas.openxmlformats.org/officeDocument/2006/relationships/hyperlink" Target="https://doi.org/10.1016/j.ecolecon.2016.06.018" TargetMode="External"/><Relationship Id="rIdko46l4-olmx0p9d_ny4gc" Type="http://schemas.openxmlformats.org/officeDocument/2006/relationships/hyperlink" Target="https://umbraco.exportpotential.intracen.org/media/cklh2pi5/epa-methodology_230627.pdf" TargetMode="External"/><Relationship Id="rIdhgi198c7wmpfgs7ijlcte" Type="http://schemas.openxmlformats.org/officeDocument/2006/relationships/hyperlink" Target="https://www.kearney.com/industry/consumer-retail/global-retail-development-index" TargetMode="External"/><Relationship Id="rIdljegwihwfmte2x06e9epm" Type="http://schemas.openxmlformats.org/officeDocument/2006/relationships/hyperlink" Target="https://www.eurazeo.com/sites/default/files/2023-10/Eurazeo-International-Expansion-Playbook-GROWTH.pdf" TargetMode="External"/><Relationship Id="rIdpmz0wet3i4qnx45ozwebs" Type="http://schemas.openxmlformats.org/officeDocument/2006/relationships/hyperlink" Target="https://www.iveypublishing.ca/s/product/the-espresso-lane-to-global-markets/01t5c00000CwqzKAAR" TargetMode="External"/><Relationship Id="rId5ikmuivpsntmtmtey6uxu" Type="http://schemas.openxmlformats.org/officeDocument/2006/relationships/hyperlink" Target="https://www.lightingglobal.org/wp-content/uploads/2018/11/IFC-PAYG-market-attractiveness-index-USER-GUIDE-AND-DATA-1Oct2018.pdf" TargetMode="External"/><Relationship Id="rIdy-hrsdl9yrqv6sk2gcjlh" Type="http://schemas.openxmlformats.org/officeDocument/2006/relationships/hyperlink" Target="https://databank.worldbank.org/source/world-development-indicators" TargetMode="External"/><Relationship Id="rIdzs5zxnwcxu-wacxqhvnfk" Type="http://schemas.openxmlformats.org/officeDocument/2006/relationships/hyperlink" Target="https://data.imf.org/datasets/WEO" TargetMode="External"/><Relationship Id="rIdhketzxoaqavgqunz3j_2r" Type="http://schemas.openxmlformats.org/officeDocument/2006/relationships/hyperlink" Target="https://www.worldbank.org/en/publication/worldwide-governance-indicators" TargetMode="External"/><Relationship Id="rIdt8bgtlzc0s3-pe2_rzphn" Type="http://schemas.openxmlformats.org/officeDocument/2006/relationships/hyperlink" Target="https://trade.ec.europa.eu/access-to-markets/en/content/what-access2markets-0" TargetMode="External"/><Relationship Id="rIdiuzeih4bfqmxu8khc9k7f" Type="http://schemas.openxmlformats.org/officeDocument/2006/relationships/hyperlink" Target="https://stats.wto.org/" TargetMode="External"/><Relationship Id="rIdajtbbsh-r-nemsg_djm89" Type="http://schemas.openxmlformats.org/officeDocument/2006/relationships/hyperlink" Target="https://www.cepii.fr/CEPII/en/bdd_modele/bdd_modele_item.asp?id=8" TargetMode="External"/><Relationship Id="rIdvqnlrhsl9lpm6aravqxzs" Type="http://schemas.openxmlformats.org/officeDocument/2006/relationships/hyperlink" Target="https://geerthofstede.com/research-and-vsm/dimension-data-matrix/" TargetMode="External"/><Relationship Id="rIdaie1pe9ydkdfhngvjgmsw" Type="http://schemas.openxmlformats.org/officeDocument/2006/relationships/hyperlink" Target="https://www.coface.com/news-economy-and-insights/business-risk-dashboard/country-risk-files" TargetMode="External"/><Relationship Id="rIdjmshw6yelyosxmke9q4p8" Type="http://schemas.openxmlformats.org/officeDocument/2006/relationships/hyperlink" Target="https://www.euromonitor.com/our-expertise/passport" TargetMode="External"/><Relationship Id="rIdufa6rnxbxrlopxkacmdv9" Type="http://schemas.openxmlformats.org/officeDocument/2006/relationships/hyperlink" Target="https://www.ico.org/" TargetMode="External"/><Relationship Id="rIdiut959ot_8b70g5lvyet5" Type="http://schemas.openxmlformats.org/officeDocument/2006/relationships/hyperlink" Target="https://www.fas.usda.gov/" TargetMode="External"/><Relationship Id="rId5dehjnnglprqycdifhcty" Type="http://schemas.openxmlformats.org/officeDocument/2006/relationships/hyperlink" Target="https://www.trademap.org/" TargetMode="External"/><Relationship Id="rIdldvj69_9y2lwypbg3sm9p"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2026-10-13T16:10:59.237Z</dcterms:created>
  <dcterms:modified xsi:type="dcterms:W3CDTF">2026-10-13T16:10:59.237Z</dcterms:modified>
</cp:coreProperties>
</file>

<file path=docProps/custom.xml><?xml version="1.0" encoding="utf-8"?>
<Properties xmlns="http://schemas.openxmlformats.org/officeDocument/2006/custom-properties" xmlns:vt="http://schemas.openxmlformats.org/officeDocument/2006/docPropsVTypes"/>
</file>