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criteria (indicators) that could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w:t>
      </w:r>
      <w:r>
        <w:rPr>
          <w:rFonts w:ascii="Verdana" w:cs="Verdana" w:eastAsia="Verdana" w:hAnsi="Verdana"/>
          <w:sz w:val="19"/>
          <w:szCs w:val="19"/>
          <w:highlight w:val="yellow"/>
        </w:rPr>
        <w:t xml:space="preserve">[date]</w:t>
      </w:r>
      <w:r>
        <w:rPr>
          <w:rFonts w:ascii="Verdana" w:cs="Verdana" w:eastAsia="Verdana" w:hAnsi="Verdana"/>
          <w:sz w:val="19"/>
          <w:szCs w:val="19"/>
        </w:rPr>
        <w:t xml:space="preserve">. The instructor merges the proposals of all groups and selects the final criteria: 5 political, 10 economic, 10 social, 10 technological, 5 environmental and 5 legal (section 5). Then the shared sheet "Country scoring model" is published with the selected criteria.</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the 45 indicators the instructor selected from the group proposals,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4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 (example list)</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list below is the instructor's example list that starts the search; the selected list may differ. The weight of a dimension is split equally among its indicators. Units, definitions and sources are on the Indicators sheet of the Google Sheet; rubric scores (R) follow the Rubrics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w:t>
            </w:r>
          </w:p>
        </w:tc>
        <w:tc>
          <w:tcPr>
            <w:tcW w:type="dxa" w:w="7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(5 indicators, weight 15)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w:t>
            </w:r>
          </w:p>
          <w:p>
            <w:pPr>
              <w:spacing w:after="40" w:line="240"/>
            </w:pPr>
            <w:r>
              <w:rPr>
                <w:rFonts w:ascii="Verdana" w:cs="Verdana" w:eastAsia="Verdana" w:hAnsi="Verdana"/>
                <w:sz w:val="15"/>
                <w:szCs w:val="15"/>
              </w:rPr>
              <w:t xml:space="preserve">Government effectiveness (WGI)</w:t>
            </w:r>
          </w:p>
          <w:p>
            <w:pPr>
              <w:spacing w:after="40" w:line="240"/>
            </w:pPr>
            <w:r>
              <w:rPr>
                <w:rFonts w:ascii="Verdana" w:cs="Verdana" w:eastAsia="Verdana" w:hAnsi="Verdana"/>
                <w:sz w:val="15"/>
                <w:szCs w:val="15"/>
              </w:rPr>
              <w:t xml:space="preserve">Corruption Perceptions Index</w:t>
            </w:r>
          </w:p>
          <w:p>
            <w:pPr>
              <w:spacing w:after="40" w:line="240"/>
            </w:pPr>
            <w:r>
              <w:rPr>
                <w:rFonts w:ascii="Verdana" w:cs="Verdana" w:eastAsia="Verdana" w:hAnsi="Verdana"/>
                <w:sz w:val="15"/>
                <w:szCs w:val="15"/>
              </w:rPr>
              <w:t xml:space="preserve">Country risk rating (Coface)</w:t>
            </w:r>
          </w:p>
          <w:p>
            <w:pPr>
              <w:spacing w:after="40" w:line="240"/>
            </w:pPr>
            <w:r>
              <w:rPr>
                <w:rFonts w:ascii="Verdana" w:cs="Verdana" w:eastAsia="Verdana" w:hAnsi="Verdana"/>
                <w:sz w:val="15"/>
                <w:szCs w:val="15"/>
              </w:rPr>
              <w:t xml:space="preserve">EU trade agreement with the country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w:t>
            </w:r>
          </w:p>
          <w:p>
            <w:pPr>
              <w:spacing w:after="40" w:line="240"/>
            </w:pPr>
            <w:r>
              <w:rPr>
                <w:rFonts w:ascii="Verdana" w:cs="Verdana" w:eastAsia="Verdana" w:hAnsi="Verdana"/>
                <w:sz w:val="15"/>
                <w:szCs w:val="15"/>
              </w:rPr>
              <w:t xml:space="preserve">GDP growth, projected (IMF)</w:t>
            </w:r>
          </w:p>
          <w:p>
            <w:pPr>
              <w:spacing w:after="40" w:line="240"/>
            </w:pPr>
            <w:r>
              <w:rPr>
                <w:rFonts w:ascii="Verdana" w:cs="Verdana" w:eastAsia="Verdana" w:hAnsi="Verdana"/>
                <w:sz w:val="15"/>
                <w:szCs w:val="15"/>
              </w:rPr>
              <w:t xml:space="preserve">Household consumption per capita</w:t>
            </w:r>
          </w:p>
          <w:p>
            <w:pPr>
              <w:spacing w:after="40" w:line="240"/>
            </w:pPr>
            <w:r>
              <w:rPr>
                <w:rFonts w:ascii="Verdana" w:cs="Verdana" w:eastAsia="Verdana" w:hAnsi="Verdana"/>
                <w:sz w:val="15"/>
                <w:szCs w:val="15"/>
              </w:rPr>
              <w:t xml:space="preserve">Inflation (lower is better)</w:t>
            </w:r>
          </w:p>
          <w:p>
            <w:pPr>
              <w:spacing w:after="40" w:line="240"/>
            </w:pPr>
            <w:r>
              <w:rPr>
                <w:rFonts w:ascii="Verdana" w:cs="Verdana" w:eastAsia="Verdana" w:hAnsi="Verdana"/>
                <w:sz w:val="15"/>
                <w:szCs w:val="15"/>
              </w:rPr>
              <w:t xml:space="preserve">Income inequality, Gini (lower is better)</w:t>
            </w:r>
          </w:p>
          <w:p>
            <w:pPr>
              <w:spacing w:after="40" w:line="240"/>
            </w:pPr>
            <w:r>
              <w:rPr>
                <w:rFonts w:ascii="Verdana" w:cs="Verdana" w:eastAsia="Verdana" w:hAnsi="Verdana"/>
                <w:sz w:val="15"/>
                <w:szCs w:val="15"/>
              </w:rPr>
              <w:t xml:space="preserve">Exchange-rate change against the US dollar (lower is better)</w:t>
            </w:r>
          </w:p>
          <w:p>
            <w:pPr>
              <w:spacing w:after="40" w:line="240"/>
            </w:pPr>
            <w:r>
              <w:rPr>
                <w:rFonts w:ascii="Verdana" w:cs="Verdana" w:eastAsia="Verdana" w:hAnsi="Verdana"/>
                <w:sz w:val="15"/>
                <w:szCs w:val="15"/>
              </w:rPr>
              <w:t xml:space="preserve">Population</w:t>
            </w:r>
          </w:p>
          <w:p>
            <w:pPr>
              <w:spacing w:after="40" w:line="240"/>
            </w:pPr>
            <w:r>
              <w:rPr>
                <w:rFonts w:ascii="Verdana" w:cs="Verdana" w:eastAsia="Verdana" w:hAnsi="Verdana"/>
                <w:sz w:val="15"/>
                <w:szCs w:val="15"/>
              </w:rPr>
              <w:t xml:space="preserve">International tourism receipts</w:t>
            </w:r>
          </w:p>
          <w:p>
            <w:pPr>
              <w:spacing w:after="40" w:line="240"/>
            </w:pPr>
            <w:r>
              <w:rPr>
                <w:rFonts w:ascii="Verdana" w:cs="Verdana" w:eastAsia="Verdana" w:hAnsi="Verdana"/>
                <w:sz w:val="15"/>
                <w:szCs w:val="15"/>
              </w:rPr>
              <w:t xml:space="preserve">Coffee imports, HS 0901</w:t>
            </w:r>
          </w:p>
          <w:p>
            <w:pPr>
              <w:spacing w:after="40" w:line="240"/>
            </w:pPr>
            <w:r>
              <w:rPr>
                <w:rFonts w:ascii="Verdana" w:cs="Verdana" w:eastAsia="Verdana" w:hAnsi="Verdana"/>
                <w:sz w:val="15"/>
                <w:szCs w:val="15"/>
              </w:rPr>
              <w:t xml:space="preserve">Applied tariff on roasted coffee, HS 0901.21, EU origin (lower is better)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w:t>
            </w:r>
          </w:p>
          <w:p>
            <w:pPr>
              <w:spacing w:after="40" w:line="240"/>
            </w:pPr>
            <w:r>
              <w:rPr>
                <w:rFonts w:ascii="Verdana" w:cs="Verdana" w:eastAsia="Verdana" w:hAnsi="Verdana"/>
                <w:sz w:val="15"/>
                <w:szCs w:val="15"/>
              </w:rPr>
              <w:t xml:space="preserve">International tourist arrivals</w:t>
            </w:r>
          </w:p>
          <w:p>
            <w:pPr>
              <w:spacing w:after="40" w:line="240"/>
            </w:pPr>
            <w:r>
              <w:rPr>
                <w:rFonts w:ascii="Verdana" w:cs="Verdana" w:eastAsia="Verdana" w:hAnsi="Verdana"/>
                <w:sz w:val="15"/>
                <w:szCs w:val="15"/>
              </w:rPr>
              <w:t xml:space="preserve">Share of visitors from Europe</w:t>
            </w:r>
          </w:p>
          <w:p>
            <w:pPr>
              <w:spacing w:after="40" w:line="240"/>
            </w:pPr>
            <w:r>
              <w:rPr>
                <w:rFonts w:ascii="Verdana" w:cs="Verdana" w:eastAsia="Verdana" w:hAnsi="Verdana"/>
                <w:sz w:val="15"/>
                <w:szCs w:val="15"/>
              </w:rPr>
              <w:t xml:space="preserve">Urban population share</w:t>
            </w:r>
          </w:p>
          <w:p>
            <w:pPr>
              <w:spacing w:after="40" w:line="240"/>
            </w:pPr>
            <w:r>
              <w:rPr>
                <w:rFonts w:ascii="Verdana" w:cs="Verdana" w:eastAsia="Verdana" w:hAnsi="Verdana"/>
                <w:sz w:val="15"/>
                <w:szCs w:val="15"/>
              </w:rPr>
              <w:t xml:space="preserve">Cafe culture (R)</w:t>
            </w:r>
          </w:p>
          <w:p>
            <w:pPr>
              <w:spacing w:after="40" w:line="240"/>
            </w:pPr>
            <w:r>
              <w:rPr>
                <w:rFonts w:ascii="Verdana" w:cs="Verdana" w:eastAsia="Verdana" w:hAnsi="Verdana"/>
                <w:sz w:val="15"/>
                <w:szCs w:val="15"/>
              </w:rPr>
              <w:t xml:space="preserve">European influence on coffee culture (R)</w:t>
            </w:r>
          </w:p>
          <w:p>
            <w:pPr>
              <w:spacing w:after="40" w:line="240"/>
            </w:pPr>
            <w:r>
              <w:rPr>
                <w:rFonts w:ascii="Verdana" w:cs="Verdana" w:eastAsia="Verdana" w:hAnsi="Verdana"/>
                <w:sz w:val="15"/>
                <w:szCs w:val="15"/>
              </w:rPr>
              <w:t xml:space="preserve">Human Development Index</w:t>
            </w:r>
          </w:p>
          <w:p>
            <w:pPr>
              <w:spacing w:after="40" w:line="240"/>
            </w:pPr>
            <w:r>
              <w:rPr>
                <w:rFonts w:ascii="Verdana" w:cs="Verdana" w:eastAsia="Verdana" w:hAnsi="Verdana"/>
                <w:sz w:val="15"/>
                <w:szCs w:val="15"/>
              </w:rPr>
              <w:t xml:space="preserve">Specialty cafes in the capital (own count)</w:t>
            </w:r>
          </w:p>
          <w:p>
            <w:pPr>
              <w:spacing w:after="40" w:line="240"/>
            </w:pPr>
            <w:r>
              <w:rPr>
                <w:rFonts w:ascii="Verdana" w:cs="Verdana" w:eastAsia="Verdana" w:hAnsi="Verdana"/>
                <w:sz w:val="15"/>
                <w:szCs w:val="15"/>
              </w:rPr>
              <w:t xml:space="preserve">International-brand hotels in the capital (own count)</w:t>
            </w:r>
          </w:p>
          <w:p>
            <w:pPr>
              <w:spacing w:after="40" w:line="240"/>
            </w:pPr>
            <w:r>
              <w:rPr>
                <w:rFonts w:ascii="Verdana" w:cs="Verdana" w:eastAsia="Verdana" w:hAnsi="Verdana"/>
                <w:sz w:val="15"/>
                <w:szCs w:val="15"/>
              </w:rPr>
              <w:t xml:space="preserve">Tertiary school enrolment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 weight 10)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w:t>
            </w:r>
          </w:p>
          <w:p>
            <w:pPr>
              <w:spacing w:after="40" w:line="240"/>
            </w:pPr>
            <w:r>
              <w:rPr>
                <w:rFonts w:ascii="Verdana" w:cs="Verdana" w:eastAsia="Verdana" w:hAnsi="Verdana"/>
                <w:sz w:val="15"/>
                <w:szCs w:val="15"/>
              </w:rPr>
              <w:t xml:space="preserve">Logistics Performance Index</w:t>
            </w:r>
          </w:p>
          <w:p>
            <w:pPr>
              <w:spacing w:after="40" w:line="240"/>
            </w:pPr>
            <w:r>
              <w:rPr>
                <w:rFonts w:ascii="Verdana" w:cs="Verdana" w:eastAsia="Verdana" w:hAnsi="Verdana"/>
                <w:sz w:val="15"/>
                <w:szCs w:val="15"/>
              </w:rPr>
              <w:t xml:space="preserve">Global Innovation Index</w:t>
            </w:r>
          </w:p>
          <w:p>
            <w:pPr>
              <w:spacing w:after="40" w:line="240"/>
            </w:pPr>
            <w:r>
              <w:rPr>
                <w:rFonts w:ascii="Verdana" w:cs="Verdana" w:eastAsia="Verdana" w:hAnsi="Verdana"/>
                <w:sz w:val="15"/>
                <w:szCs w:val="15"/>
              </w:rPr>
              <w:t xml:space="preserve">Online retail and food delivery share</w:t>
            </w:r>
          </w:p>
          <w:p>
            <w:pPr>
              <w:spacing w:after="40" w:line="240"/>
            </w:pPr>
            <w:r>
              <w:rPr>
                <w:rFonts w:ascii="Verdana" w:cs="Verdana" w:eastAsia="Verdana" w:hAnsi="Verdana"/>
                <w:sz w:val="15"/>
                <w:szCs w:val="15"/>
              </w:rPr>
              <w:t xml:space="preserve">Account ownership, adults</w:t>
            </w:r>
          </w:p>
          <w:p>
            <w:pPr>
              <w:spacing w:after="40" w:line="240"/>
            </w:pPr>
            <w:r>
              <w:rPr>
                <w:rFonts w:ascii="Verdana" w:cs="Verdana" w:eastAsia="Verdana" w:hAnsi="Verdana"/>
                <w:sz w:val="15"/>
                <w:szCs w:val="15"/>
              </w:rPr>
              <w:t xml:space="preserve">Mobile cellular subscriptions</w:t>
            </w:r>
          </w:p>
          <w:p>
            <w:pPr>
              <w:spacing w:after="40" w:line="240"/>
            </w:pPr>
            <w:r>
              <w:rPr>
                <w:rFonts w:ascii="Verdana" w:cs="Verdana" w:eastAsia="Verdana" w:hAnsi="Verdana"/>
                <w:sz w:val="15"/>
                <w:szCs w:val="15"/>
              </w:rPr>
              <w:t xml:space="preserve">Fixed broadband subscriptions</w:t>
            </w:r>
          </w:p>
          <w:p>
            <w:pPr>
              <w:spacing w:after="40" w:line="240"/>
            </w:pPr>
            <w:r>
              <w:rPr>
                <w:rFonts w:ascii="Verdana" w:cs="Verdana" w:eastAsia="Verdana" w:hAnsi="Verdana"/>
                <w:sz w:val="15"/>
                <w:szCs w:val="15"/>
              </w:rPr>
              <w:t xml:space="preserve">Secure Internet servers</w:t>
            </w:r>
          </w:p>
          <w:p>
            <w:pPr>
              <w:spacing w:after="40" w:line="240"/>
            </w:pPr>
            <w:r>
              <w:rPr>
                <w:rFonts w:ascii="Verdana" w:cs="Verdana" w:eastAsia="Verdana" w:hAnsi="Verdana"/>
                <w:sz w:val="15"/>
                <w:szCs w:val="15"/>
              </w:rPr>
              <w:t xml:space="preserve">E-Government Development Index</w:t>
            </w:r>
          </w:p>
          <w:p>
            <w:pPr>
              <w:spacing w:after="40" w:line="240"/>
            </w:pPr>
            <w:r>
              <w:rPr>
                <w:rFonts w:ascii="Verdana" w:cs="Verdana" w:eastAsia="Verdana" w:hAnsi="Verdana"/>
                <w:sz w:val="15"/>
                <w:szCs w:val="15"/>
              </w:rPr>
              <w:t xml:space="preserve">Container port traffic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 weight 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w:t>
            </w:r>
          </w:p>
          <w:p>
            <w:pPr>
              <w:spacing w:after="40" w:line="240"/>
            </w:pPr>
            <w:r>
              <w:rPr>
                <w:rFonts w:ascii="Verdana" w:cs="Verdana" w:eastAsia="Verdana" w:hAnsi="Verdana"/>
                <w:sz w:val="15"/>
                <w:szCs w:val="15"/>
              </w:rPr>
              <w:t xml:space="preserve">Environmental Performance Index</w:t>
            </w:r>
          </w:p>
          <w:p>
            <w:pPr>
              <w:spacing w:after="40" w:line="240"/>
            </w:pPr>
            <w:r>
              <w:rPr>
                <w:rFonts w:ascii="Verdana" w:cs="Verdana" w:eastAsia="Verdana" w:hAnsi="Verdana"/>
                <w:sz w:val="15"/>
                <w:szCs w:val="15"/>
              </w:rPr>
              <w:t xml:space="preserve">Climate vulnerability and readiness (ND-GAIN)</w:t>
            </w:r>
          </w:p>
          <w:p>
            <w:pPr>
              <w:spacing w:after="40" w:line="240"/>
            </w:pPr>
            <w:r>
              <w:rPr>
                <w:rFonts w:ascii="Verdana" w:cs="Verdana" w:eastAsia="Verdana" w:hAnsi="Verdana"/>
                <w:sz w:val="15"/>
                <w:szCs w:val="15"/>
              </w:rPr>
              <w:t xml:space="preserve">Domestic coffee production (lower is better: local competition)</w:t>
            </w:r>
          </w:p>
          <w:p>
            <w:pPr>
              <w:spacing w:after="40" w:line="240"/>
            </w:pPr>
            <w:r>
              <w:rPr>
                <w:rFonts w:ascii="Verdana" w:cs="Verdana" w:eastAsia="Verdana" w:hAnsi="Verdana"/>
                <w:sz w:val="15"/>
                <w:szCs w:val="15"/>
              </w:rPr>
              <w:t xml:space="preserve">Packaging and waste rules for imported goods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(5, weight 20)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w:t>
            </w:r>
          </w:p>
          <w:p>
            <w:pPr>
              <w:spacing w:after="40" w:line="240"/>
            </w:pPr>
            <w:r>
              <w:rPr>
                <w:rFonts w:ascii="Verdana" w:cs="Verdana" w:eastAsia="Verdana" w:hAnsi="Verdana"/>
                <w:sz w:val="15"/>
                <w:szCs w:val="15"/>
              </w:rPr>
              <w:t xml:space="preserve">Rule of law (WGI)</w:t>
            </w:r>
          </w:p>
          <w:p>
            <w:pPr>
              <w:spacing w:after="40" w:line="240"/>
            </w:pPr>
            <w:r>
              <w:rPr>
                <w:rFonts w:ascii="Verdana" w:cs="Verdana" w:eastAsia="Verdana" w:hAnsi="Verdana"/>
                <w:sz w:val="15"/>
                <w:szCs w:val="15"/>
              </w:rPr>
              <w:t xml:space="preserve">Product, labelling and certification requirements for coffee (R)</w:t>
            </w:r>
          </w:p>
          <w:p>
            <w:pPr>
              <w:spacing w:after="40" w:line="240"/>
            </w:pPr>
            <w:r>
              <w:rPr>
                <w:rFonts w:ascii="Verdana" w:cs="Verdana" w:eastAsia="Verdana" w:hAnsi="Verdana"/>
                <w:sz w:val="15"/>
                <w:szCs w:val="15"/>
              </w:rPr>
              <w:t xml:space="preserve">Trademark protection (R)</w:t>
            </w:r>
          </w:p>
          <w:p>
            <w:pPr>
              <w:spacing w:after="40" w:line="240"/>
            </w:pPr>
            <w:r>
              <w:rPr>
                <w:rFonts w:ascii="Verdana" w:cs="Verdana" w:eastAsia="Verdana" w:hAnsi="Verdana"/>
                <w:sz w:val="15"/>
                <w:szCs w:val="15"/>
              </w:rPr>
              <w:t xml:space="preserve">Rules for ending a distribution agreement (R)</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sources")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sources"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(proposed criteria with sources) by </w:t>
            </w:r>
            <w:r>
              <w:rPr>
                <w:rFonts w:ascii="Verdana" w:cs="Verdana" w:eastAsia="Verdana" w:hAnsi="Verdana"/>
                <w:sz w:val="16"/>
                <w:szCs w:val="16"/>
                <w:highlight w:val="yellow"/>
              </w:rPr>
              <w:t xml:space="preserve">[date]</w:t>
            </w:r>
            <w:r>
              <w:rPr>
                <w:rFonts w:ascii="Verdana" w:cs="Verdana" w:eastAsia="Verdana" w:hAnsi="Verdana"/>
                <w:sz w:val="16"/>
                <w:szCs w:val="16"/>
              </w:rPr>
              <w:t xml:space="preserve">;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merges the proposals, selects the final criteria and publishes the shared Country scoring model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2026-10-13T16:12:53.117Z</dcterms:created>
  <dcterms:modified xsi:type="dcterms:W3CDTF">2026-10-13T16:12:53.117Z</dcterms:modified>
</cp:coreProperties>
</file>

<file path=docProps/custom.xml><?xml version="1.0" encoding="utf-8"?>
<Properties xmlns="http://schemas.openxmlformats.org/officeDocument/2006/custom-properties" xmlns:vt="http://schemas.openxmlformats.org/officeDocument/2006/docPropsVTypes"/>
</file>