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w:t>
            </w:r>
            <w:r>
              <w:rPr>
                <w:rFonts w:ascii="Verdana" w:cs="Verdana" w:eastAsia="Verdana" w:hAnsi="Verdana"/>
                <w:sz w:val="16"/>
                <w:szCs w:val="16"/>
                <w:highlight w:val="yellow"/>
              </w:rPr>
              <w:t xml:space="preserve">[x minutes]</w:t>
            </w:r>
            <w:r>
              <w:rPr>
                <w:rFonts w:ascii="Verdana" w:cs="Verdana" w:eastAsia="Verdana" w:hAnsi="Verdana"/>
                <w:sz w:val="16"/>
                <w:szCs w:val="16"/>
              </w:rPr>
              <w:t xml:space="preserve">.</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highlight w:val="yellow"/>
              </w:rPr>
              <w:t xml:space="preserve">[date and time]</w:t>
            </w:r>
            <w:r>
              <w:rPr>
                <w:rFonts w:ascii="Verdana" w:cs="Verdana" w:eastAsia="Verdana" w:hAnsi="Verdana"/>
                <w:sz w:val="16"/>
                <w:szCs w:val="16"/>
              </w:rPr>
              <w:t xml:space="preserve">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Sessions 3 and 4: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A focused analysis of the coffee industry in one country, its structure and its attractiveness for a premium newcomer from Vienna, in your allocated country. Section 8 describes the content.</w:t>
      </w:r>
    </w:p>
    <w:p>
      <w:pPr>
        <w:keepNext/>
        <w:spacing w:after="80" w:before="0" w:line="252"/>
      </w:pPr>
      <w:r>
        <w:rPr>
          <w:rFonts w:ascii="Verdana" w:cs="Verdana" w:eastAsia="Verdana" w:hAnsi="Verdana"/>
          <w:b/>
          <w:bCs/>
          <w:sz w:val="19"/>
          <w:szCs w:val="19"/>
        </w:rPr>
        <w:t xml:space="preserve">Country allocation for Part B</w:t>
      </w:r>
      <w:r>
        <w:rPr>
          <w:rFonts w:ascii="Verdana" w:cs="Verdana" w:eastAsia="Verdana" w:hAnsi="Verdana"/>
          <w:sz w:val="19"/>
          <w:szCs w:val="19"/>
        </w:rPr>
        <w:t xml:space="preserve"> (one country per group, drawn at random):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Country for Part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analysis of your country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indicators that could matter for Julius Meinl, check whether data exist for all six countries, name the source and the latest year, and shortlist the best ones.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The instructor uses the shortlists to confirm or adjust the common indicator set in section 5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14 indicators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14 indicators and enter them in the yellow cells of your country on the Data sheet of the shared Google Sheet.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The sheet shows scores and ranks as soon as all six countries are complete.</w:t>
      </w:r>
    </w:p>
    <w:p>
      <w:pPr>
        <w:pStyle w:val="Heading2"/>
        <w:keepNext/>
      </w:pPr>
      <w:r>
        <w:rPr>
          <w:rFonts w:ascii="Verdana" w:cs="Verdana" w:eastAsia="Verdana" w:hAnsi="Verdana"/>
        </w:rPr>
        <w:t xml:space="preserve">Step 4  Normalise (standardise)</w:t>
      </w:r>
    </w:p>
    <w:p>
      <w:pPr>
        <w:keepNext/>
        <w:spacing w:after="60" w:before="0" w:line="252"/>
      </w:pPr>
      <w:r>
        <w:rPr>
          <w:rFonts w:ascii="Verdana" w:cs="Verdana" w:eastAsia="Verdana" w:hAnsi="Verdana"/>
          <w:sz w:val="19"/>
          <w:szCs w:val="19"/>
        </w:rPr>
        <w:t xml:space="preserve">Indicators come in different units (US dollars, percent, index points), so subtracting the mean (centering) alone is not enough: it fixes the zero point but not the unit. The sheet therefore rescales every indicator across the six countries to 0 to 100 (min-max, direction respected):</w:t>
      </w:r>
    </w:p>
    <w:p>
      <w:pPr>
        <w:pStyle w:val="ListParagraph"/>
        <w:numPr>
          <w:ilvl w:val="0"/>
          <w:numId w:val="2"/>
        </w:numPr>
        <w:spacing w:after="60" w:line="252"/>
      </w:pPr>
      <w:r>
        <w:rPr>
          <w:rFonts w:ascii="Verdana" w:cs="Verdana" w:eastAsia="Verdana" w:hAnsi="Verdana"/>
          <w:sz w:val="19"/>
          <w:szCs w:val="19"/>
        </w:rPr>
        <w:t xml:space="preserve">Higher is better: score = 100 x (x - min) / (max - min)</w:t>
      </w:r>
    </w:p>
    <w:p>
      <w:pPr>
        <w:pStyle w:val="ListParagraph"/>
        <w:numPr>
          <w:ilvl w:val="0"/>
          <w:numId w:val="2"/>
        </w:numPr>
        <w:spacing w:after="100" w:line="252"/>
      </w:pPr>
      <w:r>
        <w:rPr>
          <w:rFonts w:ascii="Verdana" w:cs="Verdana" w:eastAsia="Verdana" w:hAnsi="Verdana"/>
          <w:sz w:val="19"/>
          <w:szCs w:val="19"/>
        </w:rPr>
        <w:t xml:space="preserve">Lower is better: score = 100 x (max - x) / (max - min)</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gives the best country 100 and the weakest 0 on every indicator, even if the real gap is tiny. The sheet therefore also shows </w:t>
      </w:r>
      <w:r>
        <w:rPr>
          <w:rFonts w:ascii="Verdana" w:cs="Verdana" w:eastAsia="Verdana" w:hAnsi="Verdana"/>
          <w:b/>
          <w:bCs/>
          <w:sz w:val="19"/>
          <w:szCs w:val="19"/>
        </w:rPr>
        <w:t xml:space="preserve">z-scores</w:t>
      </w:r>
      <w:r>
        <w:rPr>
          <w:rFonts w:ascii="Verdana" w:cs="Verdana" w:eastAsia="Verdana" w:hAnsi="Verdana"/>
          <w:sz w:val="19"/>
          <w:szCs w:val="19"/>
        </w:rPr>
        <w:t xml:space="preserve"> (centering plus scaling: subtract the mean, divide by the standard deviation), which keep the distances in the data. Compare the two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a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Fourteen indicators, the same for all groups (proposal; the instructor confirms the final set after Step 1). The second label shows which of Julius Meinl's six dimensions each indicator serves. Rubric scores follow the Rubrics sheet of the Google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22"/>
        <w:gridCol w:w="1900"/>
        <w:gridCol w:w="1950"/>
      </w:tblGrid>
      <w:tr>
        <w:trPr>
          <w:cantSplit/>
          <w:tblHeader/>
        </w:trPr>
        <w:tc>
          <w:tcPr>
            <w:tcW w:type="dxa" w:w="1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 and weight</w:t>
            </w:r>
          </w:p>
        </w:tc>
        <w:tc>
          <w:tcPr>
            <w:tcW w:type="dxa" w:w="372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 (unit)</w:t>
            </w:r>
          </w:p>
        </w:tc>
        <w:tc>
          <w:tcPr>
            <w:tcW w:type="dxa" w:w="19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Julius Meinl dimension</w:t>
            </w:r>
          </w:p>
        </w:tc>
        <w:tc>
          <w:tcPr>
            <w:tcW w:type="dxa" w:w="19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Source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(15)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 estimate)</w:t>
            </w:r>
          </w:p>
          <w:p>
            <w:pPr>
              <w:spacing w:after="40" w:line="240"/>
            </w:pPr>
            <w:r>
              <w:rPr>
                <w:rFonts w:ascii="Verdana" w:cs="Verdana" w:eastAsia="Verdana" w:hAnsi="Verdana"/>
                <w:sz w:val="15"/>
                <w:szCs w:val="15"/>
              </w:rPr>
              <w:t xml:space="preserve">EU trade agreement with the country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Country risk</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 (international dollars)</w:t>
            </w:r>
          </w:p>
          <w:p>
            <w:pPr>
              <w:spacing w:after="40" w:line="240"/>
            </w:pPr>
            <w:r>
              <w:rPr>
                <w:rFonts w:ascii="Verdana" w:cs="Verdana" w:eastAsia="Verdana" w:hAnsi="Verdana"/>
                <w:sz w:val="15"/>
                <w:szCs w:val="15"/>
              </w:rPr>
              <w:t xml:space="preserve">Household consumption per capita (US dollars)</w:t>
            </w:r>
          </w:p>
          <w:p>
            <w:pPr>
              <w:spacing w:after="40" w:line="240"/>
            </w:pPr>
            <w:r>
              <w:rPr>
                <w:rFonts w:ascii="Verdana" w:cs="Verdana" w:eastAsia="Verdana" w:hAnsi="Verdana"/>
                <w:sz w:val="15"/>
                <w:szCs w:val="15"/>
              </w:rPr>
              <w:t xml:space="preserve">Inflation (% per year; lower is better)</w:t>
            </w:r>
          </w:p>
          <w:p>
            <w:pPr>
              <w:spacing w:after="40" w:line="240"/>
            </w:pPr>
            <w:r>
              <w:rPr>
                <w:rFonts w:ascii="Verdana" w:cs="Verdana" w:eastAsia="Verdana" w:hAnsi="Verdana"/>
                <w:sz w:val="15"/>
                <w:szCs w:val="15"/>
              </w:rPr>
              <w:t xml:space="preserve">Applied tariff on roasted coffee, HS 0901.21, EU origin (%; lower is better)</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EU Access2Markets; WTO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 (kg)</w:t>
            </w:r>
          </w:p>
          <w:p>
            <w:pPr>
              <w:spacing w:after="40" w:line="240"/>
            </w:pPr>
            <w:r>
              <w:rPr>
                <w:rFonts w:ascii="Verdana" w:cs="Verdana" w:eastAsia="Verdana" w:hAnsi="Verdana"/>
                <w:sz w:val="15"/>
                <w:szCs w:val="15"/>
              </w:rPr>
              <w:t xml:space="preserve">International tourist arrivals (number)</w:t>
            </w:r>
          </w:p>
          <w:p>
            <w:pPr>
              <w:spacing w:after="40" w:line="240"/>
            </w:pPr>
            <w:r>
              <w:rPr>
                <w:rFonts w:ascii="Verdana" w:cs="Verdana" w:eastAsia="Verdana" w:hAnsi="Verdana"/>
                <w:sz w:val="15"/>
                <w:szCs w:val="15"/>
              </w:rPr>
              <w:t xml:space="preserve">Cafe culture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culture</w:t>
            </w:r>
          </w:p>
          <w:p>
            <w:pPr>
              <w:spacing w:after="40" w:line="240"/>
            </w:pPr>
            <w:r>
              <w:rPr>
                <w:rFonts w:ascii="Verdana" w:cs="Verdana" w:eastAsia="Verdana" w:hAnsi="Verdana"/>
                <w:sz w:val="15"/>
                <w:szCs w:val="15"/>
              </w:rPr>
              <w:t xml:space="preserve">Tourism and hotels</w:t>
            </w:r>
          </w:p>
          <w:p>
            <w:pPr>
              <w:spacing w:after="40" w:line="240"/>
            </w:pPr>
            <w:r>
              <w:rPr>
                <w:rFonts w:ascii="Verdana" w:cs="Verdana" w:eastAsia="Verdana" w:hAnsi="Verdana"/>
                <w:sz w:val="15"/>
                <w:szCs w:val="15"/>
              </w:rPr>
              <w:t xml:space="preserve">Coffee culture</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International Coffee Organization</w:t>
            </w:r>
          </w:p>
          <w:p>
            <w:pPr>
              <w:spacing w:after="40" w:line="240"/>
            </w:pPr>
            <w:r>
              <w:rPr>
                <w:rFonts w:ascii="Verdana" w:cs="Verdana" w:eastAsia="Verdana" w:hAnsi="Verdana"/>
                <w:sz w:val="15"/>
                <w:szCs w:val="15"/>
              </w:rPr>
              <w:t xml:space="preserve">World Bank WDI (UN Tourism)</w:t>
            </w:r>
          </w:p>
          <w:p>
            <w:pPr>
              <w:spacing w:after="40" w:line="240"/>
            </w:pPr>
            <w:r>
              <w:rPr>
                <w:rFonts w:ascii="Verdana" w:cs="Verdana" w:eastAsia="Verdana" w:hAnsi="Verdana"/>
                <w:sz w:val="15"/>
                <w:szCs w:val="15"/>
              </w:rPr>
              <w:t xml:space="preserve">Own assessment with sources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 (% of population)</w:t>
            </w:r>
          </w:p>
          <w:p>
            <w:pPr>
              <w:spacing w:after="40" w:line="240"/>
            </w:pPr>
            <w:r>
              <w:rPr>
                <w:rFonts w:ascii="Verdana" w:cs="Verdana" w:eastAsia="Verdana" w:hAnsi="Verdana"/>
                <w:sz w:val="15"/>
                <w:szCs w:val="15"/>
              </w:rPr>
              <w:t xml:space="preserve">Logistics Performance Index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LPI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Industry reports, certification bodies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(20)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 estimate)</w:t>
            </w:r>
          </w:p>
          <w:p>
            <w:pPr>
              <w:spacing w:after="40" w:line="240"/>
            </w:pPr>
            <w:r>
              <w:rPr>
                <w:rFonts w:ascii="Verdana" w:cs="Verdana" w:eastAsia="Verdana" w:hAnsi="Verdana"/>
                <w:sz w:val="15"/>
                <w:szCs w:val="15"/>
              </w:rPr>
              <w:t xml:space="preserve">Product, labelling and certification requirements for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Import and regulation</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 Links to the data portals are in section 14.</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spacing w:after="120" w:before="0" w:line="252"/>
      </w:pPr>
      <w:r>
        <w:rPr>
          <w:rFonts w:ascii="Verdana" w:cs="Verdana" w:eastAsia="Verdana" w:hAnsi="Verdana"/>
          <w:b/>
          <w:bCs/>
          <w:sz w:val="19"/>
          <w:szCs w:val="19"/>
        </w:rPr>
        <w:t xml:space="preserve">Worked mini-example of the weighted sum.</w:t>
      </w:r>
      <w:r>
        <w:rPr>
          <w:rFonts w:ascii="Verdana" w:cs="Verdana" w:eastAsia="Verdana" w:hAnsi="Verdana"/>
          <w:sz w:val="19"/>
          <w:szCs w:val="19"/>
        </w:rPr>
        <w:t xml:space="preserve"> Three indicators with weights 50, 30 and 20. Country X scores 80, 40 and 60, country Y scores 50, 90 and 70. X: 0.5 x 80 + 0.3 x 40 + 0.2 x 60 = 64. Y: 0.5 x 50 + 0.3 x 90 + 0.2 x 70 = 66. Y wins by 2 points. If the weights were 60, 20 and 20, X would score 68 and Y 62: the ranking flips. This is why Step 7 tests other weights.</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Rehearse to time. Slide limit: </w:t>
      </w:r>
      <w:r>
        <w:rPr>
          <w:rFonts w:ascii="Verdana" w:cs="Verdana" w:eastAsia="Verdana" w:hAnsi="Verdana"/>
          <w:sz w:val="19"/>
          <w:szCs w:val="19"/>
          <w:highlight w:val="yellow"/>
        </w:rPr>
        <w:t xml:space="preserve">[to be confirmed, for example 20 slides plus appendix]</w:t>
      </w:r>
      <w:r>
        <w:rPr>
          <w:rFonts w:ascii="Verdana" w:cs="Verdana" w:eastAsia="Verdana" w:hAnsi="Verdana"/>
          <w:sz w:val="19"/>
          <w:szCs w:val="19"/>
        </w:rPr>
        <w:t xml:space="preserve">.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60" w:before="0" w:line="252"/>
      </w:pPr>
      <w:r>
        <w:rPr>
          <w:rFonts w:ascii="Verdana" w:cs="Verdana" w:eastAsia="Verdana" w:hAnsi="Verdana"/>
          <w:sz w:val="19"/>
          <w:szCs w:val="19"/>
        </w:rPr>
        <w:t xml:space="preserve">Part B looks at the </w:t>
      </w:r>
      <w:r>
        <w:rPr>
          <w:rFonts w:ascii="Verdana" w:cs="Verdana" w:eastAsia="Verdana" w:hAnsi="Verdana"/>
          <w:b/>
          <w:bCs/>
          <w:sz w:val="19"/>
          <w:szCs w:val="19"/>
        </w:rPr>
        <w:t xml:space="preserve">industry</w:t>
      </w:r>
      <w:r>
        <w:rPr>
          <w:rFonts w:ascii="Verdana" w:cs="Verdana" w:eastAsia="Verdana" w:hAnsi="Verdana"/>
          <w:sz w:val="19"/>
          <w:szCs w:val="19"/>
        </w:rPr>
        <w:t xml:space="preserve">, not at individual competitors: how is the coffee industry in one country structured, how attractive is it for a premium newcomer from Vienna, and what does that mean for Julius Meinl's entry? The country is the one allocated to your group in section 3. Focus on the segments Julius Meinl serves: premium coffee in hospitality (especially hotels) and in grocery retail. Cover five blocks:</w:t>
      </w:r>
    </w:p>
    <w:p>
      <w:pPr>
        <w:pStyle w:val="ListParagraph"/>
        <w:numPr>
          <w:ilvl w:val="0"/>
          <w:numId w:val="2"/>
        </w:numPr>
        <w:spacing w:after="60" w:line="252"/>
      </w:pPr>
      <w:r>
        <w:rPr>
          <w:rFonts w:ascii="Verdana" w:cs="Verdana" w:eastAsia="Verdana" w:hAnsi="Verdana"/>
          <w:b/>
          <w:bCs/>
          <w:sz w:val="19"/>
          <w:szCs w:val="19"/>
        </w:rPr>
        <w:t xml:space="preserve">Size, growth and demand drivers.</w:t>
      </w:r>
      <w:r>
        <w:rPr>
          <w:rFonts w:ascii="Verdana" w:cs="Verdana" w:eastAsia="Verdana" w:hAnsi="Verdana"/>
          <w:sz w:val="19"/>
          <w:szCs w:val="19"/>
        </w:rPr>
        <w:t xml:space="preserve"> Value and volume of coffee consumption out of home and at home, growth, and what drives it (tourism, incomes, urbanisation, café culture, premiumisation).</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Map the chain from green coffee to the consumer: production and green coffee trade,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Industry structure.</w:t>
      </w:r>
      <w:r>
        <w:rPr>
          <w:rFonts w:ascii="Verdana" w:cs="Verdana" w:eastAsia="Verdana" w:hAnsi="Verdana"/>
          <w:sz w:val="19"/>
          <w:szCs w:val="19"/>
        </w:rPr>
        <w:t xml:space="preserve"> The main types of players (domestic roasters, multinational brands, specialty roasters and café chains, importers and distributors), how concentrated the industry is, and how products and prices are positioned across segments. Profiles of individual companies are not required now; they come with positioning and pricing in the final presentation.</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keepNext/>
        <w:spacing w:after="80" w:before="0" w:line="252"/>
      </w:pPr>
      <w:r>
        <w:rPr>
          <w:rFonts w:ascii="Verdana" w:cs="Verdana" w:eastAsia="Verdana" w:hAnsi="Verdana"/>
          <w:b/>
          <w:bCs/>
          <w:sz w:val="19"/>
          <w:szCs w:val="19"/>
        </w:rPr>
        <w:t xml:space="preserve">Assess the industry with Porter's five forces</w:t>
      </w:r>
      <w:r>
        <w:rPr>
          <w:rFonts w:ascii="Verdana" w:cs="Verdana" w:eastAsia="Verdana" w:hAnsi="Verdana"/>
          <w:sz w:val="19"/>
          <w:szCs w:val="19"/>
        </w:rPr>
        <w:t xml:space="preserve">, adapted to a premium entrant from Vienna. Rate each force from 1 (weak, good for Julius Meinl) to 5 (strong, bad for Julius Meinl), give two or three pieces of evidence per force, and sum up industry attractiveness in one sentence.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6572"/>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Force</w:t>
            </w:r>
          </w:p>
        </w:tc>
        <w:tc>
          <w:tcPr>
            <w:tcW w:type="dxa" w:w="6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Questions to 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new entrants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Entry barriers: tariffs, certification, access to distribution, cost of building a brand, scale advantages of local roasters</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buyers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Hotel groups, café chains, supermarket chains and importers: how concentrated and how price-driven are they?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suppliers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Green coffee, packaging and logistics; for local roasters, cheap domestic green coffee is an advantage over an importer</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substitutes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Tea and other drinks, capsule and home coffee, ready-to-drink coffee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Rivalry</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Number and strength of premium players, price competition, market growth, how easily customers switch</w:t>
            </w:r>
          </w:p>
        </w:tc>
      </w:tr>
    </w:tbl>
    <w:p>
      <w:pPr>
        <w:spacing w:after="120" w:before="100" w:line="252"/>
      </w:pPr>
      <w:r>
        <w:rPr>
          <w:rFonts w:ascii="Verdana" w:cs="Verdana" w:eastAsia="Verdana" w:hAnsi="Verdana"/>
          <w:b/>
          <w:bCs/>
          <w:sz w:val="19"/>
          <w:szCs w:val="19"/>
        </w:rPr>
        <w:t xml:space="preserve">Sources.</w:t>
      </w:r>
      <w:r>
        <w:rPr>
          <w:rFonts w:ascii="Verdana" w:cs="Verdana" w:eastAsia="Verdana" w:hAnsi="Verdana"/>
          <w:sz w:val="19"/>
          <w:szCs w:val="19"/>
        </w:rPr>
        <w:t xml:space="preserve"> USDA Foreign Agricultural Service annual coffee reports and International Coffee Organization statistics; Euromonitor Passport and Statista (WU library); UN Comtrade and ITC Trade Map for coffee trade (HS 0901); WKO AUSSENWIRTSCHAFT country reports; EU Access2Markets. A short online scan of brands and prices (cafés, supermarkets, online shops, hotels) gives evidence for the industry structure and also feeds your Part A indicator "competitive landscape".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industry sheet in Excel (data, value-chain notes, five-forces ratings with evidence) and one or two slides: an industry snapshot (size, structure, value chain) and the five-forces summary. Close with the implication for Julius Meinl: where is there room for a Viennese coffee house brand, and where is none?</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rest is formulas.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14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Z-scores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Two normalisations by formula</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z-score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industry sheet (data, value-chain notes, five-forces ratings with evidence, brand and price scan) and (3) a list of the AI tools you used.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with shortlist; data plan for your country;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publishes the common criteria and the shared data file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by </w:t>
            </w:r>
            <w:r>
              <w:rPr>
                <w:rFonts w:ascii="Verdana" w:cs="Verdana" w:eastAsia="Verdana" w:hAnsi="Verdana"/>
                <w:sz w:val="16"/>
                <w:szCs w:val="16"/>
                <w:highlight w:val="yellow"/>
              </w:rPr>
              <w:t xml:space="preserve">[deadline]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z-scores.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_alaagr_tq1okr4yqtcty">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5"/>
          <w:szCs w:val="15"/>
        </w:rPr>
        <w:t xml:space="preserve">JRC: 10-step pocket guide to composite indicators (free): </w:t>
      </w:r>
      <w:hyperlink w:history="1" r:id="rIdylfl0k4jm_slnghu2aoer">
        <w:r>
          <w:rPr>
            <w:rStyle w:val="Hyperlink"/>
            <w:rFonts w:ascii="Verdana" w:cs="Verdana" w:eastAsia="Verdana" w:hAnsi="Verdana"/>
            <w:sz w:val="13"/>
            <w:szCs w:val="13"/>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5"/>
          <w:szCs w:val="15"/>
        </w:rPr>
        <w:t xml:space="preserve">OECD/JRC: Handbook on constructing composite indicators (free): </w:t>
      </w:r>
      <w:hyperlink w:history="1" r:id="rId-0bdqn7yqixwg_g0jqds-">
        <w:r>
          <w:rPr>
            <w:rStyle w:val="Hyperlink"/>
            <w:rFonts w:ascii="Verdana" w:cs="Verdana" w:eastAsia="Verdana" w:hAnsi="Verdana"/>
            <w:sz w:val="13"/>
            <w:szCs w:val="13"/>
          </w:rPr>
          <w:t xml:space="preserve">https://doi.org/10.1787/9789264043466-en</w:t>
        </w:r>
      </w:hyperlink>
    </w:p>
    <w:p>
      <w:pPr>
        <w:pStyle w:val="ListParagraph"/>
        <w:numPr>
          <w:ilvl w:val="0"/>
          <w:numId w:val="2"/>
        </w:numPr>
        <w:spacing w:after="10" w:line="240"/>
      </w:pPr>
      <w:r>
        <w:rPr>
          <w:rFonts w:ascii="Verdana" w:cs="Verdana" w:eastAsia="Verdana" w:hAnsi="Verdana"/>
          <w:sz w:val="15"/>
          <w:szCs w:val="15"/>
        </w:rPr>
        <w:t xml:space="preserve">Greco et al. (2019): weighting and aggregation in composite indices (open access): </w:t>
      </w:r>
      <w:hyperlink w:history="1" r:id="rIdeizwxbcp6dlnicxhompvv">
        <w:r>
          <w:rPr>
            <w:rStyle w:val="Hyperlink"/>
            <w:rFonts w:ascii="Verdana" w:cs="Verdana" w:eastAsia="Verdana" w:hAnsi="Verdana"/>
            <w:sz w:val="13"/>
            <w:szCs w:val="13"/>
          </w:rPr>
          <w:t xml:space="preserve">https://doi.org/10.1007/s11205-017-1832-9</w:t>
        </w:r>
      </w:hyperlink>
    </w:p>
    <w:p>
      <w:pPr>
        <w:pStyle w:val="ListParagraph"/>
        <w:numPr>
          <w:ilvl w:val="0"/>
          <w:numId w:val="2"/>
        </w:numPr>
        <w:spacing w:after="10" w:line="240"/>
      </w:pPr>
      <w:r>
        <w:rPr>
          <w:rFonts w:ascii="Verdana" w:cs="Verdana" w:eastAsia="Verdana" w:hAnsi="Verdana"/>
          <w:sz w:val="15"/>
          <w:szCs w:val="15"/>
        </w:rPr>
        <w:t xml:space="preserve">BPMSG: AHP Excel template (free): </w:t>
      </w:r>
      <w:hyperlink w:history="1" r:id="rIdcd_abrll5m9vv8mpwfzhk">
        <w:r>
          <w:rPr>
            <w:rStyle w:val="Hyperlink"/>
            <w:rFonts w:ascii="Verdana" w:cs="Verdana" w:eastAsia="Verdana" w:hAnsi="Verdana"/>
            <w:sz w:val="13"/>
            <w:szCs w:val="13"/>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5"/>
          <w:szCs w:val="15"/>
        </w:rPr>
        <w:t xml:space="preserve">Best-Worst Method solvers (free): </w:t>
      </w:r>
      <w:hyperlink w:history="1" r:id="rIdni3xazc5b0evrsetxwbki">
        <w:r>
          <w:rPr>
            <w:rStyle w:val="Hyperlink"/>
            <w:rFonts w:ascii="Verdana" w:cs="Verdana" w:eastAsia="Verdana" w:hAnsi="Verdana"/>
            <w:sz w:val="13"/>
            <w:szCs w:val="13"/>
          </w:rPr>
          <w:t xml:space="preserve">https://bestworstmethod.com/</w:t>
        </w:r>
      </w:hyperlink>
    </w:p>
    <w:p>
      <w:pPr>
        <w:pStyle w:val="ListParagraph"/>
        <w:numPr>
          <w:ilvl w:val="0"/>
          <w:numId w:val="2"/>
        </w:numPr>
        <w:spacing w:after="10" w:line="240"/>
      </w:pPr>
      <w:r>
        <w:rPr>
          <w:rFonts w:ascii="Verdana" w:cs="Verdana" w:eastAsia="Verdana" w:hAnsi="Verdana"/>
          <w:sz w:val="15"/>
          <w:szCs w:val="15"/>
        </w:rPr>
        <w:t xml:space="preserve">JRC COIN Tool, Excel composite indicators (free): </w:t>
      </w:r>
      <w:hyperlink w:history="1" r:id="rIdjyp3ml1-qf4d1tz382f3w">
        <w:r>
          <w:rPr>
            <w:rStyle w:val="Hyperlink"/>
            <w:rFonts w:ascii="Verdana" w:cs="Verdana" w:eastAsia="Verdana" w:hAnsi="Verdana"/>
            <w:sz w:val="13"/>
            <w:szCs w:val="13"/>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5"/>
          <w:szCs w:val="15"/>
        </w:rPr>
        <w:t xml:space="preserve">globalEDGE Market Potential Index: eight dimensions with published weights (25, 15, 12.5, 12.5, 10, 10, 7.5, 7.5): </w:t>
      </w:r>
      <w:hyperlink w:history="1" r:id="rIdfwghugsuhu3ul_ngvxmd6">
        <w:r>
          <w:rPr>
            <w:rStyle w:val="Hyperlink"/>
            <w:rFonts w:ascii="Verdana" w:cs="Verdana" w:eastAsia="Verdana" w:hAnsi="Verdana"/>
            <w:sz w:val="13"/>
            <w:szCs w:val="13"/>
          </w:rPr>
          <w:t xml:space="preserve">https://globaledge.msu.edu/mpi</w:t>
        </w:r>
      </w:hyperlink>
    </w:p>
    <w:p>
      <w:pPr>
        <w:pStyle w:val="ListParagraph"/>
        <w:numPr>
          <w:ilvl w:val="0"/>
          <w:numId w:val="2"/>
        </w:numPr>
        <w:spacing w:after="10" w:line="240"/>
      </w:pPr>
      <w:r>
        <w:rPr>
          <w:rFonts w:ascii="Verdana" w:cs="Verdana" w:eastAsia="Verdana" w:hAnsi="Verdana"/>
          <w:sz w:val="15"/>
          <w:szCs w:val="15"/>
        </w:rPr>
        <w:t xml:space="preserve">Cavusgil (1997): measuring the potential of emerging markets (WU library): </w:t>
      </w:r>
      <w:hyperlink w:history="1" r:id="rIdisyhpsod4q_vcj4ufipk1">
        <w:r>
          <w:rPr>
            <w:rStyle w:val="Hyperlink"/>
            <w:rFonts w:ascii="Verdana" w:cs="Verdana" w:eastAsia="Verdana" w:hAnsi="Verdana"/>
            <w:sz w:val="13"/>
            <w:szCs w:val="13"/>
          </w:rPr>
          <w:t xml:space="preserve">https://doi.org/10.1016/S0007-6813%2897%2990030-6</w:t>
        </w:r>
      </w:hyperlink>
    </w:p>
    <w:p>
      <w:pPr>
        <w:pStyle w:val="ListParagraph"/>
        <w:numPr>
          <w:ilvl w:val="0"/>
          <w:numId w:val="2"/>
        </w:numPr>
        <w:spacing w:after="10" w:line="240"/>
      </w:pPr>
      <w:r>
        <w:rPr>
          <w:rFonts w:ascii="Verdana" w:cs="Verdana" w:eastAsia="Verdana" w:hAnsi="Verdana"/>
          <w:sz w:val="15"/>
          <w:szCs w:val="15"/>
        </w:rPr>
        <w:t xml:space="preserve">Ghemawat (2001): Distance still matters, the CAGE framework (WU library): </w:t>
      </w:r>
      <w:hyperlink w:history="1" r:id="rIdi3fx6ge2dg9b0xuufuvwd">
        <w:r>
          <w:rPr>
            <w:rStyle w:val="Hyperlink"/>
            <w:rFonts w:ascii="Verdana" w:cs="Verdana" w:eastAsia="Verdana" w:hAnsi="Verdana"/>
            <w:sz w:val="13"/>
            <w:szCs w:val="13"/>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5"/>
          <w:szCs w:val="15"/>
        </w:rPr>
        <w:t xml:space="preserve">Musso and Francioni: how smaller firms select foreign markets (open access): </w:t>
      </w:r>
      <w:hyperlink w:history="1" r:id="rId3qvgmwjq_6onofpv44rp6">
        <w:r>
          <w:rPr>
            <w:rStyle w:val="Hyperlink"/>
            <w:rFonts w:ascii="Verdana" w:cs="Verdana" w:eastAsia="Verdana" w:hAnsi="Verdana"/>
            <w:sz w:val="13"/>
            <w:szCs w:val="13"/>
          </w:rPr>
          <w:t xml:space="preserve">https://doi.org/10.5539/ijms.v4n6p44</w:t>
        </w:r>
      </w:hyperlink>
    </w:p>
    <w:p>
      <w:pPr>
        <w:pStyle w:val="ListParagraph"/>
        <w:numPr>
          <w:ilvl w:val="0"/>
          <w:numId w:val="2"/>
        </w:numPr>
        <w:spacing w:after="10" w:line="240"/>
      </w:pPr>
      <w:r>
        <w:rPr>
          <w:rFonts w:ascii="Verdana" w:cs="Verdana" w:eastAsia="Verdana" w:hAnsi="Verdana"/>
          <w:sz w:val="15"/>
          <w:szCs w:val="15"/>
        </w:rPr>
        <w:t xml:space="preserve">Pollesch and Dale (2016): normalisation choices (WU library): </w:t>
      </w:r>
      <w:hyperlink w:history="1" r:id="rIdhnxyh2qwr2d0r6-xrmy9p">
        <w:r>
          <w:rPr>
            <w:rStyle w:val="Hyperlink"/>
            <w:rFonts w:ascii="Verdana" w:cs="Verdana" w:eastAsia="Verdana" w:hAnsi="Verdana"/>
            <w:sz w:val="13"/>
            <w:szCs w:val="13"/>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5"/>
          <w:szCs w:val="15"/>
        </w:rPr>
        <w:t xml:space="preserve">ITC Export Potential Map, methodology (free): </w:t>
      </w:r>
      <w:hyperlink w:history="1" r:id="rIdpi_fqlqo2fdtk3rhcvyqb">
        <w:r>
          <w:rPr>
            <w:rStyle w:val="Hyperlink"/>
            <w:rFonts w:ascii="Verdana" w:cs="Verdana" w:eastAsia="Verdana" w:hAnsi="Verdana"/>
            <w:sz w:val="13"/>
            <w:szCs w:val="13"/>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5"/>
          <w:szCs w:val="15"/>
        </w:rPr>
        <w:t xml:space="preserve">Kearney Global Retail Development Index (free): </w:t>
      </w:r>
      <w:hyperlink w:history="1" r:id="rId1wns4if33xaq7q4mbi7io">
        <w:r>
          <w:rPr>
            <w:rStyle w:val="Hyperlink"/>
            <w:rFonts w:ascii="Verdana" w:cs="Verdana" w:eastAsia="Verdana" w:hAnsi="Verdana"/>
            <w:sz w:val="13"/>
            <w:szCs w:val="13"/>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5"/>
          <w:szCs w:val="15"/>
        </w:rPr>
        <w:t xml:space="preserve">Eurazeo: International Expansion Playbook (free): </w:t>
      </w:r>
      <w:hyperlink w:history="1" r:id="rIdhjryrustyc_isrxfvqdlf">
        <w:r>
          <w:rPr>
            <w:rStyle w:val="Hyperlink"/>
            <w:rFonts w:ascii="Verdana" w:cs="Verdana" w:eastAsia="Verdana" w:hAnsi="Verdana"/>
            <w:sz w:val="13"/>
            <w:szCs w:val="13"/>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5"/>
          <w:szCs w:val="15"/>
        </w:rPr>
        <w:t xml:space="preserve">Optional case about coffee: The Espresso Lane to Global Markets, illy (Ivey Publishing, paid): </w:t>
      </w:r>
      <w:hyperlink w:history="1" r:id="rIdcrpv_febdrfywueh4fuum">
        <w:r>
          <w:rPr>
            <w:rStyle w:val="Hyperlink"/>
            <w:rFonts w:ascii="Verdana" w:cs="Verdana" w:eastAsia="Verdana" w:hAnsi="Verdana"/>
            <w:sz w:val="13"/>
            <w:szCs w:val="13"/>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5"/>
          <w:szCs w:val="15"/>
        </w:rPr>
        <w:t xml:space="preserve">IFC PAYG Market Attractiveness Index, an Excel tool with user guide (free): </w:t>
      </w:r>
      <w:hyperlink w:history="1" r:id="rIdakyk4b33qmzltyow5ed8u">
        <w:r>
          <w:rPr>
            <w:rStyle w:val="Hyperlink"/>
            <w:rFonts w:ascii="Verdana" w:cs="Verdana" w:eastAsia="Verdana" w:hAnsi="Verdana"/>
            <w:sz w:val="13"/>
            <w:szCs w:val="13"/>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5"/>
          <w:szCs w:val="15"/>
        </w:rPr>
        <w:t xml:space="preserve">World Bank World Development Indicators: </w:t>
      </w:r>
      <w:hyperlink w:history="1" r:id="rIdd0zaeu-7gx_glpxr4f8i1">
        <w:r>
          <w:rPr>
            <w:rStyle w:val="Hyperlink"/>
            <w:rFonts w:ascii="Verdana" w:cs="Verdana" w:eastAsia="Verdana" w:hAnsi="Verdana"/>
            <w:sz w:val="13"/>
            <w:szCs w:val="13"/>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5"/>
          <w:szCs w:val="15"/>
        </w:rPr>
        <w:t xml:space="preserve">IMF World Economic Outlook: </w:t>
      </w:r>
      <w:hyperlink w:history="1" r:id="rIdwrhpvt8844nfwg_ymxvny">
        <w:r>
          <w:rPr>
            <w:rStyle w:val="Hyperlink"/>
            <w:rFonts w:ascii="Verdana" w:cs="Verdana" w:eastAsia="Verdana" w:hAnsi="Verdana"/>
            <w:sz w:val="13"/>
            <w:szCs w:val="13"/>
          </w:rPr>
          <w:t xml:space="preserve">https://data.imf.org/datasets/WEO</w:t>
        </w:r>
      </w:hyperlink>
    </w:p>
    <w:p>
      <w:pPr>
        <w:pStyle w:val="ListParagraph"/>
        <w:numPr>
          <w:ilvl w:val="0"/>
          <w:numId w:val="2"/>
        </w:numPr>
        <w:spacing w:after="10" w:line="240"/>
      </w:pPr>
      <w:r>
        <w:rPr>
          <w:rFonts w:ascii="Verdana" w:cs="Verdana" w:eastAsia="Verdana" w:hAnsi="Verdana"/>
          <w:sz w:val="15"/>
          <w:szCs w:val="15"/>
        </w:rPr>
        <w:t xml:space="preserve">World Bank Worldwide Governance Indicators: </w:t>
      </w:r>
      <w:hyperlink w:history="1" r:id="rId8_dzuw2pmum9b_cotcjxg">
        <w:r>
          <w:rPr>
            <w:rStyle w:val="Hyperlink"/>
            <w:rFonts w:ascii="Verdana" w:cs="Verdana" w:eastAsia="Verdana" w:hAnsi="Verdana"/>
            <w:sz w:val="13"/>
            <w:szCs w:val="13"/>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5"/>
          <w:szCs w:val="15"/>
        </w:rPr>
        <w:t xml:space="preserve">EU Access2Markets (tariffs, requirements, rules of origin for EU exporters): </w:t>
      </w:r>
      <w:hyperlink w:history="1" r:id="rIdxikqrg-niqvxloj4-t7w7">
        <w:r>
          <w:rPr>
            <w:rStyle w:val="Hyperlink"/>
            <w:rFonts w:ascii="Verdana" w:cs="Verdana" w:eastAsia="Verdana" w:hAnsi="Verdana"/>
            <w:sz w:val="13"/>
            <w:szCs w:val="13"/>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5"/>
          <w:szCs w:val="15"/>
        </w:rPr>
        <w:t xml:space="preserve">WTO tariff and trade data: </w:t>
      </w:r>
      <w:hyperlink w:history="1" r:id="rIdjf8vaga7hetdu1meq78_-">
        <w:r>
          <w:rPr>
            <w:rStyle w:val="Hyperlink"/>
            <w:rFonts w:ascii="Verdana" w:cs="Verdana" w:eastAsia="Verdana" w:hAnsi="Verdana"/>
            <w:sz w:val="13"/>
            <w:szCs w:val="13"/>
          </w:rPr>
          <w:t xml:space="preserve">https://stats.wto.org/</w:t>
        </w:r>
      </w:hyperlink>
    </w:p>
    <w:p>
      <w:pPr>
        <w:pStyle w:val="ListParagraph"/>
        <w:numPr>
          <w:ilvl w:val="0"/>
          <w:numId w:val="2"/>
        </w:numPr>
        <w:spacing w:after="10" w:line="240"/>
      </w:pPr>
      <w:r>
        <w:rPr>
          <w:rFonts w:ascii="Verdana" w:cs="Verdana" w:eastAsia="Verdana" w:hAnsi="Verdana"/>
          <w:sz w:val="15"/>
          <w:szCs w:val="15"/>
        </w:rPr>
        <w:t xml:space="preserve">CEPII Gravity database (distance, language; free login): </w:t>
      </w:r>
      <w:hyperlink w:history="1" r:id="rId9emnrugli75a3vpjwbzph">
        <w:r>
          <w:rPr>
            <w:rStyle w:val="Hyperlink"/>
            <w:rFonts w:ascii="Verdana" w:cs="Verdana" w:eastAsia="Verdana" w:hAnsi="Verdana"/>
            <w:sz w:val="13"/>
            <w:szCs w:val="13"/>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5"/>
          <w:szCs w:val="15"/>
        </w:rPr>
        <w:t xml:space="preserve">Hofstede dimension data matrix: </w:t>
      </w:r>
      <w:hyperlink w:history="1" r:id="rIdxkcvhunpuahjleoasr-vb">
        <w:r>
          <w:rPr>
            <w:rStyle w:val="Hyperlink"/>
            <w:rFonts w:ascii="Verdana" w:cs="Verdana" w:eastAsia="Verdana" w:hAnsi="Verdana"/>
            <w:sz w:val="13"/>
            <w:szCs w:val="13"/>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5"/>
          <w:szCs w:val="15"/>
        </w:rPr>
        <w:t xml:space="preserve">Coface country risk assessments: </w:t>
      </w:r>
      <w:hyperlink w:history="1" r:id="rId-fvcsy5fxjx-zjhvz3zp0">
        <w:r>
          <w:rPr>
            <w:rStyle w:val="Hyperlink"/>
            <w:rFonts w:ascii="Verdana" w:cs="Verdana" w:eastAsia="Verdana" w:hAnsi="Verdana"/>
            <w:sz w:val="13"/>
            <w:szCs w:val="13"/>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5"/>
          <w:szCs w:val="15"/>
        </w:rPr>
        <w:t xml:space="preserve">Euromonitor Passport and Statista (WU library; statista.com): </w:t>
      </w:r>
      <w:hyperlink w:history="1" r:id="rIdaf-aqrpktpywivnb6jv9v">
        <w:r>
          <w:rPr>
            <w:rStyle w:val="Hyperlink"/>
            <w:rFonts w:ascii="Verdana" w:cs="Verdana" w:eastAsia="Verdana" w:hAnsi="Verdana"/>
            <w:sz w:val="13"/>
            <w:szCs w:val="13"/>
          </w:rPr>
          <w:t xml:space="preserve">https://www.euromonitor.com/our-expertise/passport</w:t>
        </w:r>
      </w:hyperlink>
    </w:p>
    <w:p>
      <w:pPr>
        <w:pStyle w:val="ListParagraph"/>
        <w:numPr>
          <w:ilvl w:val="0"/>
          <w:numId w:val="2"/>
        </w:numPr>
        <w:spacing w:after="10" w:line="240"/>
      </w:pPr>
      <w:r>
        <w:rPr>
          <w:rFonts w:ascii="Verdana" w:cs="Verdana" w:eastAsia="Verdana" w:hAnsi="Verdana"/>
          <w:sz w:val="15"/>
          <w:szCs w:val="15"/>
        </w:rPr>
        <w:t xml:space="preserve">International Coffee Organization: coffee statistics: </w:t>
      </w:r>
      <w:hyperlink w:history="1" r:id="rIdatyev3c79d07cgybofygp">
        <w:r>
          <w:rPr>
            <w:rStyle w:val="Hyperlink"/>
            <w:rFonts w:ascii="Verdana" w:cs="Verdana" w:eastAsia="Verdana" w:hAnsi="Verdana"/>
            <w:sz w:val="13"/>
            <w:szCs w:val="13"/>
          </w:rPr>
          <w:t xml:space="preserve">https://www.ico.org/</w:t>
        </w:r>
      </w:hyperlink>
    </w:p>
    <w:p>
      <w:pPr>
        <w:pStyle w:val="ListParagraph"/>
        <w:numPr>
          <w:ilvl w:val="0"/>
          <w:numId w:val="2"/>
        </w:numPr>
        <w:spacing w:after="10" w:line="240"/>
      </w:pPr>
      <w:r>
        <w:rPr>
          <w:rFonts w:ascii="Verdana" w:cs="Verdana" w:eastAsia="Verdana" w:hAnsi="Verdana"/>
          <w:sz w:val="15"/>
          <w:szCs w:val="15"/>
        </w:rPr>
        <w:t xml:space="preserve">USDA Foreign Agricultural Service: annual coffee reports by country (search for your countries): </w:t>
      </w:r>
      <w:hyperlink w:history="1" r:id="rIdp6lc6xwtp7mkaqroumkuk">
        <w:r>
          <w:rPr>
            <w:rStyle w:val="Hyperlink"/>
            <w:rFonts w:ascii="Verdana" w:cs="Verdana" w:eastAsia="Verdana" w:hAnsi="Verdana"/>
            <w:sz w:val="13"/>
            <w:szCs w:val="13"/>
          </w:rPr>
          <w:t xml:space="preserve">https://www.fas.usda.gov/</w:t>
        </w:r>
      </w:hyperlink>
    </w:p>
    <w:p>
      <w:pPr>
        <w:pStyle w:val="ListParagraph"/>
        <w:numPr>
          <w:ilvl w:val="0"/>
          <w:numId w:val="2"/>
        </w:numPr>
        <w:spacing w:after="10" w:line="240"/>
      </w:pPr>
      <w:r>
        <w:rPr>
          <w:rFonts w:ascii="Verdana" w:cs="Verdana" w:eastAsia="Verdana" w:hAnsi="Verdana"/>
          <w:sz w:val="15"/>
          <w:szCs w:val="15"/>
        </w:rPr>
        <w:t xml:space="preserve">UN Comtrade (comtradeplus.un.org) and ITC Trade Map (free login): coffee trade flows and tariffs, HS 0901: </w:t>
      </w:r>
      <w:hyperlink w:history="1" r:id="rIdmyk41z4fwjb6vdwjkaro_">
        <w:r>
          <w:rPr>
            <w:rStyle w:val="Hyperlink"/>
            <w:rFonts w:ascii="Verdana" w:cs="Verdana" w:eastAsia="Verdana" w:hAnsi="Verdana"/>
            <w:sz w:val="13"/>
            <w:szCs w:val="13"/>
          </w:rPr>
          <w:t xml:space="preserve">https://www.trademap.org/</w:t>
        </w:r>
      </w:hyperlink>
    </w:p>
    <w:p>
      <w:pPr>
        <w:pStyle w:val="ListParagraph"/>
        <w:numPr>
          <w:ilvl w:val="0"/>
          <w:numId w:val="2"/>
        </w:numPr>
        <w:spacing w:after="10" w:line="240"/>
      </w:pPr>
      <w:r>
        <w:rPr>
          <w:rFonts w:ascii="Verdana" w:cs="Verdana" w:eastAsia="Verdana" w:hAnsi="Verdana"/>
          <w:sz w:val="15"/>
          <w:szCs w:val="15"/>
        </w:rPr>
        <w:t xml:space="preserve">WKO AUSSENWIRTSCHAFT: reports and country profiles: </w:t>
      </w:r>
      <w:hyperlink w:history="1" r:id="rId0d_mnwnfdoemzh6by_z4r">
        <w:r>
          <w:rPr>
            <w:rStyle w:val="Hyperlink"/>
            <w:rFonts w:ascii="Verdana" w:cs="Verdana" w:eastAsia="Verdana" w:hAnsi="Verdana"/>
            <w:sz w:val="13"/>
            <w:szCs w:val="13"/>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_alaagr_tq1okr4yqtcty" Type="http://schemas.openxmlformats.org/officeDocument/2006/relationships/hyperlink" Target="https://github.com/arnefloh-wu/scoring-method-search" TargetMode="External"/><Relationship Id="rIdylfl0k4jm_slnghu2aoer" Type="http://schemas.openxmlformats.org/officeDocument/2006/relationships/hyperlink" Target="https://knowledge4policy.ec.europa.eu/composite-indicators/toolkit_en/your-10-step-pocket-guide-composite-indicators-scoreboards_en" TargetMode="External"/><Relationship Id="rId-0bdqn7yqixwg_g0jqds-" Type="http://schemas.openxmlformats.org/officeDocument/2006/relationships/hyperlink" Target="https://doi.org/10.1787/9789264043466-en" TargetMode="External"/><Relationship Id="rIdeizwxbcp6dlnicxhompvv" Type="http://schemas.openxmlformats.org/officeDocument/2006/relationships/hyperlink" Target="https://doi.org/10.1007/s11205-017-1832-9" TargetMode="External"/><Relationship Id="rIdcd_abrll5m9vv8mpwfzhk" Type="http://schemas.openxmlformats.org/officeDocument/2006/relationships/hyperlink" Target="https://bpmsg.com/new-ahp-excel-template-with-multiple-inputs/" TargetMode="External"/><Relationship Id="rIdni3xazc5b0evrsetxwbki" Type="http://schemas.openxmlformats.org/officeDocument/2006/relationships/hyperlink" Target="https://bestworstmethod.com/" TargetMode="External"/><Relationship Id="rIdjyp3ml1-qf4d1tz382f3w" Type="http://schemas.openxmlformats.org/officeDocument/2006/relationships/hyperlink" Target="https://knowledge4policy.ec.europa.eu/composite-indicators/coin-tool_en" TargetMode="External"/><Relationship Id="rIdfwghugsuhu3ul_ngvxmd6" Type="http://schemas.openxmlformats.org/officeDocument/2006/relationships/hyperlink" Target="https://globaledge.msu.edu/mpi" TargetMode="External"/><Relationship Id="rIdisyhpsod4q_vcj4ufipk1" Type="http://schemas.openxmlformats.org/officeDocument/2006/relationships/hyperlink" Target="https://doi.org/10.1016/S0007-6813%2897%2990030-6" TargetMode="External"/><Relationship Id="rIdi3fx6ge2dg9b0xuufuvwd" Type="http://schemas.openxmlformats.org/officeDocument/2006/relationships/hyperlink" Target="https://hbr.org/2001/09/distance-still-matters-the-hard-reality-of-global-expansion" TargetMode="External"/><Relationship Id="rId3qvgmwjq_6onofpv44rp6" Type="http://schemas.openxmlformats.org/officeDocument/2006/relationships/hyperlink" Target="https://doi.org/10.5539/ijms.v4n6p44" TargetMode="External"/><Relationship Id="rIdhnxyh2qwr2d0r6-xrmy9p" Type="http://schemas.openxmlformats.org/officeDocument/2006/relationships/hyperlink" Target="https://doi.org/10.1016/j.ecolecon.2016.06.018" TargetMode="External"/><Relationship Id="rIdpi_fqlqo2fdtk3rhcvyqb" Type="http://schemas.openxmlformats.org/officeDocument/2006/relationships/hyperlink" Target="https://umbraco.exportpotential.intracen.org/media/cklh2pi5/epa-methodology_230627.pdf" TargetMode="External"/><Relationship Id="rId1wns4if33xaq7q4mbi7io" Type="http://schemas.openxmlformats.org/officeDocument/2006/relationships/hyperlink" Target="https://www.kearney.com/industry/consumer-retail/global-retail-development-index" TargetMode="External"/><Relationship Id="rIdhjryrustyc_isrxfvqdlf" Type="http://schemas.openxmlformats.org/officeDocument/2006/relationships/hyperlink" Target="https://www.eurazeo.com/sites/default/files/2023-10/Eurazeo-International-Expansion-Playbook-GROWTH.pdf" TargetMode="External"/><Relationship Id="rIdcrpv_febdrfywueh4fuum" Type="http://schemas.openxmlformats.org/officeDocument/2006/relationships/hyperlink" Target="https://www.iveypublishing.ca/s/product/the-espresso-lane-to-global-markets/01t5c00000CwqzKAAR" TargetMode="External"/><Relationship Id="rIdakyk4b33qmzltyow5ed8u" Type="http://schemas.openxmlformats.org/officeDocument/2006/relationships/hyperlink" Target="https://www.lightingglobal.org/wp-content/uploads/2018/11/IFC-PAYG-market-attractiveness-index-USER-GUIDE-AND-DATA-1Oct2018.pdf" TargetMode="External"/><Relationship Id="rIdd0zaeu-7gx_glpxr4f8i1" Type="http://schemas.openxmlformats.org/officeDocument/2006/relationships/hyperlink" Target="https://databank.worldbank.org/source/world-development-indicators" TargetMode="External"/><Relationship Id="rIdwrhpvt8844nfwg_ymxvny" Type="http://schemas.openxmlformats.org/officeDocument/2006/relationships/hyperlink" Target="https://data.imf.org/datasets/WEO" TargetMode="External"/><Relationship Id="rId8_dzuw2pmum9b_cotcjxg" Type="http://schemas.openxmlformats.org/officeDocument/2006/relationships/hyperlink" Target="https://www.worldbank.org/en/publication/worldwide-governance-indicators" TargetMode="External"/><Relationship Id="rIdxikqrg-niqvxloj4-t7w7" Type="http://schemas.openxmlformats.org/officeDocument/2006/relationships/hyperlink" Target="https://trade.ec.europa.eu/access-to-markets/en/content/what-access2markets-0" TargetMode="External"/><Relationship Id="rIdjf8vaga7hetdu1meq78_-" Type="http://schemas.openxmlformats.org/officeDocument/2006/relationships/hyperlink" Target="https://stats.wto.org/" TargetMode="External"/><Relationship Id="rId9emnrugli75a3vpjwbzph" Type="http://schemas.openxmlformats.org/officeDocument/2006/relationships/hyperlink" Target="https://www.cepii.fr/CEPII/en/bdd_modele/bdd_modele_item.asp?id=8" TargetMode="External"/><Relationship Id="rIdxkcvhunpuahjleoasr-vb" Type="http://schemas.openxmlformats.org/officeDocument/2006/relationships/hyperlink" Target="https://geerthofstede.com/research-and-vsm/dimension-data-matrix/" TargetMode="External"/><Relationship Id="rId-fvcsy5fxjx-zjhvz3zp0" Type="http://schemas.openxmlformats.org/officeDocument/2006/relationships/hyperlink" Target="https://www.coface.com/news-economy-and-insights/business-risk-dashboard/country-risk-files" TargetMode="External"/><Relationship Id="rIdaf-aqrpktpywivnb6jv9v" Type="http://schemas.openxmlformats.org/officeDocument/2006/relationships/hyperlink" Target="https://www.euromonitor.com/our-expertise/passport" TargetMode="External"/><Relationship Id="rIdatyev3c79d07cgybofygp" Type="http://schemas.openxmlformats.org/officeDocument/2006/relationships/hyperlink" Target="https://www.ico.org/" TargetMode="External"/><Relationship Id="rIdp6lc6xwtp7mkaqroumkuk" Type="http://schemas.openxmlformats.org/officeDocument/2006/relationships/hyperlink" Target="https://www.fas.usda.gov/" TargetMode="External"/><Relationship Id="rIdmyk41z4fwjb6vdwjkaro_" Type="http://schemas.openxmlformats.org/officeDocument/2006/relationships/hyperlink" Target="https://www.trademap.org/" TargetMode="External"/><Relationship Id="rId0d_mnwnfdoemzh6by_z4r"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2026-10-13T15:46:33.598Z</dcterms:created>
  <dcterms:modified xsi:type="dcterms:W3CDTF">2026-10-13T15:46:33.598Z</dcterms:modified>
</cp:coreProperties>
</file>

<file path=docProps/custom.xml><?xml version="1.0" encoding="utf-8"?>
<Properties xmlns="http://schemas.openxmlformats.org/officeDocument/2006/custom-properties" xmlns:vt="http://schemas.openxmlformats.org/officeDocument/2006/docPropsVTypes"/>
</file>