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model. Discussion time: </w:t>
            </w:r>
            <w:r>
              <w:rPr>
                <w:rFonts w:ascii="Verdana" w:cs="Verdana" w:eastAsia="Verdana" w:hAnsi="Verdana"/>
                <w:sz w:val="16"/>
                <w:szCs w:val="16"/>
                <w:highlight w:val="yellow"/>
              </w:rPr>
              <w:t xml:space="preserve">[x minutes]</w:t>
            </w:r>
            <w:r>
              <w:rPr>
                <w:rFonts w:ascii="Verdana" w:cs="Verdana" w:eastAsia="Verdana" w:hAnsi="Verdana"/>
                <w:sz w:val="16"/>
                <w:szCs w:val="16"/>
              </w:rPr>
              <w:t xml:space="preserve">.</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highlight w:val="yellow"/>
              </w:rPr>
              <w:t xml:space="preserve">[date and time]</w:t>
            </w:r>
            <w:r>
              <w:rPr>
                <w:rFonts w:ascii="Verdana" w:cs="Verdana" w:eastAsia="Verdana" w:hAnsi="Verdana"/>
                <w:sz w:val="16"/>
                <w:szCs w:val="16"/>
              </w:rPr>
              <w:t xml:space="preserve"> on Canvas: one presentation file and one Excel file, named GroupX_Midterm and GroupX_Midterm_Model.</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scoring tool you recommended in your content presentation (Presentation 1).</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Section 8 describes the content.</w:t>
      </w:r>
    </w:p>
    <w:p>
      <w:pPr>
        <w:keepNext/>
        <w:spacing w:after="80" w:before="0" w:line="252"/>
      </w:pPr>
      <w:r>
        <w:rPr>
          <w:rFonts w:ascii="Verdana" w:cs="Verdana" w:eastAsia="Verdana" w:hAnsi="Verdana"/>
          <w:b/>
          <w:bCs/>
          <w:sz w:val="19"/>
          <w:szCs w:val="19"/>
        </w:rPr>
        <w:t xml:space="preserve">Country allocation for Part B</w:t>
      </w:r>
      <w:r>
        <w:rPr>
          <w:rFonts w:ascii="Verdana" w:cs="Verdana" w:eastAsia="Verdana" w:hAnsi="Verdana"/>
          <w:sz w:val="19"/>
          <w:szCs w:val="19"/>
        </w:rPr>
        <w:t xml:space="preserve"> (one country per group, drawn at random):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Country for Part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w:t>
      </w:r>
    </w:p>
    <w:p>
      <w:pPr>
        <w:spacing w:after="120" w:before="0" w:line="252"/>
      </w:pPr>
      <w:r>
        <w:rPr>
          <w:rFonts w:ascii="Verdana" w:cs="Verdana" w:eastAsia="Verdana" w:hAnsi="Verdana"/>
          <w:sz w:val="19"/>
          <w:szCs w:val="19"/>
        </w:rPr>
        <w:t xml:space="preserve">The steps follow the standard logic of composite indicators and weighted scoring (OECD/JRC, Cavusgil). Each step lists what to hand in; the Excel file in section 9 mirrors these steps.</w:t>
      </w:r>
    </w:p>
    <w:p>
      <w:pPr>
        <w:pStyle w:val="Heading2"/>
        <w:keepNext/>
      </w:pPr>
      <w:r>
        <w:rPr>
          <w:rFonts w:ascii="Verdana" w:cs="Verdana" w:eastAsia="Verdana" w:hAnsi="Verdana"/>
        </w:rPr>
        <w:t xml:space="preserve">Step 1  Search indicators (PESTEL)</w:t>
      </w:r>
    </w:p>
    <w:p>
      <w:pPr>
        <w:spacing w:after="120" w:before="0" w:line="252"/>
      </w:pPr>
      <w:r>
        <w:rPr>
          <w:rFonts w:ascii="Verdana" w:cs="Verdana" w:eastAsia="Verdana" w:hAnsi="Verdana"/>
          <w:sz w:val="19"/>
          <w:szCs w:val="19"/>
        </w:rPr>
        <w:t xml:space="preserve">Start broad. All groups search for the same six countries. 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(political, economic, social, technological, environmental, legal)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consolidates the shortlists of all groups into the common criteria in Step 2).</w:t>
      </w:r>
    </w:p>
    <w:p>
      <w:pPr>
        <w:pStyle w:val="Heading2"/>
        <w:keepNext/>
      </w:pPr>
      <w:r>
        <w:rPr>
          <w:rFonts w:ascii="Verdana" w:cs="Verdana" w:eastAsia="Verdana" w:hAnsi="Verdana"/>
        </w:rPr>
        <w:t xml:space="preserve">Step 2  Frame the decision and apply the common criteria</w:t>
      </w:r>
    </w:p>
    <w:p>
      <w:pPr>
        <w:spacing w:after="12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State your time horizon and that the unit is the country. </w:t>
      </w: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(Excel README sheet and slide 2).</w:t>
      </w:r>
    </w:p>
    <w:p>
      <w:pPr>
        <w:keepNext/>
        <w:spacing w:after="60" w:before="0" w:line="252"/>
      </w:pPr>
      <w:r>
        <w:rPr>
          <w:rFonts w:ascii="Verdana" w:cs="Verdana" w:eastAsia="Verdana" w:hAnsi="Verdana"/>
          <w:sz w:val="19"/>
          <w:szCs w:val="19"/>
        </w:rPr>
        <w:t xml:space="preserve">After the PESTEL search the instructor publishes </w:t>
      </w:r>
      <w:r>
        <w:rPr>
          <w:rFonts w:ascii="Verdana" w:cs="Verdana" w:eastAsia="Verdana" w:hAnsi="Verdana"/>
          <w:b/>
          <w:bCs/>
          <w:sz w:val="19"/>
          <w:szCs w:val="19"/>
        </w:rPr>
        <w:t xml:space="preserve">one common set of criteria and indicators</w:t>
      </w:r>
      <w:r>
        <w:rPr>
          <w:rFonts w:ascii="Verdana" w:cs="Verdana" w:eastAsia="Verdana" w:hAnsi="Verdana"/>
          <w:sz w:val="19"/>
          <w:szCs w:val="19"/>
        </w:rPr>
        <w:t xml:space="preserve"> </w:t>
      </w:r>
      <w:r>
        <w:rPr>
          <w:rFonts w:ascii="Verdana" w:cs="Verdana" w:eastAsia="Verdana" w:hAnsi="Verdana"/>
          <w:sz w:val="19"/>
          <w:szCs w:val="19"/>
          <w:highlight w:val="yellow"/>
        </w:rPr>
        <w:t xml:space="preserve">[release date and format to be confirmed]</w:t>
      </w:r>
      <w:r>
        <w:rPr>
          <w:rFonts w:ascii="Verdana" w:cs="Verdana" w:eastAsia="Verdana" w:hAnsi="Verdana"/>
          <w:sz w:val="19"/>
          <w:szCs w:val="19"/>
        </w:rPr>
        <w:t xml:space="preserve">, built from the group shortlists and Julius Meinl's six dimensions (section 5). </w:t>
      </w:r>
      <w:r>
        <w:rPr>
          <w:rFonts w:ascii="Verdana" w:cs="Verdana" w:eastAsia="Verdana" w:hAnsi="Verdana"/>
          <w:b/>
          <w:bCs/>
          <w:sz w:val="19"/>
          <w:szCs w:val="19"/>
        </w:rPr>
        <w:t xml:space="preserve">All groups use this set unchanged</w:t>
      </w:r>
      <w:r>
        <w:rPr>
          <w:rFonts w:ascii="Verdana" w:cs="Verdana" w:eastAsia="Verdana" w:hAnsi="Verdana"/>
          <w:sz w:val="19"/>
          <w:szCs w:val="19"/>
        </w:rPr>
        <w:t xml:space="preserve">, so that the results are comparable. You may add an extra indicator of your own, but label it clearly as an extra and keep it out of the common score. Rules for the common set:</w:t>
      </w:r>
    </w:p>
    <w:p>
      <w:pPr>
        <w:pStyle w:val="ListParagraph"/>
        <w:numPr>
          <w:ilvl w:val="0"/>
          <w:numId w:val="2"/>
        </w:numPr>
        <w:spacing w:after="60" w:line="252"/>
      </w:pPr>
      <w:r>
        <w:rPr>
          <w:rFonts w:ascii="Verdana" w:cs="Verdana" w:eastAsia="Verdana" w:hAnsi="Verdana"/>
          <w:sz w:val="19"/>
          <w:szCs w:val="19"/>
        </w:rPr>
        <w:t xml:space="preserve">About 8 to 14 indicators in total </w:t>
      </w:r>
      <w:r>
        <w:rPr>
          <w:rFonts w:ascii="Verdana" w:cs="Verdana" w:eastAsia="Verdana" w:hAnsi="Verdana"/>
          <w:sz w:val="19"/>
          <w:szCs w:val="19"/>
          <w:highlight w:val="yellow"/>
        </w:rPr>
        <w:t xml:space="preserve">[final number to be confirmed]</w:t>
      </w:r>
      <w:r>
        <w:rPr>
          <w:rFonts w:ascii="Verdana" w:cs="Verdana" w:eastAsia="Verdana" w:hAnsi="Verdana"/>
          <w:sz w:val="19"/>
          <w:szCs w:val="19"/>
        </w:rPr>
        <w:t xml:space="preserve">, each available for all six countries.</w:t>
      </w:r>
    </w:p>
    <w:p>
      <w:pPr>
        <w:pStyle w:val="ListParagraph"/>
        <w:numPr>
          <w:ilvl w:val="0"/>
          <w:numId w:val="2"/>
        </w:numPr>
        <w:spacing w:after="60" w:line="252"/>
      </w:pPr>
      <w:r>
        <w:rPr>
          <w:rFonts w:ascii="Verdana" w:cs="Verdana" w:eastAsia="Verdana" w:hAnsi="Verdana"/>
          <w:sz w:val="19"/>
          <w:szCs w:val="19"/>
        </w:rPr>
        <w:t xml:space="preserve">Cover </w:t>
      </w:r>
      <w:r>
        <w:rPr>
          <w:rFonts w:ascii="Verdana" w:cs="Verdana" w:eastAsia="Verdana" w:hAnsi="Verdana"/>
          <w:b/>
          <w:bCs/>
          <w:sz w:val="19"/>
          <w:szCs w:val="19"/>
        </w:rPr>
        <w:t xml:space="preserve">attractiveness</w:t>
      </w:r>
      <w:r>
        <w:rPr>
          <w:rFonts w:ascii="Verdana" w:cs="Verdana" w:eastAsia="Verdana" w:hAnsi="Verdana"/>
          <w:sz w:val="19"/>
          <w:szCs w:val="19"/>
        </w:rPr>
        <w:t xml:space="preserve"> (size, growth, spending power) and </w:t>
      </w:r>
      <w:r>
        <w:rPr>
          <w:rFonts w:ascii="Verdana" w:cs="Verdana" w:eastAsia="Verdana" w:hAnsi="Verdana"/>
          <w:b/>
          <w:bCs/>
          <w:sz w:val="19"/>
          <w:szCs w:val="19"/>
        </w:rPr>
        <w:t xml:space="preserve">accessibility</w:t>
      </w:r>
      <w:r>
        <w:rPr>
          <w:rFonts w:ascii="Verdana" w:cs="Verdana" w:eastAsia="Verdana" w:hAnsi="Verdana"/>
          <w:sz w:val="19"/>
          <w:szCs w:val="19"/>
        </w:rPr>
        <w:t xml:space="preserve"> (distance, import conditions, risk). Attractive markets that are hard to reach are a classic trap (Papadopoulos et al.).</w:t>
      </w:r>
    </w:p>
    <w:p>
      <w:pPr>
        <w:pStyle w:val="ListParagraph"/>
        <w:numPr>
          <w:ilvl w:val="0"/>
          <w:numId w:val="2"/>
        </w:numPr>
        <w:spacing w:after="60" w:line="252"/>
      </w:pPr>
      <w:r>
        <w:rPr>
          <w:rFonts w:ascii="Verdana" w:cs="Verdana" w:eastAsia="Verdana" w:hAnsi="Verdana"/>
          <w:sz w:val="19"/>
          <w:szCs w:val="19"/>
        </w:rPr>
        <w:t xml:space="preserve">Avoid double counting: GDP, population and imports move together. Use one indicator per idea or group them.</w:t>
      </w:r>
    </w:p>
    <w:p>
      <w:pPr>
        <w:pStyle w:val="ListParagraph"/>
        <w:numPr>
          <w:ilvl w:val="0"/>
          <w:numId w:val="2"/>
        </w:numPr>
        <w:spacing w:after="60" w:line="252"/>
      </w:pPr>
      <w:r>
        <w:rPr>
          <w:rFonts w:ascii="Verdana" w:cs="Verdana" w:eastAsia="Verdana" w:hAnsi="Verdana"/>
          <w:sz w:val="19"/>
          <w:szCs w:val="19"/>
        </w:rPr>
        <w:t xml:space="preserve">Fix the </w:t>
      </w:r>
      <w:r>
        <w:rPr>
          <w:rFonts w:ascii="Verdana" w:cs="Verdana" w:eastAsia="Verdana" w:hAnsi="Verdana"/>
          <w:b/>
          <w:bCs/>
          <w:sz w:val="19"/>
          <w:szCs w:val="19"/>
        </w:rPr>
        <w:t xml:space="preserve">direction</w:t>
      </w:r>
      <w:r>
        <w:rPr>
          <w:rFonts w:ascii="Verdana" w:cs="Verdana" w:eastAsia="Verdana" w:hAnsi="Verdana"/>
          <w:sz w:val="19"/>
          <w:szCs w:val="19"/>
        </w:rPr>
        <w:t xml:space="preserve"> of every indicator (higher is better or worse).</w:t>
      </w:r>
    </w:p>
    <w:p>
      <w:pPr>
        <w:pStyle w:val="ListParagraph"/>
        <w:numPr>
          <w:ilvl w:val="0"/>
          <w:numId w:val="2"/>
        </w:numPr>
        <w:spacing w:after="100" w:line="252"/>
      </w:pPr>
      <w:r>
        <w:rPr>
          <w:rFonts w:ascii="Verdana" w:cs="Verdana" w:eastAsia="Verdana" w:hAnsi="Verdana"/>
          <w:sz w:val="19"/>
          <w:szCs w:val="19"/>
        </w:rPr>
        <w:t xml:space="preserve">Qualitative criteria (coffee culture, competition) use the same scoring rubric in every group, with defined anchors, for example 1 to 5 with a sentence per level. Two team members score independently, then agree.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and the criteria sheet (copy of the common set with the direction of each indicator and your rationale).</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for your allocated country only and enter them in the shared data file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Use the latest year available and note it. Record unit, year, URL and date of access for every number. Decide how to treat missing values (substitute a comparable indicator, drop the indicator, or impute) and document it. Follow the indicator definitions exactly, because the other groups use your numbers for their comparison. Size effects: Brazil and Mexico are very large, Uruguay is small, so the common set prefers per-capita and share indicators.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The instructor releases the complete six-country data file to all groups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4  Normalise (standardise)</w:t>
      </w:r>
    </w:p>
    <w:p>
      <w:pPr>
        <w:keepNext/>
        <w:spacing w:after="60" w:before="0" w:line="252"/>
      </w:pPr>
      <w:r>
        <w:rPr>
          <w:rFonts w:ascii="Verdana" w:cs="Verdana" w:eastAsia="Verdana" w:hAnsi="Verdana"/>
          <w:sz w:val="19"/>
          <w:szCs w:val="19"/>
        </w:rPr>
        <w:t xml:space="preserve">Indicators come in different units (US dollars, percent, number of hotels), so subtracting the mean (centering) alone is not enough: it fixes the zero point but not the unit. You must also rescale. Use the complete six-country data file and bring all indicators to the same 0 to 100 scale, reversing those where lower is better:</w:t>
      </w:r>
    </w:p>
    <w:p>
      <w:pPr>
        <w:pStyle w:val="ListParagraph"/>
        <w:numPr>
          <w:ilvl w:val="0"/>
          <w:numId w:val="2"/>
        </w:numPr>
        <w:spacing w:after="60" w:line="252"/>
      </w:pPr>
      <w:r>
        <w:rPr>
          <w:rFonts w:ascii="Verdana" w:cs="Verdana" w:eastAsia="Verdana" w:hAnsi="Verdana"/>
          <w:sz w:val="19"/>
          <w:szCs w:val="19"/>
        </w:rPr>
        <w:t xml:space="preserve">Higher is better: score = 100 x (x - min) / (max - min)</w:t>
      </w:r>
    </w:p>
    <w:p>
      <w:pPr>
        <w:pStyle w:val="ListParagraph"/>
        <w:numPr>
          <w:ilvl w:val="0"/>
          <w:numId w:val="2"/>
        </w:numPr>
        <w:spacing w:after="100" w:line="252"/>
      </w:pPr>
      <w:r>
        <w:rPr>
          <w:rFonts w:ascii="Verdana" w:cs="Verdana" w:eastAsia="Verdana" w:hAnsi="Verdana"/>
          <w:sz w:val="19"/>
          <w:szCs w:val="19"/>
        </w:rPr>
        <w:t xml:space="preserve">Lower is better: score = 100 x (max - x) / (max - min)</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gives the best country 100 and the weakest 0 on every indicator, even if the real gap is tiny. This exaggerates small differences. Therefore show a second variant. The standard alternative is the </w:t>
      </w:r>
      <w:r>
        <w:rPr>
          <w:rFonts w:ascii="Verdana" w:cs="Verdana" w:eastAsia="Verdana" w:hAnsi="Verdana"/>
          <w:b/>
          <w:bCs/>
          <w:sz w:val="19"/>
          <w:szCs w:val="19"/>
        </w:rPr>
        <w:t xml:space="preserve">z-score</w:t>
      </w:r>
      <w:r>
        <w:rPr>
          <w:rFonts w:ascii="Verdana" w:cs="Verdana" w:eastAsia="Verdana" w:hAnsi="Verdana"/>
          <w:sz w:val="19"/>
          <w:szCs w:val="19"/>
        </w:rPr>
        <w:t xml:space="preserve"> (centering plus scaling: subtract the mean, divide by the standard deviation), which keeps the distances in the data but has no fixed 0 to 100 range. Other options are fixed "goalposts" (min and max taken from a wider reference set such as all Latin American countries), ranks, and explain which you chose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normalised sheet with live formulas.</w:t>
      </w:r>
    </w:p>
    <w:p>
      <w:pPr>
        <w:pStyle w:val="Heading2"/>
        <w:keepNext/>
      </w:pPr>
      <w:r>
        <w:rPr>
          <w:rFonts w:ascii="Verdana" w:cs="Verdana" w:eastAsia="Verdana" w:hAnsi="Verdana"/>
        </w:rPr>
        <w:t xml:space="preserve">Step 5  Set the weights</w:t>
      </w:r>
    </w:p>
    <w:p>
      <w:pPr>
        <w:spacing w:after="120" w:before="0" w:line="252"/>
      </w:pPr>
      <w:r>
        <w:rPr>
          <w:rFonts w:ascii="Verdana" w:cs="Verdana" w:eastAsia="Verdana" w:hAnsi="Verdana"/>
          <w:sz w:val="19"/>
          <w:szCs w:val="19"/>
        </w:rPr>
        <w:t xml:space="preserve">The criteria are common, the weights are yours. The criteria are common, the weights are yours. Use the weighting approach you recommended in Presentation 1 and justify it with the case: Julius Meinl says, for example, that hotels matter most, that it targets premium buyers, and that success depends on the local partner. Section 6 compares the main methods. Document who judged, how the individual judgements were combined, and (for AHP) the consistency ratio. Set your weights </w:t>
      </w:r>
      <w:r>
        <w:rPr>
          <w:rFonts w:ascii="Verdana" w:cs="Verdana" w:eastAsia="Verdana" w:hAnsi="Verdana"/>
          <w:b/>
          <w:bCs/>
          <w:sz w:val="19"/>
          <w:szCs w:val="19"/>
        </w:rPr>
        <w:t xml:space="preserve">before</w:t>
      </w:r>
      <w:r>
        <w:rPr>
          <w:rFonts w:ascii="Verdana" w:cs="Verdana" w:eastAsia="Verdana" w:hAnsi="Verdana"/>
          <w:sz w:val="19"/>
          <w:szCs w:val="19"/>
        </w:rPr>
        <w:t xml:space="preserve"> you look at the ranking and write them down. </w:t>
      </w:r>
      <w:r>
        <w:rPr>
          <w:rFonts w:ascii="Verdana" w:cs="Verdana" w:eastAsia="Verdana" w:hAnsi="Verdana"/>
          <w:b/>
          <w:bCs/>
          <w:sz w:val="19"/>
          <w:szCs w:val="19"/>
        </w:rPr>
        <w:t xml:space="preserve">Hand in:</w:t>
      </w:r>
      <w:r>
        <w:rPr>
          <w:rFonts w:ascii="Verdana" w:cs="Verdana" w:eastAsia="Verdana" w:hAnsi="Verdana"/>
          <w:sz w:val="19"/>
          <w:szCs w:val="19"/>
        </w:rPr>
        <w:t xml:space="preserve"> weights sheet with method and derivation.</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Baseline: weighted sum, Score(country) = sum of weight x normalised score. A large market can then offset a poor business climate (full compensation). If some conditions are knock-outs for Julius Meinl (for example, import barriers that make premium pricing impossible), add a non-compensatory filter first, as in the classic screening funnel (Cavusgil 1985): countries that fail the threshold are excluded before scoring. Explain your choice. </w:t>
      </w:r>
      <w:r>
        <w:rPr>
          <w:rFonts w:ascii="Verdana" w:cs="Verdana" w:eastAsia="Verdana" w:hAnsi="Verdana"/>
          <w:b/>
          <w:bCs/>
          <w:sz w:val="19"/>
          <w:szCs w:val="19"/>
        </w:rPr>
        <w:t xml:space="preserve">Hand in:</w:t>
      </w:r>
      <w:r>
        <w:rPr>
          <w:rFonts w:ascii="Verdana" w:cs="Verdana" w:eastAsia="Verdana" w:hAnsi="Verdana"/>
          <w:sz w:val="19"/>
          <w:szCs w:val="19"/>
        </w:rPr>
        <w:t xml:space="preserve"> scores and ranking sheet (SUMPRODUCT and RANK formulas).</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recompute the scores of all six countries with the four alternative weight sets below, in addition to your own. Weights are given per Julius Meinl dimension (sum 100); split each dimension's weight equally among its indicators.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250"/>
        <w:gridCol w:w="1500"/>
        <w:gridCol w:w="1350"/>
        <w:gridCol w:w="13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Hotel-led</w:t>
            </w:r>
          </w:p>
        </w:tc>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Consumer-led</w:t>
            </w:r>
          </w:p>
        </w:tc>
        <w:tc>
          <w:tcPr>
            <w:tcW w:type="dxa" w:w="13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Easy entry</w:t>
            </w:r>
          </w:p>
        </w:tc>
        <w:tc>
          <w:tcPr>
            <w:tcW w:type="dxa" w:w="13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Your own</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Premium coffee segment</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Tourism and hotels</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30</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Purchasing power</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Competitive landscape</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Import and regulation</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35</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Coffee culture</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3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Hotel-led</w:t>
      </w:r>
      <w:r>
        <w:rPr>
          <w:rFonts w:ascii="Verdana" w:cs="Verdana" w:eastAsia="Verdana" w:hAnsi="Verdana"/>
          <w:sz w:val="19"/>
          <w:szCs w:val="19"/>
        </w:rPr>
        <w:t xml:space="preserve"> follows Julius Meinl's own emphasis on hotels and tourists. </w:t>
      </w:r>
      <w:r>
        <w:rPr>
          <w:rFonts w:ascii="Verdana" w:cs="Verdana" w:eastAsia="Verdana" w:hAnsi="Verdana"/>
          <w:b/>
          <w:bCs/>
          <w:sz w:val="19"/>
          <w:szCs w:val="19"/>
        </w:rPr>
        <w:t xml:space="preserve">Consumer-led</w:t>
      </w:r>
      <w:r>
        <w:rPr>
          <w:rFonts w:ascii="Verdana" w:cs="Verdana" w:eastAsia="Verdana" w:hAnsi="Verdana"/>
          <w:sz w:val="19"/>
          <w:szCs w:val="19"/>
        </w:rPr>
        <w:t xml:space="preserve"> assumes entry through retail and cafés for local premium buyers. </w:t>
      </w:r>
      <w:r>
        <w:rPr>
          <w:rFonts w:ascii="Verdana" w:cs="Verdana" w:eastAsia="Verdana" w:hAnsi="Verdana"/>
          <w:b/>
          <w:bCs/>
          <w:sz w:val="19"/>
          <w:szCs w:val="19"/>
        </w:rPr>
        <w:t xml:space="preserve">Easy entry</w:t>
      </w:r>
      <w:r>
        <w:rPr>
          <w:rFonts w:ascii="Verdana" w:cs="Verdana" w:eastAsia="Verdana" w:hAnsi="Verdana"/>
          <w:sz w:val="19"/>
          <w:szCs w:val="19"/>
        </w:rPr>
        <w:t xml:space="preserve"> puts import conditions first, for a company without a sales organisation abroad.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From Julius Meinl's six dimensions to the common indicators</w:t>
      </w:r>
    </w:p>
    <w:p>
      <w:pPr>
        <w:spacing w:after="100" w:before="0" w:line="252"/>
      </w:pPr>
      <w:r>
        <w:rPr>
          <w:rFonts w:ascii="Verdana" w:cs="Verdana" w:eastAsia="Verdana" w:hAnsi="Verdana"/>
          <w:sz w:val="19"/>
          <w:szCs w:val="19"/>
        </w:rPr>
        <w:t xml:space="preserve">This table is the starting point for the PESTEL search and for the instructor's common set. Choose what you can measure for all six countries. Check each source for the latest edition.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50"/>
        <w:gridCol w:w="1700"/>
        <w:gridCol w:w="3622"/>
        <w:gridCol w:w="2300"/>
      </w:tblGrid>
      <w:tr>
        <w:trPr>
          <w:cantSplit/>
          <w:tblHeader/>
        </w:trPr>
        <w:tc>
          <w:tcPr>
            <w:tcW w:type="dxa" w:w="14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Dimension</w:t>
            </w:r>
          </w:p>
        </w:tc>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asks</w:t>
            </w:r>
          </w:p>
        </w:tc>
        <w:tc>
          <w:tcPr>
            <w:tcW w:type="dxa" w:w="36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Candidate indicators</w:t>
            </w:r>
          </w:p>
        </w:tc>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Possible sources</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Premium coffee segment</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Size in hospitality and in retail</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Household consumption per capita; GDP per capita (PPP) as proxies</w:t>
            </w:r>
          </w:p>
          <w:p>
            <w:pPr>
              <w:spacing w:after="40" w:line="240"/>
            </w:pPr>
            <w:r>
              <w:rPr>
                <w:rFonts w:ascii="Verdana" w:cs="Verdana" w:eastAsia="Verdana" w:hAnsi="Verdana"/>
                <w:sz w:val="15"/>
                <w:szCs w:val="15"/>
              </w:rPr>
              <w:t xml:space="preserve">Value and growth of the coffee category (retail and out-of-home) if available</w:t>
            </w:r>
          </w:p>
          <w:p>
            <w:pPr>
              <w:spacing w:after="40" w:line="240"/>
            </w:pPr>
            <w:r>
              <w:rPr>
                <w:rFonts w:ascii="Verdana" w:cs="Verdana" w:eastAsia="Verdana" w:hAnsi="Verdana"/>
                <w:sz w:val="15"/>
                <w:szCs w:val="15"/>
              </w:rPr>
              <w:t xml:space="preserve">Number of specialty cafés in the capital and the two largest cities (own count, define the rule)</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 Euromonitor Passport and Statista (WU library); USDA FAS coffee reports; own online count</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Tourism and hotels</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Visitor volume, origin, international hotel groups</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tourist arrivals and tourism receipts</w:t>
            </w:r>
          </w:p>
          <w:p>
            <w:pPr>
              <w:spacing w:after="40" w:line="240"/>
            </w:pPr>
            <w:r>
              <w:rPr>
                <w:rFonts w:ascii="Verdana" w:cs="Verdana" w:eastAsia="Verdana" w:hAnsi="Verdana"/>
                <w:sz w:val="15"/>
                <w:szCs w:val="15"/>
              </w:rPr>
              <w:t xml:space="preserve">Share of visitors from Europe and North America, if available</w:t>
            </w:r>
          </w:p>
          <w:p>
            <w:pPr>
              <w:spacing w:after="40" w:line="240"/>
            </w:pPr>
            <w:r>
              <w:rPr>
                <w:rFonts w:ascii="Verdana" w:cs="Verdana" w:eastAsia="Verdana" w:hAnsi="Verdana"/>
                <w:sz w:val="15"/>
                <w:szCs w:val="15"/>
              </w:rPr>
              <w:t xml:space="preserve">International-brand hotels in the capital (own count, define the rule)</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WDI (UN Tourism data); national tourism statistics; hotel group and booking websites (note date and method)</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Purchasing power</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Economic development, who can pay a premium price</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household consumption per capita</w:t>
            </w:r>
          </w:p>
          <w:p>
            <w:pPr>
              <w:spacing w:after="40" w:line="240"/>
            </w:pPr>
            <w:r>
              <w:rPr>
                <w:rFonts w:ascii="Verdana" w:cs="Verdana" w:eastAsia="Verdana" w:hAnsi="Verdana"/>
                <w:sz w:val="15"/>
                <w:szCs w:val="15"/>
              </w:rPr>
              <w:t xml:space="preserve">Income inequality as a modifier</w:t>
            </w:r>
          </w:p>
          <w:p>
            <w:pPr>
              <w:spacing w:after="40" w:line="240"/>
            </w:pPr>
            <w:r>
              <w:rPr>
                <w:rFonts w:ascii="Verdana" w:cs="Verdana" w:eastAsia="Verdana" w:hAnsi="Verdana"/>
                <w:sz w:val="15"/>
                <w:szCs w:val="15"/>
              </w:rPr>
              <w:t xml:space="preserve">Inflation and exchange-rate stability</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WDI; IMF World Economic Outlook</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Competitive landscape</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Which premium brands, at what price</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Presence of international premium brands (supermarkets, online shops, hotels)</w:t>
            </w:r>
          </w:p>
          <w:p>
            <w:pPr>
              <w:spacing w:after="40" w:line="240"/>
            </w:pPr>
            <w:r>
              <w:rPr>
                <w:rFonts w:ascii="Verdana" w:cs="Verdana" w:eastAsia="Verdana" w:hAnsi="Verdana"/>
                <w:sz w:val="15"/>
                <w:szCs w:val="15"/>
              </w:rPr>
              <w:t xml:space="preserve">Price of a premium 250 g pack; price of an espresso in premium cafés</w:t>
            </w:r>
          </w:p>
          <w:p>
            <w:pPr>
              <w:spacing w:after="40" w:line="240"/>
            </w:pPr>
            <w:r>
              <w:rPr>
                <w:rFonts w:ascii="Verdana" w:cs="Verdana" w:eastAsia="Verdana" w:hAnsi="Verdana"/>
                <w:sz w:val="15"/>
                <w:szCs w:val="15"/>
              </w:rPr>
              <w:t xml:space="preserve">Strength of local roasters (qualitative rubric)</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Own online scan of brands and prices (section 8); Euromonitor company shares; USDA FAS</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Import and regulation</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Tariffs, certification, what applies to EU goods</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Applied tariff for roasted coffee (HS 0901.21) for EU origin; trade agreement with the EU</w:t>
            </w:r>
          </w:p>
          <w:p>
            <w:pPr>
              <w:spacing w:after="40" w:line="240"/>
            </w:pPr>
            <w:r>
              <w:rPr>
                <w:rFonts w:ascii="Verdana" w:cs="Verdana" w:eastAsia="Verdana" w:hAnsi="Verdana"/>
                <w:sz w:val="15"/>
                <w:szCs w:val="15"/>
              </w:rPr>
              <w:t xml:space="preserve">Product, labelling and certification requirements</w:t>
            </w:r>
          </w:p>
          <w:p>
            <w:pPr>
              <w:spacing w:after="40" w:line="240"/>
            </w:pPr>
            <w:r>
              <w:rPr>
                <w:rFonts w:ascii="Verdana" w:cs="Verdana" w:eastAsia="Verdana" w:hAnsi="Verdana"/>
                <w:sz w:val="15"/>
                <w:szCs w:val="15"/>
              </w:rPr>
              <w:t xml:space="preserve">Logistics and regulatory quality</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EU Access2Markets; WTO tariff data; World Bank LPI and WGI; B-READY (check coverage)</w:t>
            </w:r>
          </w:p>
        </w:tc>
      </w:tr>
      <w:tr>
        <w:trPr>
          <w:cantSplit/>
        </w:trPr>
        <w:tc>
          <w:tcPr>
            <w:tcW w:type="dxa" w:w="14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Coffee culture</w:t>
            </w:r>
          </w:p>
        </w:tc>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How coffee is drunk and how much outside the home</w:t>
            </w:r>
          </w:p>
        </w:tc>
        <w:tc>
          <w:tcPr>
            <w:tcW w:type="dxa" w:w="36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Domestic coffee consumption per capita</w:t>
            </w:r>
          </w:p>
          <w:p>
            <w:pPr>
              <w:spacing w:after="40" w:line="240"/>
            </w:pPr>
            <w:r>
              <w:rPr>
                <w:rFonts w:ascii="Verdana" w:cs="Verdana" w:eastAsia="Verdana" w:hAnsi="Verdana"/>
                <w:sz w:val="15"/>
                <w:szCs w:val="15"/>
              </w:rPr>
              <w:t xml:space="preserve">Out-of-home and café culture (qualitative rubric)</w:t>
            </w:r>
          </w:p>
          <w:p>
            <w:pPr>
              <w:spacing w:after="40" w:line="240"/>
            </w:pPr>
            <w:r>
              <w:rPr>
                <w:rFonts w:ascii="Verdana" w:cs="Verdana" w:eastAsia="Verdana" w:hAnsi="Verdana"/>
                <w:sz w:val="15"/>
                <w:szCs w:val="15"/>
              </w:rPr>
              <w:t xml:space="preserve">European influence (qualitative rubric)</w:t>
            </w:r>
          </w:p>
          <w:p>
            <w:pPr>
              <w:spacing w:after="40" w:line="240"/>
            </w:pPr>
            <w:r>
              <w:rPr>
                <w:rFonts w:ascii="Verdana" w:cs="Verdana" w:eastAsia="Verdana" w:hAnsi="Verdana"/>
                <w:sz w:val="15"/>
                <w:szCs w:val="15"/>
              </w:rPr>
              <w:t xml:space="preserve">Domestic production (competition, but also affinity)</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 statistics; USDA FAS; Euromonitor; industry and travel reports</w:t>
            </w:r>
          </w:p>
        </w:tc>
      </w:tr>
    </w:tbl>
    <w:p>
      <w:pPr>
        <w:spacing w:after="120" w:before="100" w:line="252"/>
      </w:pPr>
      <w:r>
        <w:rPr>
          <w:rFonts w:ascii="Verdana" w:cs="Verdana" w:eastAsia="Verdana" w:hAnsi="Verdana"/>
          <w:b/>
          <w:bCs/>
          <w:sz w:val="20"/>
          <w:szCs w:val="20"/>
        </w:rPr>
        <w:t xml:space="preserve">Candidates for the search</w:t>
      </w:r>
      <w:r>
        <w:rPr>
          <w:rFonts w:ascii="Verdana" w:cs="Verdana" w:eastAsia="Verdana" w:hAnsi="Verdana"/>
          <w:sz w:val="20"/>
          <w:szCs w:val="20"/>
        </w:rPr>
        <w:t xml:space="preserve"> (justify each): geographic, cultural and administrative distance from Austria (CAGE; CEPII Gravity, Hofstede with its validity critique), projected growth (IMF WEO), country risk (Coface or Allianz Trade, WGI). Links to the data portals are in section 14. Do not assume the current status of trade agreements or tariffs: look it up and record the date.</w:t>
      </w:r>
    </w:p>
    <w:p>
      <w:pPr>
        <w:pStyle w:val="Heading1"/>
        <w:keepNext/>
      </w:pPr>
      <w:r>
        <w:rPr>
          <w:rFonts w:ascii="Verdana" w:cs="Verdana" w:eastAsia="Verdana" w:hAnsi="Verdana"/>
        </w:rPr>
        <w:t xml:space="preserve">6  Weighting and aggregation: your toolbox</w:t>
      </w:r>
    </w:p>
    <w:p>
      <w:pPr>
        <w:spacing w:after="100" w:before="0" w:line="252"/>
      </w:pPr>
      <w:r>
        <w:rPr>
          <w:rFonts w:ascii="Verdana" w:cs="Verdana" w:eastAsia="Verdana" w:hAnsi="Verdana"/>
          <w:sz w:val="19"/>
          <w:szCs w:val="19"/>
        </w:rPr>
        <w:t xml:space="preserve">Choose the method you recommended in Presentation 1. This table is a reminder, not a menu to copy from.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300"/>
        <w:gridCol w:w="21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Method</w:t>
            </w:r>
          </w:p>
        </w:tc>
        <w:tc>
          <w:tcPr>
            <w:tcW w:type="dxa" w:w="2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How the weights arise</w:t>
            </w:r>
          </w:p>
        </w:tc>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Good for</w:t>
            </w:r>
          </w:p>
        </w:tc>
        <w:tc>
          <w:tcPr>
            <w:tcW w:type="dxa" w:w="21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Watch out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Direct rating or point allocation</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Rate each criterion 0 to 100, or distribute 100 points (Bottomley and Doyle 2001). Anchor the most important criterion at 100.</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Fast, transparent start; team discussion</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States importance but no trade-offs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Rank-order centroid (ROC)</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The team only ranks the criteria. Weight of rank i among n criteria: (1/n) x sum of 1/k for k = i to n (Barron and Barrett 1996).</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A team that can rank but not quantify</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Steep weights: the top criterion dominates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AHP</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Pairwise comparisons on a 1 to 9 scale; weights from the eigenvector or geometric mean; consistency ratio below 0.10 (Saaty 1990).</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Hard-to-rank criteria; free Excel template</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n(n-1)/2 judgements: keep to about 7 criteria per level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Best-Worst Method</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Pick the best and the worst criterion and compare all others to them: 2n-3 comparisons (Rezaei 2015).</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Fewer judgements than AHP; Excel Solver</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Needs a solver; still subjective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Entropy or CRITIC</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Objective: weights from the variation in the data (entropy) or variation and correlation (CRITIC).</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A comparison against your own weights</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With six countries very unstable; use only as a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Equal weights</w:t>
            </w:r>
          </w:p>
        </w:tc>
        <w:tc>
          <w:tcPr>
            <w:tcW w:type="dxa" w:w="2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Every indicator the same.</w:t>
            </w:r>
          </w:p>
        </w:tc>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A benchmark in the robustness tests</w:t>
            </w:r>
          </w:p>
        </w:tc>
        <w:tc>
          <w:tcPr>
            <w:tcW w:type="dxa" w:w="21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Not neutral: it implies trade-off rates (Decancq and Lugo 2013)</w:t>
            </w:r>
          </w:p>
        </w:tc>
      </w:tr>
    </w:tbl>
    <w:p>
      <w:pPr>
        <w:spacing w:after="120" w:before="100" w:line="252"/>
      </w:pPr>
      <w:r>
        <w:rPr>
          <w:rFonts w:ascii="Verdana" w:cs="Verdana" w:eastAsia="Verdana" w:hAnsi="Verdana"/>
          <w:sz w:val="19"/>
          <w:szCs w:val="19"/>
        </w:rPr>
        <w:t xml:space="preserve">For aggregation, start with the weighted sum. Compare it with a weighted geometric mean (less compensation: a very weak dimension pulls the score down) or TOPSIS (distance to the best and worst country).</w:t>
      </w:r>
    </w:p>
    <w:p>
      <w:pPr>
        <w:spacing w:after="120" w:before="0" w:line="252"/>
      </w:pPr>
      <w:r>
        <w:rPr>
          <w:rFonts w:ascii="Verdana" w:cs="Verdana" w:eastAsia="Verdana" w:hAnsi="Verdana"/>
          <w:b/>
          <w:bCs/>
          <w:sz w:val="19"/>
          <w:szCs w:val="19"/>
        </w:rPr>
        <w:t xml:space="preserve">Worked mini-example of the weighted sum.</w:t>
      </w:r>
      <w:r>
        <w:rPr>
          <w:rFonts w:ascii="Verdana" w:cs="Verdana" w:eastAsia="Verdana" w:hAnsi="Verdana"/>
          <w:sz w:val="19"/>
          <w:szCs w:val="19"/>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tests other weights.</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Excel sources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Excel file</w:t>
      </w:r>
    </w:p>
    <w:p>
      <w:pPr>
        <w:keepNext/>
        <w:spacing w:after="60" w:before="0" w:line="252"/>
      </w:pPr>
      <w:r>
        <w:rPr>
          <w:rFonts w:ascii="Verdana" w:cs="Verdana" w:eastAsia="Verdana" w:hAnsi="Verdana"/>
          <w:sz w:val="19"/>
          <w:szCs w:val="19"/>
        </w:rPr>
        <w:t xml:space="preserve">One workbook that someone else can follow without your presentation.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1 README</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Team, date, version, decision sentence, how to read the workbook, colour code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2 Criteria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indicators with Julius Meinl dimension, definition, direction and your rationale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3 Data</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Raw values of all six countries (rows: countries; columns: indicators) with unit and year; your own country's values marked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4 Normalised</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Normalised scores by formula; the second variant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5 Weights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Method, judgements, resulting weights (sum 100), consistency check</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6 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by SUMPRODUCT, ranking by RANK; scores by dimension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7 Robustness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four alternative weight sets and the resulting scores and ranks for each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8 Industry</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Part B: industry data, value-chain notes, five-forces ratings with evidence, brand and price scan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9 Sources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Every source with URL, date accessed, who collected it</w:t>
            </w:r>
          </w:p>
        </w:tc>
      </w:tr>
    </w:tbl>
    <w:p>
      <w:pPr>
        <w:spacing w:after="120" w:before="100" w:line="252"/>
      </w:pPr>
      <w:r>
        <w:rPr>
          <w:rFonts w:ascii="Verdana" w:cs="Verdana" w:eastAsia="Verdana" w:hAnsi="Verdana"/>
          <w:sz w:val="19"/>
          <w:szCs w:val="19"/>
        </w:rPr>
        <w:t xml:space="preserve">Rules: results are produced by formulas, not pasted values; inputs and formulas are visibly different (for example blue input cells); no hidden sheets or hard-coded numbers in the score sheet.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Tool from Presentation 1 applied correctly; normalisation and weights justified; model reproducible in Excel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by </w:t>
            </w:r>
            <w:r>
              <w:rPr>
                <w:rFonts w:ascii="Verdana" w:cs="Verdana" w:eastAsia="Verdana" w:hAnsi="Verdana"/>
                <w:sz w:val="16"/>
                <w:szCs w:val="16"/>
                <w:highlight w:val="yellow"/>
              </w:rPr>
              <w:t xml:space="preserve">[deadline]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Show a second normalisation.</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Weights that reproduce the ranking you expected.</w:t>
      </w:r>
      <w:r>
        <w:rPr>
          <w:rFonts w:ascii="Verdana" w:cs="Verdana" w:eastAsia="Verdana" w:hAnsi="Verdana"/>
          <w:sz w:val="19"/>
          <w:szCs w:val="19"/>
        </w:rPr>
        <w:t xml:space="preserve"> Fix and document your weights before you see results.</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n1xu0br8ovtr-frc-avdx">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vnuzpxz_qb4vmztce-5pc">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qc2tor6uxtbepekx-9ivp">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j4qqwb-xapy-xuwhpr-mg">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h1321gictnpdalwvlo4mj">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mf0ynl7xokxidua5zxzrp">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gnimuzxxvyfb1nady6xuf">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jujfjlfjs3ar-j2r_oibo">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yo8g7eryrer8uzhq5tsp">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ceyvnqtvnur78fnqxyj3x">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xe2m_zurr4uvm8p4f4yja">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vwcq9o9ndti8c1ptp3k0z">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tsozufrdxdayqejoqhn1m">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yrlay3n0d4acla9_gaysw">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2dfu1qvevbtumcqtt5uyi">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yzq_r4mnfwe6s8mfq-0jw">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etf2b67ugx3asz5ar3gct">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gudtku7uod5b0xj8walyp">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sucjajgl7vaosgifltvdi">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wqlthiauighxwqykbfntd">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6_mjt_09_xkalom-mbgvl">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vr2rfeq1yjpp0aw_l-nn0">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8wm5imrjaho3yrzlshwmc">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5be6kk0qox4oujqoqdetp">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zn6qunxv7f7yqzpf8rlc-">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yyz2u7cwtwhm1pj7fl84q">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kubongksykr9klhgg7xqc">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zk2hvh9-ifiyopcqvzdr-">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sgq5knp2ly-ljas_w-tau">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iwsccpfchdelulxx5y4l">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1xu0br8ovtr-frc-avdx" Type="http://schemas.openxmlformats.org/officeDocument/2006/relationships/hyperlink" Target="https://github.com/arnefloh-wu/scoring-method-search" TargetMode="External"/><Relationship Id="rIdvnuzpxz_qb4vmztce-5pc" Type="http://schemas.openxmlformats.org/officeDocument/2006/relationships/hyperlink" Target="https://knowledge4policy.ec.europa.eu/composite-indicators/toolkit_en/your-10-step-pocket-guide-composite-indicators-scoreboards_en" TargetMode="External"/><Relationship Id="rIdqc2tor6uxtbepekx-9ivp" Type="http://schemas.openxmlformats.org/officeDocument/2006/relationships/hyperlink" Target="https://doi.org/10.1787/9789264043466-en" TargetMode="External"/><Relationship Id="rIdj4qqwb-xapy-xuwhpr-mg" Type="http://schemas.openxmlformats.org/officeDocument/2006/relationships/hyperlink" Target="https://doi.org/10.1007/s11205-017-1832-9" TargetMode="External"/><Relationship Id="rIdh1321gictnpdalwvlo4mj" Type="http://schemas.openxmlformats.org/officeDocument/2006/relationships/hyperlink" Target="https://bpmsg.com/new-ahp-excel-template-with-multiple-inputs/" TargetMode="External"/><Relationship Id="rIdmf0ynl7xokxidua5zxzrp" Type="http://schemas.openxmlformats.org/officeDocument/2006/relationships/hyperlink" Target="https://bestworstmethod.com/" TargetMode="External"/><Relationship Id="rIdgnimuzxxvyfb1nady6xuf" Type="http://schemas.openxmlformats.org/officeDocument/2006/relationships/hyperlink" Target="https://knowledge4policy.ec.europa.eu/composite-indicators/coin-tool_en" TargetMode="External"/><Relationship Id="rIdjujfjlfjs3ar-j2r_oibo" Type="http://schemas.openxmlformats.org/officeDocument/2006/relationships/hyperlink" Target="https://globaledge.msu.edu/mpi" TargetMode="External"/><Relationship Id="rId-yo8g7eryrer8uzhq5tsp" Type="http://schemas.openxmlformats.org/officeDocument/2006/relationships/hyperlink" Target="https://doi.org/10.1016/S0007-6813%2897%2990030-6" TargetMode="External"/><Relationship Id="rIdceyvnqtvnur78fnqxyj3x" Type="http://schemas.openxmlformats.org/officeDocument/2006/relationships/hyperlink" Target="https://hbr.org/2001/09/distance-still-matters-the-hard-reality-of-global-expansion" TargetMode="External"/><Relationship Id="rIdxe2m_zurr4uvm8p4f4yja" Type="http://schemas.openxmlformats.org/officeDocument/2006/relationships/hyperlink" Target="https://doi.org/10.5539/ijms.v4n6p44" TargetMode="External"/><Relationship Id="rIdvwcq9o9ndti8c1ptp3k0z" Type="http://schemas.openxmlformats.org/officeDocument/2006/relationships/hyperlink" Target="https://doi.org/10.1016/j.ecolecon.2016.06.018" TargetMode="External"/><Relationship Id="rIdtsozufrdxdayqejoqhn1m" Type="http://schemas.openxmlformats.org/officeDocument/2006/relationships/hyperlink" Target="https://umbraco.exportpotential.intracen.org/media/cklh2pi5/epa-methodology_230627.pdf" TargetMode="External"/><Relationship Id="rIdyrlay3n0d4acla9_gaysw" Type="http://schemas.openxmlformats.org/officeDocument/2006/relationships/hyperlink" Target="https://www.kearney.com/industry/consumer-retail/global-retail-development-index" TargetMode="External"/><Relationship Id="rId2dfu1qvevbtumcqtt5uyi" Type="http://schemas.openxmlformats.org/officeDocument/2006/relationships/hyperlink" Target="https://www.eurazeo.com/sites/default/files/2023-10/Eurazeo-International-Expansion-Playbook-GROWTH.pdf" TargetMode="External"/><Relationship Id="rIdyzq_r4mnfwe6s8mfq-0jw" Type="http://schemas.openxmlformats.org/officeDocument/2006/relationships/hyperlink" Target="https://www.iveypublishing.ca/s/product/the-espresso-lane-to-global-markets/01t5c00000CwqzKAAR" TargetMode="External"/><Relationship Id="rIdetf2b67ugx3asz5ar3gct" Type="http://schemas.openxmlformats.org/officeDocument/2006/relationships/hyperlink" Target="https://www.lightingglobal.org/wp-content/uploads/2018/11/IFC-PAYG-market-attractiveness-index-USER-GUIDE-AND-DATA-1Oct2018.pdf" TargetMode="External"/><Relationship Id="rIdgudtku7uod5b0xj8walyp" Type="http://schemas.openxmlformats.org/officeDocument/2006/relationships/hyperlink" Target="https://databank.worldbank.org/source/world-development-indicators" TargetMode="External"/><Relationship Id="rIdsucjajgl7vaosgifltvdi" Type="http://schemas.openxmlformats.org/officeDocument/2006/relationships/hyperlink" Target="https://data.imf.org/datasets/WEO" TargetMode="External"/><Relationship Id="rIdwqlthiauighxwqykbfntd" Type="http://schemas.openxmlformats.org/officeDocument/2006/relationships/hyperlink" Target="https://www.worldbank.org/en/publication/worldwide-governance-indicators" TargetMode="External"/><Relationship Id="rId6_mjt_09_xkalom-mbgvl" Type="http://schemas.openxmlformats.org/officeDocument/2006/relationships/hyperlink" Target="https://trade.ec.europa.eu/access-to-markets/en/content/what-access2markets-0" TargetMode="External"/><Relationship Id="rIdvr2rfeq1yjpp0aw_l-nn0" Type="http://schemas.openxmlformats.org/officeDocument/2006/relationships/hyperlink" Target="https://stats.wto.org/" TargetMode="External"/><Relationship Id="rId8wm5imrjaho3yrzlshwmc" Type="http://schemas.openxmlformats.org/officeDocument/2006/relationships/hyperlink" Target="https://www.cepii.fr/CEPII/en/bdd_modele/bdd_modele_item.asp?id=8" TargetMode="External"/><Relationship Id="rId5be6kk0qox4oujqoqdetp" Type="http://schemas.openxmlformats.org/officeDocument/2006/relationships/hyperlink" Target="https://geerthofstede.com/research-and-vsm/dimension-data-matrix/" TargetMode="External"/><Relationship Id="rIdzn6qunxv7f7yqzpf8rlc-" Type="http://schemas.openxmlformats.org/officeDocument/2006/relationships/hyperlink" Target="https://www.coface.com/news-economy-and-insights/business-risk-dashboard/country-risk-files" TargetMode="External"/><Relationship Id="rIdyyz2u7cwtwhm1pj7fl84q" Type="http://schemas.openxmlformats.org/officeDocument/2006/relationships/hyperlink" Target="https://www.euromonitor.com/our-expertise/passport" TargetMode="External"/><Relationship Id="rIdkubongksykr9klhgg7xqc" Type="http://schemas.openxmlformats.org/officeDocument/2006/relationships/hyperlink" Target="https://www.ico.org/" TargetMode="External"/><Relationship Id="rIdzk2hvh9-ifiyopcqvzdr-" Type="http://schemas.openxmlformats.org/officeDocument/2006/relationships/hyperlink" Target="https://www.fas.usda.gov/" TargetMode="External"/><Relationship Id="rIdsgq5knp2ly-ljas_w-tau" Type="http://schemas.openxmlformats.org/officeDocument/2006/relationships/hyperlink" Target="https://www.trademap.org/" TargetMode="External"/><Relationship Id="rId-iwsccpfchdelulxx5y4l"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2026-10-13T15:41:47.050Z</dcterms:created>
  <dcterms:modified xsi:type="dcterms:W3CDTF">2026-10-13T15:41:47.051Z</dcterms:modified>
</cp:coreProperties>
</file>

<file path=docProps/custom.xml><?xml version="1.0" encoding="utf-8"?>
<Properties xmlns="http://schemas.openxmlformats.org/officeDocument/2006/custom-properties" xmlns:vt="http://schemas.openxmlformats.org/officeDocument/2006/docPropsVTypes"/>
</file>