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0D22" w14:textId="77777777" w:rsidR="00F02BBA" w:rsidRPr="00F02BBA" w:rsidRDefault="00F02BBA" w:rsidP="00F02BBA">
      <w:pPr>
        <w:spacing w:after="0" w:line="480" w:lineRule="auto"/>
        <w:rPr>
          <w:rFonts w:ascii="Times New Roman" w:hAnsi="Times New Roman" w:cs="Times New Roman"/>
          <w:b/>
          <w:bCs/>
          <w:lang w:val="en-US"/>
        </w:rPr>
      </w:pPr>
      <w:r w:rsidRPr="00F02BBA">
        <w:rPr>
          <w:rFonts w:ascii="Times New Roman" w:hAnsi="Times New Roman" w:cs="Times New Roman"/>
          <w:b/>
          <w:bCs/>
          <w:lang w:val="en-US"/>
        </w:rPr>
        <w:t>Selling the Nation. Nationalist marketing, foreignness and consumer loyalty</w:t>
      </w:r>
    </w:p>
    <w:p w14:paraId="28FABDD9" w14:textId="76FE143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International business scholars have begun to take politics more seriously, and we believe the two </w:t>
      </w:r>
      <w:proofErr w:type="spellStart"/>
      <w:r w:rsidRPr="00F02BBA">
        <w:rPr>
          <w:rFonts w:ascii="Times New Roman" w:hAnsi="Times New Roman" w:cs="Times New Roman"/>
          <w:sz w:val="22"/>
          <w:szCs w:val="22"/>
          <w:lang w:val="en-US"/>
        </w:rPr>
        <w:t>CPoIB</w:t>
      </w:r>
      <w:proofErr w:type="spellEnd"/>
      <w:r w:rsidRPr="00F02BBA">
        <w:rPr>
          <w:rFonts w:ascii="Times New Roman" w:hAnsi="Times New Roman" w:cs="Times New Roman"/>
          <w:sz w:val="22"/>
          <w:szCs w:val="22"/>
          <w:lang w:val="en-US"/>
        </w:rPr>
        <w:t xml:space="preserve"> viewpoint collections clearly show why this matters. The first collection examines how Trumpism and economic nationalism </w:t>
      </w:r>
      <w:proofErr w:type="spellStart"/>
      <w:r w:rsidRPr="00F02BBA">
        <w:rPr>
          <w:rFonts w:ascii="Times New Roman" w:hAnsi="Times New Roman" w:cs="Times New Roman"/>
          <w:sz w:val="22"/>
          <w:szCs w:val="22"/>
          <w:lang w:val="en-US"/>
        </w:rPr>
        <w:t>politicise</w:t>
      </w:r>
      <w:proofErr w:type="spellEnd"/>
      <w:r w:rsidRPr="00F02BBA">
        <w:rPr>
          <w:rFonts w:ascii="Times New Roman" w:hAnsi="Times New Roman" w:cs="Times New Roman"/>
          <w:sz w:val="22"/>
          <w:szCs w:val="22"/>
          <w:lang w:val="en-US"/>
        </w:rPr>
        <w:t xml:space="preserve"> tariffs, foreign direct investment, foreignness, and the legitimacy of multinational enterprise (Burmester et al., 2026). The second shows how rule-of-law backsliding, sustainability rollback, and business-and-human-rights contestation weaken the institutional and normative ground on which responsible international business depends (Sinkovics et al., 2026). While we agree with this diagnosis, we suggest that one major corporate function remains under-explored: </w:t>
      </w:r>
      <w:r w:rsidR="009911DF">
        <w:rPr>
          <w:rFonts w:ascii="Times New Roman" w:hAnsi="Times New Roman" w:cs="Times New Roman"/>
          <w:sz w:val="22"/>
          <w:szCs w:val="22"/>
          <w:lang w:val="en-US"/>
        </w:rPr>
        <w:t xml:space="preserve">the </w:t>
      </w:r>
      <w:r w:rsidRPr="00F02BBA">
        <w:rPr>
          <w:rFonts w:ascii="Times New Roman" w:hAnsi="Times New Roman" w:cs="Times New Roman"/>
          <w:sz w:val="22"/>
          <w:szCs w:val="22"/>
          <w:lang w:val="en-US"/>
        </w:rPr>
        <w:t>marketing</w:t>
      </w:r>
      <w:r w:rsidR="009911DF">
        <w:rPr>
          <w:rFonts w:ascii="Times New Roman" w:hAnsi="Times New Roman" w:cs="Times New Roman"/>
          <w:sz w:val="22"/>
          <w:szCs w:val="22"/>
          <w:lang w:val="en-US"/>
        </w:rPr>
        <w:t xml:space="preserve"> of products and services</w:t>
      </w:r>
      <w:r w:rsidRPr="00F02BBA">
        <w:rPr>
          <w:rFonts w:ascii="Times New Roman" w:hAnsi="Times New Roman" w:cs="Times New Roman"/>
          <w:sz w:val="22"/>
          <w:szCs w:val="22"/>
          <w:lang w:val="en-US"/>
        </w:rPr>
        <w:t>.</w:t>
      </w:r>
    </w:p>
    <w:p w14:paraId="36520845" w14:textId="32F43C62"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We believe this omission </w:t>
      </w:r>
      <w:r w:rsidR="008E7AC6">
        <w:rPr>
          <w:rFonts w:ascii="Times New Roman" w:hAnsi="Times New Roman" w:cs="Times New Roman"/>
          <w:sz w:val="22"/>
          <w:szCs w:val="22"/>
          <w:lang w:val="en-US"/>
        </w:rPr>
        <w:t>is problematic</w:t>
      </w:r>
      <w:r w:rsidRPr="00F02BBA">
        <w:rPr>
          <w:rFonts w:ascii="Times New Roman" w:hAnsi="Times New Roman" w:cs="Times New Roman"/>
          <w:sz w:val="22"/>
          <w:szCs w:val="22"/>
          <w:lang w:val="en-US"/>
        </w:rPr>
        <w:t xml:space="preserve"> because populist politics does not stay in speeches, tariffs, rallies, or executive orders, but enters markets, brands, shelves, labels, advertisements, sales pitches, and social media campaigns. Firms do not only adapt to nationalist politics, but may also package and sell it. In doing so, they can turn ordinary consumer choice into a test of loyalty to a politically constructed idea of the nation, drawing everyday consumption into what </w:t>
      </w:r>
      <w:proofErr w:type="spellStart"/>
      <w:r w:rsidRPr="00F02BBA">
        <w:rPr>
          <w:rFonts w:ascii="Times New Roman" w:hAnsi="Times New Roman" w:cs="Times New Roman"/>
          <w:sz w:val="22"/>
          <w:szCs w:val="22"/>
          <w:lang w:val="en-US"/>
        </w:rPr>
        <w:t>Castelló</w:t>
      </w:r>
      <w:proofErr w:type="spellEnd"/>
      <w:r w:rsidRPr="00F02BBA">
        <w:rPr>
          <w:rFonts w:ascii="Times New Roman" w:hAnsi="Times New Roman" w:cs="Times New Roman"/>
          <w:sz w:val="22"/>
          <w:szCs w:val="22"/>
          <w:lang w:val="en-US"/>
        </w:rPr>
        <w:t xml:space="preserve"> and </w:t>
      </w:r>
      <w:proofErr w:type="spellStart"/>
      <w:r w:rsidRPr="00F02BBA">
        <w:rPr>
          <w:rFonts w:ascii="Times New Roman" w:hAnsi="Times New Roman" w:cs="Times New Roman"/>
          <w:sz w:val="22"/>
          <w:szCs w:val="22"/>
          <w:lang w:val="en-US"/>
        </w:rPr>
        <w:t>Mihelj</w:t>
      </w:r>
      <w:proofErr w:type="spellEnd"/>
      <w:r w:rsidRPr="00F02BBA">
        <w:rPr>
          <w:rFonts w:ascii="Times New Roman" w:hAnsi="Times New Roman" w:cs="Times New Roman"/>
          <w:sz w:val="22"/>
          <w:szCs w:val="22"/>
          <w:lang w:val="en-US"/>
        </w:rPr>
        <w:t xml:space="preserve"> (2018) term consumer nationalism. We argue that nationalist marketing is a form of discursive corporate political activity that does not merely promote domestic </w:t>
      </w:r>
      <w:r w:rsidR="009911DF" w:rsidRPr="00F02BBA">
        <w:rPr>
          <w:rFonts w:ascii="Times New Roman" w:hAnsi="Times New Roman" w:cs="Times New Roman"/>
          <w:sz w:val="22"/>
          <w:szCs w:val="22"/>
          <w:lang w:val="en-US"/>
        </w:rPr>
        <w:t>products but</w:t>
      </w:r>
      <w:r w:rsidRPr="00F02BBA">
        <w:rPr>
          <w:rFonts w:ascii="Times New Roman" w:hAnsi="Times New Roman" w:cs="Times New Roman"/>
          <w:sz w:val="22"/>
          <w:szCs w:val="22"/>
          <w:lang w:val="en-US"/>
        </w:rPr>
        <w:t xml:space="preserve"> allows firms to construct the meaning of the nation, the foreigner, and the good consumer (Burmester et al., 2026). In its stronger forms, nationalist marketing does not simply say “our products are made here,” but explicitly or implicitly says “their products do not belong here.”</w:t>
      </w:r>
    </w:p>
    <w:p w14:paraId="04142220"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Trumpism has been one clear example of this logic, but not the only one. Similar appeals appear in many populist projects, including “America First,” “Buy British” appeals, “Make in India,” “Buy European Food,” and frequent calls to </w:t>
      </w:r>
      <w:proofErr w:type="spellStart"/>
      <w:r w:rsidRPr="00F02BBA">
        <w:rPr>
          <w:rFonts w:ascii="Times New Roman" w:hAnsi="Times New Roman" w:cs="Times New Roman"/>
          <w:sz w:val="22"/>
          <w:szCs w:val="22"/>
          <w:lang w:val="en-US"/>
        </w:rPr>
        <w:t>favour</w:t>
      </w:r>
      <w:proofErr w:type="spellEnd"/>
      <w:r w:rsidRPr="00F02BBA">
        <w:rPr>
          <w:rFonts w:ascii="Times New Roman" w:hAnsi="Times New Roman" w:cs="Times New Roman"/>
          <w:sz w:val="22"/>
          <w:szCs w:val="22"/>
          <w:lang w:val="en-US"/>
        </w:rPr>
        <w:t xml:space="preserve"> domestic or regional products. These campaigns differ in history, content, and moral force, and even where they may be justified as defensive, developmental or harmless, they might push firms beyond country-of-origin marketing into country-of-enmity marketing: the use of foreign origin as a marker of suspicion, hostility, or disloyalty (Shimp and Sharma, 1987; Klein et al., 1998).</w:t>
      </w:r>
    </w:p>
    <w:p w14:paraId="136DDE0D"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International marketing has long studied country-of-origin marketing, based on the idea that consumers use country cues to judge products and services. Claims such as “German engineering,” </w:t>
      </w:r>
      <w:r w:rsidRPr="00F02BBA">
        <w:rPr>
          <w:rFonts w:ascii="Times New Roman" w:hAnsi="Times New Roman" w:cs="Times New Roman"/>
          <w:sz w:val="22"/>
          <w:szCs w:val="22"/>
          <w:lang w:val="en-US"/>
        </w:rPr>
        <w:lastRenderedPageBreak/>
        <w:t xml:space="preserve">“Italian design,” “Swiss precision,” “Japanese quality,” and “Made in America” help consumers reduce uncertainty and link origin to quality, authenticity, or expertise. We do not reject this form of country-of-origin marketing, since it can be harmless and useful when origin tells consumers something real about production, </w:t>
      </w:r>
      <w:proofErr w:type="spellStart"/>
      <w:r w:rsidRPr="00F02BBA">
        <w:rPr>
          <w:rFonts w:ascii="Times New Roman" w:hAnsi="Times New Roman" w:cs="Times New Roman"/>
          <w:sz w:val="22"/>
          <w:szCs w:val="22"/>
          <w:lang w:val="en-US"/>
        </w:rPr>
        <w:t>labour</w:t>
      </w:r>
      <w:proofErr w:type="spellEnd"/>
      <w:r w:rsidRPr="00F02BBA">
        <w:rPr>
          <w:rFonts w:ascii="Times New Roman" w:hAnsi="Times New Roman" w:cs="Times New Roman"/>
          <w:sz w:val="22"/>
          <w:szCs w:val="22"/>
          <w:lang w:val="en-US"/>
        </w:rPr>
        <w:t xml:space="preserve"> standards, craft, or regional expertise.</w:t>
      </w:r>
    </w:p>
    <w:p w14:paraId="78EC4394"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We argue, however, that nationalist marketing goes further because it tells consumers what their purchase says about who they are. It links consumption to loyalty and moves from information to identity, and then from identity to moral pressure (Shimp and Sharma, 1987; Klein et al., 1998). In the terms of </w:t>
      </w:r>
      <w:proofErr w:type="spellStart"/>
      <w:r w:rsidRPr="00F02BBA">
        <w:rPr>
          <w:rFonts w:ascii="Times New Roman" w:hAnsi="Times New Roman" w:cs="Times New Roman"/>
          <w:sz w:val="22"/>
          <w:szCs w:val="22"/>
          <w:lang w:val="en-US"/>
        </w:rPr>
        <w:t>Castelló</w:t>
      </w:r>
      <w:proofErr w:type="spellEnd"/>
      <w:r w:rsidRPr="00F02BBA">
        <w:rPr>
          <w:rFonts w:ascii="Times New Roman" w:hAnsi="Times New Roman" w:cs="Times New Roman"/>
          <w:sz w:val="22"/>
          <w:szCs w:val="22"/>
          <w:lang w:val="en-US"/>
        </w:rPr>
        <w:t xml:space="preserve"> and </w:t>
      </w:r>
      <w:proofErr w:type="spellStart"/>
      <w:r w:rsidRPr="00F02BBA">
        <w:rPr>
          <w:rFonts w:ascii="Times New Roman" w:hAnsi="Times New Roman" w:cs="Times New Roman"/>
          <w:sz w:val="22"/>
          <w:szCs w:val="22"/>
          <w:lang w:val="en-US"/>
        </w:rPr>
        <w:t>Mihelj</w:t>
      </w:r>
      <w:proofErr w:type="spellEnd"/>
      <w:r w:rsidRPr="00F02BBA">
        <w:rPr>
          <w:rFonts w:ascii="Times New Roman" w:hAnsi="Times New Roman" w:cs="Times New Roman"/>
          <w:sz w:val="22"/>
          <w:szCs w:val="22"/>
          <w:lang w:val="en-US"/>
        </w:rPr>
        <w:t xml:space="preserve"> (2018), this marks a shift from symbolic consumer nationalism, in which national symbols are woven banally into everyday consumption, towards political consumer nationalism, in which the act of buying is recast as a conscious demonstration of national allegiance. At the lowest level, firms may use country of origin as a product cue, as in “Made in the USA,” “Made in Austria,” or “Made in Germany.” At the next level, they may use patriotic affiliation, with appeals such as “support local jobs,” “back our workers,” or “choose domestic.” At an even stronger level, however, they use nationalist differentiation by urging consumers to choose domestic firms over foreign competitors. At the strongest level, firms use moral exclusion by implying that foreign products hurt the nation, that buying imports betrays workers, or that real patriots buy domestic. Chrysler’s 1980s appeals under Lee Iacocca illustrate this logic: Japanese automakers were not simply treated as competitors, but as symbols of a wider threat to American industry and workers. In this final level the foreign product is no longer merely different, but becomes suspect; the foreign firm is no longer merely a competitor, but becomes a political problem; and the consumer is no longer merely a buyer, but is invited to act as a loyal defender of the nation through purchase. We believe that at this level, country-of-origin marketing becomes country-of-enmity marketing.</w:t>
      </w:r>
    </w:p>
    <w:p w14:paraId="1AE98113"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The first </w:t>
      </w:r>
      <w:proofErr w:type="spellStart"/>
      <w:r w:rsidRPr="00F02BBA">
        <w:rPr>
          <w:rFonts w:ascii="Times New Roman" w:hAnsi="Times New Roman" w:cs="Times New Roman"/>
          <w:sz w:val="22"/>
          <w:szCs w:val="22"/>
          <w:lang w:val="en-US"/>
        </w:rPr>
        <w:t>CPoIB</w:t>
      </w:r>
      <w:proofErr w:type="spellEnd"/>
      <w:r w:rsidRPr="00F02BBA">
        <w:rPr>
          <w:rFonts w:ascii="Times New Roman" w:hAnsi="Times New Roman" w:cs="Times New Roman"/>
          <w:sz w:val="22"/>
          <w:szCs w:val="22"/>
          <w:lang w:val="en-US"/>
        </w:rPr>
        <w:t xml:space="preserve"> collection argues that firms do not only respond to political environments, but also help shape them (Burmester et al., 2026). This is especially clear in the discussion of tariffs as symbolic acts. Tariffs do not only raise prices; they also tell a story about who has been cheated, who must be punished, who belongs, and who must pay (Burmester et al., 2026). We suggest that marketing extends this symbolic work by taking this “story” from policy to the consumers. A </w:t>
      </w:r>
      <w:r w:rsidRPr="00F02BBA">
        <w:rPr>
          <w:rFonts w:ascii="Times New Roman" w:hAnsi="Times New Roman" w:cs="Times New Roman"/>
          <w:sz w:val="22"/>
          <w:szCs w:val="22"/>
          <w:lang w:val="en-US"/>
        </w:rPr>
        <w:lastRenderedPageBreak/>
        <w:t>politician’s speech on tariffs may frame foreign trade as theft, while a firm’s campaign may frame the purchase of (its) domestic products or services as recovery, pride, or revenge.</w:t>
      </w:r>
    </w:p>
    <w:p w14:paraId="0B097692"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While corporate political activity is usually understood as lobbying, campaign donations, coalition building, or regulatory influence, we suggest that firms also act politically when they shape public meaning (Burmester et al., 2026). Firms </w:t>
      </w:r>
      <w:r>
        <w:rPr>
          <w:rFonts w:ascii="Times New Roman" w:hAnsi="Times New Roman" w:cs="Times New Roman"/>
          <w:sz w:val="22"/>
          <w:szCs w:val="22"/>
          <w:lang w:val="en-US"/>
        </w:rPr>
        <w:t>do</w:t>
      </w:r>
      <w:r w:rsidRPr="00F02BBA">
        <w:rPr>
          <w:rFonts w:ascii="Times New Roman" w:hAnsi="Times New Roman" w:cs="Times New Roman"/>
          <w:sz w:val="22"/>
          <w:szCs w:val="22"/>
          <w:lang w:val="en-US"/>
        </w:rPr>
        <w:t xml:space="preserve"> exactly this when they tell consumers what counts as fair trade, responsible production, national loyalty, or a foreign threat. We thus see nationalist marketing as corporate political activity because it tries to shape the public meaning of domestic products, foreign competitors, and consumer choice.</w:t>
      </w:r>
    </w:p>
    <w:p w14:paraId="05166927"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When firms use nationalist marketing to shape how consumers interpret domestic products, foreign competitors, and consumer choice, they also shape legitimacy. A foreign firm may comply with the law, employ local workers, pay taxes, and produce high-quality goods, yet nationalist marketing by domestic firms can still cast it as harmful. A domestic firm may depend on imported inputs, foreign </w:t>
      </w:r>
      <w:proofErr w:type="spellStart"/>
      <w:r w:rsidRPr="00F02BBA">
        <w:rPr>
          <w:rFonts w:ascii="Times New Roman" w:hAnsi="Times New Roman" w:cs="Times New Roman"/>
          <w:sz w:val="22"/>
          <w:szCs w:val="22"/>
          <w:lang w:val="en-US"/>
        </w:rPr>
        <w:t>labour</w:t>
      </w:r>
      <w:proofErr w:type="spellEnd"/>
      <w:r w:rsidRPr="00F02BBA">
        <w:rPr>
          <w:rFonts w:ascii="Times New Roman" w:hAnsi="Times New Roman" w:cs="Times New Roman"/>
          <w:sz w:val="22"/>
          <w:szCs w:val="22"/>
          <w:lang w:val="en-US"/>
        </w:rPr>
        <w:t>, offshore finance, and global supply chains, yet present itself as the firm that loyal domestic consumers should support. We suggest that nationalist marketing hides this complexity and turns global value chains into a simple moral drama, with the domestic firm as hero, the national worker as victim, the foreign competitor as villain, and the consumer as the person expected to take the nation’s side through purchase.</w:t>
      </w:r>
    </w:p>
    <w:p w14:paraId="47CCB3CA"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This is where nationalist marketing also links to the self-preservation perspective of the MNE: firms seek survival, defend their market position, and try to shape rules, norms, and expectations (Buzdugan et al., 2026). In a populist climate, nationalist rhetoric gives firms a ready-made language for protecting market share, weakening foreign rivals, and aligning themselves with powerful political actors. This connects with Mohr and Schumacher’s (2019) finding that patriotic rhetoric can benefit firms when nationalist sentiment in the home country is high. Nationalist marketing can therefore allow firms to present commercial self-interest as national protection.</w:t>
      </w:r>
    </w:p>
    <w:p w14:paraId="131A362F"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We do not claim that every appeal to domestic production is wrong, since local production can matter and consumers may reasonably want to support local jobs, reduce transport, strengthen regional resilience, or avoid suppliers linked to abuse. We do, however, argue that we should be concerned when firms move from truth to pressure, from pride to blame, and from information to manipulation, </w:t>
      </w:r>
      <w:r w:rsidRPr="00F02BBA">
        <w:rPr>
          <w:rFonts w:ascii="Times New Roman" w:hAnsi="Times New Roman" w:cs="Times New Roman"/>
          <w:sz w:val="22"/>
          <w:szCs w:val="22"/>
          <w:lang w:val="en-US"/>
        </w:rPr>
        <w:lastRenderedPageBreak/>
        <w:t>and that IB and marketing scholars are needed to identify and examine the drivers and consequences of this transitions. Research needs to gauge whether a firm’s marketing campaign builds a hard boundary between loyal domestic consumers and disloyal foreign-oriented consumers, attaches moral guilt to buying foreign products, or distorts the facts through inflated domestic-content claims, selective silence about foreign inputs, suggestive use of flags and national symbols, misleading “local” language, or insinuations that foreign competitors are unsafe, corrupt, unfair, or hostile without providing evidence.</w:t>
      </w:r>
    </w:p>
    <w:p w14:paraId="6F9D6ED4"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We thus suggest IB and marketing scholars to pay greater attention to firms’ use of misleading information implying that buying products and services of foreign competitors may further a suggested national decline. Such deceptive marketing does not ask consumers to reason, but asks them to identify, fear, resent, and prove their loyalty through purchase. A </w:t>
      </w:r>
      <w:proofErr w:type="spellStart"/>
      <w:r w:rsidRPr="00F02BBA">
        <w:rPr>
          <w:rFonts w:ascii="Times New Roman" w:hAnsi="Times New Roman" w:cs="Times New Roman"/>
          <w:sz w:val="22"/>
          <w:szCs w:val="22"/>
          <w:lang w:val="en-US"/>
        </w:rPr>
        <w:t>Habermasian</w:t>
      </w:r>
      <w:proofErr w:type="spellEnd"/>
      <w:r w:rsidRPr="00F02BBA">
        <w:rPr>
          <w:rFonts w:ascii="Times New Roman" w:hAnsi="Times New Roman" w:cs="Times New Roman"/>
          <w:sz w:val="22"/>
          <w:szCs w:val="22"/>
          <w:lang w:val="en-US"/>
        </w:rPr>
        <w:t xml:space="preserve"> perspective helps us clarify the harm: democratic markets need a public sphere in which claims can be tested, challenged, and justified, while nationalist marketing weakens this by replacing public reason with strategic communication (Habermas, 1984, 1987). It does not invite consumers to ask whether a product is better, fairer, safer, or more sustainable, but whether buying it proves their loyalty to a politically constructed idea of the nation.</w:t>
      </w:r>
    </w:p>
    <w:p w14:paraId="05B1BF58"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Against this background, we believe critical international marketing should not only ask whether nationalist appeals work, but what they do to societies. We also need to ask why and how firms use national symbols to shape consumer judgement, how they turn country-of-origin into a moral cue, how they frame foreign competitors as unfair or disloyal, and how they hide global value chain complexity behind domestic imagery. IB and marketing scholars should also examine how consumers respond when purchase is framed as loyalty, and how foreign firms might respond to such marketing campaigns without reproducing the same nationalist logic.</w:t>
      </w:r>
    </w:p>
    <w:p w14:paraId="0F063E0E"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These questions call for closer links between international marketing and international business. IB research has long studied firms’ liability of foreignness when expanding internationally, but nationalist marketing adds a twist, because this foreignness is no longer only a liability that </w:t>
      </w:r>
      <w:proofErr w:type="spellStart"/>
      <w:r w:rsidRPr="00F02BBA">
        <w:rPr>
          <w:rFonts w:ascii="Times New Roman" w:hAnsi="Times New Roman" w:cs="Times New Roman"/>
          <w:sz w:val="22"/>
          <w:szCs w:val="22"/>
          <w:lang w:val="en-US"/>
        </w:rPr>
        <w:t>internationalising</w:t>
      </w:r>
      <w:proofErr w:type="spellEnd"/>
      <w:r w:rsidRPr="00F02BBA">
        <w:rPr>
          <w:rFonts w:ascii="Times New Roman" w:hAnsi="Times New Roman" w:cs="Times New Roman"/>
          <w:sz w:val="22"/>
          <w:szCs w:val="22"/>
          <w:lang w:val="en-US"/>
        </w:rPr>
        <w:t xml:space="preserve"> firms suffer, but also a liability that domestic competitors may force upon them. A domestic firm may actively make its rival foreign by stressing the rival’s origin, ownership, supply chain, workforce, </w:t>
      </w:r>
      <w:r w:rsidRPr="00F02BBA">
        <w:rPr>
          <w:rFonts w:ascii="Times New Roman" w:hAnsi="Times New Roman" w:cs="Times New Roman"/>
          <w:sz w:val="22"/>
          <w:szCs w:val="22"/>
          <w:lang w:val="en-US"/>
        </w:rPr>
        <w:lastRenderedPageBreak/>
        <w:t xml:space="preserve">political ties, or cultural distance; it may turn normal foreignness into suspicious foreignness, which turns nationalist marketing from mere positioning into a political attack on foreign competitors through marketing. We suggest that the same logic applies to country image, which is not stable but can be built, damaged, </w:t>
      </w:r>
      <w:proofErr w:type="spellStart"/>
      <w:r w:rsidRPr="00F02BBA">
        <w:rPr>
          <w:rFonts w:ascii="Times New Roman" w:hAnsi="Times New Roman" w:cs="Times New Roman"/>
          <w:sz w:val="22"/>
          <w:szCs w:val="22"/>
          <w:lang w:val="en-US"/>
        </w:rPr>
        <w:t>weaponised</w:t>
      </w:r>
      <w:proofErr w:type="spellEnd"/>
      <w:r w:rsidRPr="00F02BBA">
        <w:rPr>
          <w:rFonts w:ascii="Times New Roman" w:hAnsi="Times New Roman" w:cs="Times New Roman"/>
          <w:sz w:val="22"/>
          <w:szCs w:val="22"/>
          <w:lang w:val="en-US"/>
        </w:rPr>
        <w:t>, and manipulated (Klein et al., 1998). The boycotts of French wine in the US during the Iraq War showed how geopolitical conflict can enter consumer markets and similar dynamics can now spread faster through social media, influencer networks, partisan media, and targeted online advertising (Klein et al., 1998).</w:t>
      </w:r>
    </w:p>
    <w:p w14:paraId="4E03B2A0"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We believe the current debate on populism among international business scholars rightly focuses on tariffs, regulation, investment, rule-of-law backsliding, sustainability rollback, human rights, and the </w:t>
      </w:r>
      <w:proofErr w:type="spellStart"/>
      <w:r w:rsidRPr="00F02BBA">
        <w:rPr>
          <w:rFonts w:ascii="Times New Roman" w:hAnsi="Times New Roman" w:cs="Times New Roman"/>
          <w:sz w:val="22"/>
          <w:szCs w:val="22"/>
          <w:lang w:val="en-US"/>
        </w:rPr>
        <w:t>politicisation</w:t>
      </w:r>
      <w:proofErr w:type="spellEnd"/>
      <w:r w:rsidRPr="00F02BBA">
        <w:rPr>
          <w:rFonts w:ascii="Times New Roman" w:hAnsi="Times New Roman" w:cs="Times New Roman"/>
          <w:sz w:val="22"/>
          <w:szCs w:val="22"/>
          <w:lang w:val="en-US"/>
        </w:rPr>
        <w:t xml:space="preserve"> of foreignness (Burmester et al., 2026; Sinkovics et al., 2026). Yet these processes do not manifest themselves through policy alone, but also become powerful when they reach everyday life through firms’ marketing. We argue that firms’ nationalist marketing turns the market into a stage for political identity by turning origin into virtue, foreignness into suspicion, and consumer choice into a loyalty test. In its deceptive forms, nationalist marketing hides global interdependence while feeding national resentment. We therefore suggest that critical international marketing scholars should treat nationalist marketing as a political practice, rather than as a harmless branding tactic. Firms that use national identity to sell their products and services are not merely reflecting the political climate, but actively shape this political climate. A simple origin claim may inform, and a patriotic appeal may persuade, but nationalist marketing can manipulate. It can teach consumers to distrust outsiders, punish foreignness, and mistake corporate self-interest for national duty. That is where critical international marketing scholars should draw the line.</w:t>
      </w:r>
    </w:p>
    <w:p w14:paraId="7EE89530" w14:textId="77777777" w:rsidR="00F02BBA" w:rsidRPr="00F02BBA" w:rsidRDefault="00F02BBA" w:rsidP="00F02BBA">
      <w:pPr>
        <w:spacing w:after="0" w:line="480" w:lineRule="auto"/>
        <w:rPr>
          <w:rFonts w:ascii="Times New Roman" w:hAnsi="Times New Roman" w:cs="Times New Roman"/>
          <w:b/>
          <w:bCs/>
          <w:sz w:val="22"/>
          <w:szCs w:val="22"/>
          <w:lang w:val="en-US"/>
        </w:rPr>
      </w:pPr>
      <w:r w:rsidRPr="00F02BBA">
        <w:rPr>
          <w:rFonts w:ascii="Times New Roman" w:hAnsi="Times New Roman" w:cs="Times New Roman"/>
          <w:b/>
          <w:bCs/>
          <w:sz w:val="22"/>
          <w:szCs w:val="22"/>
          <w:lang w:val="en-US"/>
        </w:rPr>
        <w:t>References</w:t>
      </w:r>
    </w:p>
    <w:p w14:paraId="3BB05650"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Burmester, B., </w:t>
      </w:r>
      <w:proofErr w:type="spellStart"/>
      <w:r w:rsidRPr="00F02BBA">
        <w:rPr>
          <w:rFonts w:ascii="Times New Roman" w:hAnsi="Times New Roman" w:cs="Times New Roman"/>
          <w:sz w:val="22"/>
          <w:szCs w:val="22"/>
          <w:lang w:val="en-US"/>
        </w:rPr>
        <w:t>Elsahn</w:t>
      </w:r>
      <w:proofErr w:type="spellEnd"/>
      <w:r w:rsidRPr="00F02BBA">
        <w:rPr>
          <w:rFonts w:ascii="Times New Roman" w:hAnsi="Times New Roman" w:cs="Times New Roman"/>
          <w:sz w:val="22"/>
          <w:szCs w:val="22"/>
          <w:lang w:val="en-US"/>
        </w:rPr>
        <w:t xml:space="preserve">, Z., Gillmore, E., Koveshnikov, A., Reilly, M. and </w:t>
      </w:r>
      <w:proofErr w:type="spellStart"/>
      <w:r w:rsidRPr="00F02BBA">
        <w:rPr>
          <w:rFonts w:ascii="Times New Roman" w:hAnsi="Times New Roman" w:cs="Times New Roman"/>
          <w:sz w:val="22"/>
          <w:szCs w:val="22"/>
          <w:lang w:val="en-US"/>
        </w:rPr>
        <w:t>Sharkawi</w:t>
      </w:r>
      <w:proofErr w:type="spellEnd"/>
      <w:r w:rsidRPr="00F02BBA">
        <w:rPr>
          <w:rFonts w:ascii="Times New Roman" w:hAnsi="Times New Roman" w:cs="Times New Roman"/>
          <w:sz w:val="22"/>
          <w:szCs w:val="22"/>
          <w:lang w:val="en-US"/>
        </w:rPr>
        <w:t xml:space="preserve">, T. (2026), “New rules and no rules: International business in the age of Trumpism”, Critical Perspectives on International Business, </w:t>
      </w:r>
      <w:r w:rsidR="00B20512">
        <w:rPr>
          <w:rFonts w:ascii="Times New Roman" w:hAnsi="Times New Roman" w:cs="Times New Roman"/>
          <w:sz w:val="22"/>
          <w:szCs w:val="22"/>
          <w:lang w:val="en-US"/>
        </w:rPr>
        <w:t>THIS ISSUE ????</w:t>
      </w:r>
      <w:r w:rsidR="00B20512" w:rsidRPr="00F02BBA">
        <w:rPr>
          <w:rFonts w:ascii="Times New Roman" w:hAnsi="Times New Roman" w:cs="Times New Roman"/>
          <w:sz w:val="22"/>
          <w:szCs w:val="22"/>
          <w:lang w:val="en-US"/>
        </w:rPr>
        <w:t>.</w:t>
      </w:r>
      <w:r w:rsidRPr="00F02BBA">
        <w:rPr>
          <w:rFonts w:ascii="Times New Roman" w:hAnsi="Times New Roman" w:cs="Times New Roman"/>
          <w:sz w:val="22"/>
          <w:szCs w:val="22"/>
          <w:lang w:val="en-US"/>
        </w:rPr>
        <w:t>.</w:t>
      </w:r>
    </w:p>
    <w:p w14:paraId="76EC08E9"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Buzdugan, S., Forsgren, M. and Yamin, M. (2026), “Politics, power and the self-preserving MNE: Theoretical reflections on ‘Rules or No Rules: International Business in the Time of Trump’”, Critical Perspectives on International Business, </w:t>
      </w:r>
      <w:r w:rsidR="00B20512">
        <w:rPr>
          <w:rFonts w:ascii="Times New Roman" w:hAnsi="Times New Roman" w:cs="Times New Roman"/>
          <w:sz w:val="22"/>
          <w:szCs w:val="22"/>
          <w:lang w:val="en-US"/>
        </w:rPr>
        <w:t>THIS ISSUE ????</w:t>
      </w:r>
      <w:r w:rsidRPr="00F02BBA">
        <w:rPr>
          <w:rFonts w:ascii="Times New Roman" w:hAnsi="Times New Roman" w:cs="Times New Roman"/>
          <w:sz w:val="22"/>
          <w:szCs w:val="22"/>
          <w:lang w:val="en-US"/>
        </w:rPr>
        <w:t>.</w:t>
      </w:r>
    </w:p>
    <w:p w14:paraId="581EC848" w14:textId="77777777" w:rsidR="008134C5" w:rsidRDefault="002A4B48">
      <w:pPr>
        <w:spacing w:after="0" w:line="480" w:lineRule="auto"/>
        <w:rPr>
          <w:rFonts w:ascii="Times New Roman" w:hAnsi="Times New Roman" w:cs="Times New Roman"/>
          <w:sz w:val="22"/>
          <w:szCs w:val="22"/>
          <w:lang w:val="en-US"/>
        </w:rPr>
      </w:pPr>
      <w:proofErr w:type="spellStart"/>
      <w:r w:rsidRPr="009911DF">
        <w:rPr>
          <w:rFonts w:ascii="Times New Roman" w:hAnsi="Times New Roman"/>
          <w:sz w:val="22"/>
          <w:lang w:val="en-US"/>
        </w:rPr>
        <w:lastRenderedPageBreak/>
        <w:t>Castelló</w:t>
      </w:r>
      <w:proofErr w:type="spellEnd"/>
      <w:r w:rsidRPr="009911DF">
        <w:rPr>
          <w:rFonts w:ascii="Times New Roman" w:hAnsi="Times New Roman"/>
          <w:sz w:val="22"/>
          <w:lang w:val="en-US"/>
        </w:rPr>
        <w:t xml:space="preserve">, E. and </w:t>
      </w:r>
      <w:proofErr w:type="spellStart"/>
      <w:r w:rsidRPr="009911DF">
        <w:rPr>
          <w:rFonts w:ascii="Times New Roman" w:hAnsi="Times New Roman"/>
          <w:sz w:val="22"/>
          <w:lang w:val="en-US"/>
        </w:rPr>
        <w:t>Mihelj</w:t>
      </w:r>
      <w:proofErr w:type="spellEnd"/>
      <w:r w:rsidRPr="009911DF">
        <w:rPr>
          <w:rFonts w:ascii="Times New Roman" w:hAnsi="Times New Roman"/>
          <w:sz w:val="22"/>
          <w:lang w:val="en-US"/>
        </w:rPr>
        <w:t>, S. (2018), “Selling and consuming the nation: Understanding consumer nationalism”, Journal of Consumer Culture, Vol. 18 No. 4, pp. 558-576.</w:t>
      </w:r>
    </w:p>
    <w:p w14:paraId="2FF652E4"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Habermas, J. (1984), The Theory of Communicative Action, Volume 1: Reason and the Rationalization of Society, Beacon Press, Boston.</w:t>
      </w:r>
    </w:p>
    <w:p w14:paraId="17D6BB6A"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Habermas, J. (1987), The Theory of Communicative Action, Volume 2: Lifeworld and System: A Critique of Functionalist Reason, Beacon Press, Boston.</w:t>
      </w:r>
    </w:p>
    <w:p w14:paraId="23E08908"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Klein, J.G., </w:t>
      </w:r>
      <w:proofErr w:type="spellStart"/>
      <w:r w:rsidRPr="00F02BBA">
        <w:rPr>
          <w:rFonts w:ascii="Times New Roman" w:hAnsi="Times New Roman" w:cs="Times New Roman"/>
          <w:sz w:val="22"/>
          <w:szCs w:val="22"/>
          <w:lang w:val="en-US"/>
        </w:rPr>
        <w:t>Ettenson</w:t>
      </w:r>
      <w:proofErr w:type="spellEnd"/>
      <w:r w:rsidRPr="00F02BBA">
        <w:rPr>
          <w:rFonts w:ascii="Times New Roman" w:hAnsi="Times New Roman" w:cs="Times New Roman"/>
          <w:sz w:val="22"/>
          <w:szCs w:val="22"/>
          <w:lang w:val="en-US"/>
        </w:rPr>
        <w:t>, R. and Morris, M.D. (1998), “The animosity model of foreign product purchase: An empirical test in the People’s Republic of China”, Journal of Marketing, Vol. 62 No. 1, pp. 89–100.</w:t>
      </w:r>
    </w:p>
    <w:p w14:paraId="1A2B3C4D"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Mohr, A. and Schumacher, C. (2019), “The contingent effect of patriotic rhetoric on firm performance”, Strategy Science, Vol. 4 No. 2, pp. 94–110.</w:t>
      </w:r>
    </w:p>
    <w:p w14:paraId="77F5C23B"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Shimp, T.A. and Sharma, S. (1987), “Consumer ethnocentrism: Construction and validation of the CETSCALE”, Journal of Marketing Research, Vol. 24 No. 3, pp. 280–289.</w:t>
      </w:r>
    </w:p>
    <w:p w14:paraId="2A2958D5" w14:textId="77777777" w:rsidR="00F02BBA" w:rsidRPr="00F02BBA" w:rsidRDefault="00F02BBA" w:rsidP="00F02BBA">
      <w:pPr>
        <w:spacing w:after="0" w:line="480" w:lineRule="auto"/>
        <w:rPr>
          <w:rFonts w:ascii="Times New Roman" w:hAnsi="Times New Roman" w:cs="Times New Roman"/>
          <w:sz w:val="22"/>
          <w:szCs w:val="22"/>
          <w:lang w:val="en-US"/>
        </w:rPr>
      </w:pPr>
      <w:r w:rsidRPr="00F02BBA">
        <w:rPr>
          <w:rFonts w:ascii="Times New Roman" w:hAnsi="Times New Roman" w:cs="Times New Roman"/>
          <w:sz w:val="22"/>
          <w:szCs w:val="22"/>
          <w:lang w:val="en-US"/>
        </w:rPr>
        <w:t xml:space="preserve">Sinkovics, R.R., Curran, L., Montero-Teran, H. and </w:t>
      </w:r>
      <w:proofErr w:type="spellStart"/>
      <w:r w:rsidRPr="00F02BBA">
        <w:rPr>
          <w:rFonts w:ascii="Times New Roman" w:hAnsi="Times New Roman" w:cs="Times New Roman"/>
          <w:sz w:val="22"/>
          <w:szCs w:val="22"/>
          <w:lang w:val="en-US"/>
        </w:rPr>
        <w:t>Zagelmeyer</w:t>
      </w:r>
      <w:proofErr w:type="spellEnd"/>
      <w:r w:rsidRPr="00F02BBA">
        <w:rPr>
          <w:rFonts w:ascii="Times New Roman" w:hAnsi="Times New Roman" w:cs="Times New Roman"/>
          <w:sz w:val="22"/>
          <w:szCs w:val="22"/>
          <w:lang w:val="en-US"/>
        </w:rPr>
        <w:t xml:space="preserve">, S. (2026), “Rule-of-law backsliding, sustainability rollback, and international business in the Trump era”, Critical Perspectives on International Business, </w:t>
      </w:r>
      <w:r w:rsidR="00B20512">
        <w:rPr>
          <w:rFonts w:ascii="Times New Roman" w:hAnsi="Times New Roman" w:cs="Times New Roman"/>
          <w:sz w:val="22"/>
          <w:szCs w:val="22"/>
          <w:lang w:val="en-US"/>
        </w:rPr>
        <w:t>THIS ISSUE????</w:t>
      </w:r>
      <w:r w:rsidRPr="00F02BBA">
        <w:rPr>
          <w:rFonts w:ascii="Times New Roman" w:hAnsi="Times New Roman" w:cs="Times New Roman"/>
          <w:sz w:val="22"/>
          <w:szCs w:val="22"/>
          <w:lang w:val="en-US"/>
        </w:rPr>
        <w:t>.</w:t>
      </w:r>
    </w:p>
    <w:p w14:paraId="0F419F8D" w14:textId="77777777" w:rsidR="00CA4CFF" w:rsidRPr="00F02BBA" w:rsidRDefault="00CA4CFF" w:rsidP="00F02BBA">
      <w:pPr>
        <w:spacing w:after="0" w:line="480" w:lineRule="auto"/>
        <w:rPr>
          <w:lang w:val="en-US"/>
        </w:rPr>
      </w:pPr>
    </w:p>
    <w:sectPr w:rsidR="00CA4CFF" w:rsidRPr="00F02BBA">
      <w:foot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52338" w14:textId="77777777" w:rsidR="002A4B48" w:rsidRDefault="002A4B48" w:rsidP="00AA2646">
      <w:pPr>
        <w:spacing w:after="0" w:line="240" w:lineRule="auto"/>
      </w:pPr>
      <w:r>
        <w:separator/>
      </w:r>
    </w:p>
  </w:endnote>
  <w:endnote w:type="continuationSeparator" w:id="0">
    <w:p w14:paraId="4D4B4582" w14:textId="77777777" w:rsidR="002A4B48" w:rsidRDefault="002A4B48" w:rsidP="00AA2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817304"/>
      <w:docPartObj>
        <w:docPartGallery w:val="Page Numbers (Bottom of Page)"/>
        <w:docPartUnique/>
      </w:docPartObj>
    </w:sdtPr>
    <w:sdtEndPr>
      <w:rPr>
        <w:rFonts w:ascii="Times New Roman" w:hAnsi="Times New Roman" w:cs="Times New Roman"/>
        <w:sz w:val="22"/>
        <w:szCs w:val="22"/>
      </w:rPr>
    </w:sdtEndPr>
    <w:sdtContent>
      <w:p w14:paraId="0B6EA348" w14:textId="77777777" w:rsidR="00AA2646" w:rsidRPr="00AA2646" w:rsidRDefault="00AA2646">
        <w:pPr>
          <w:pStyle w:val="Fuzeile"/>
          <w:jc w:val="center"/>
          <w:rPr>
            <w:rFonts w:ascii="Times New Roman" w:hAnsi="Times New Roman" w:cs="Times New Roman"/>
            <w:sz w:val="22"/>
            <w:szCs w:val="22"/>
          </w:rPr>
        </w:pPr>
        <w:r w:rsidRPr="00AA2646">
          <w:rPr>
            <w:rFonts w:ascii="Times New Roman" w:hAnsi="Times New Roman" w:cs="Times New Roman"/>
            <w:sz w:val="22"/>
            <w:szCs w:val="22"/>
          </w:rPr>
          <w:fldChar w:fldCharType="begin"/>
        </w:r>
        <w:r w:rsidRPr="00AA2646">
          <w:rPr>
            <w:rFonts w:ascii="Times New Roman" w:hAnsi="Times New Roman" w:cs="Times New Roman"/>
            <w:sz w:val="22"/>
            <w:szCs w:val="22"/>
          </w:rPr>
          <w:instrText>PAGE   \* MERGEFORMAT</w:instrText>
        </w:r>
        <w:r w:rsidRPr="00AA2646">
          <w:rPr>
            <w:rFonts w:ascii="Times New Roman" w:hAnsi="Times New Roman" w:cs="Times New Roman"/>
            <w:sz w:val="22"/>
            <w:szCs w:val="22"/>
          </w:rPr>
          <w:fldChar w:fldCharType="separate"/>
        </w:r>
        <w:r w:rsidRPr="00AA2646">
          <w:rPr>
            <w:rFonts w:ascii="Times New Roman" w:hAnsi="Times New Roman" w:cs="Times New Roman"/>
            <w:sz w:val="22"/>
            <w:szCs w:val="22"/>
            <w:lang w:val="de-DE"/>
          </w:rPr>
          <w:t>2</w:t>
        </w:r>
        <w:r w:rsidRPr="00AA2646">
          <w:rPr>
            <w:rFonts w:ascii="Times New Roman" w:hAnsi="Times New Roman" w:cs="Times New Roman"/>
            <w:sz w:val="22"/>
            <w:szCs w:val="22"/>
          </w:rPr>
          <w:fldChar w:fldCharType="end"/>
        </w:r>
      </w:p>
    </w:sdtContent>
  </w:sdt>
  <w:p w14:paraId="2E7ACAF6" w14:textId="77777777" w:rsidR="00AA2646" w:rsidRDefault="00AA264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13D9A" w14:textId="77777777" w:rsidR="002A4B48" w:rsidRDefault="002A4B48" w:rsidP="00AA2646">
      <w:pPr>
        <w:spacing w:after="0" w:line="240" w:lineRule="auto"/>
      </w:pPr>
      <w:r>
        <w:separator/>
      </w:r>
    </w:p>
  </w:footnote>
  <w:footnote w:type="continuationSeparator" w:id="0">
    <w:p w14:paraId="2FE6CA6D" w14:textId="77777777" w:rsidR="002A4B48" w:rsidRDefault="002A4B48" w:rsidP="00AA26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646"/>
    <w:rsid w:val="00042731"/>
    <w:rsid w:val="00084C7E"/>
    <w:rsid w:val="00090EC6"/>
    <w:rsid w:val="00101159"/>
    <w:rsid w:val="00166A49"/>
    <w:rsid w:val="00282957"/>
    <w:rsid w:val="002A04CE"/>
    <w:rsid w:val="002A4B48"/>
    <w:rsid w:val="002A6131"/>
    <w:rsid w:val="00386004"/>
    <w:rsid w:val="0041531A"/>
    <w:rsid w:val="004232D9"/>
    <w:rsid w:val="00427A4F"/>
    <w:rsid w:val="004417C1"/>
    <w:rsid w:val="00487216"/>
    <w:rsid w:val="005071B9"/>
    <w:rsid w:val="005C3790"/>
    <w:rsid w:val="005D6C7D"/>
    <w:rsid w:val="006338B5"/>
    <w:rsid w:val="006D6948"/>
    <w:rsid w:val="006F1B55"/>
    <w:rsid w:val="0079210E"/>
    <w:rsid w:val="007A2E36"/>
    <w:rsid w:val="007C7D42"/>
    <w:rsid w:val="007D1C74"/>
    <w:rsid w:val="007E0E68"/>
    <w:rsid w:val="008134C5"/>
    <w:rsid w:val="00896CC6"/>
    <w:rsid w:val="008B43C1"/>
    <w:rsid w:val="008E7AC6"/>
    <w:rsid w:val="009911DF"/>
    <w:rsid w:val="00997953"/>
    <w:rsid w:val="009D36AC"/>
    <w:rsid w:val="009E0998"/>
    <w:rsid w:val="00A73264"/>
    <w:rsid w:val="00AA2646"/>
    <w:rsid w:val="00AB19DC"/>
    <w:rsid w:val="00B20512"/>
    <w:rsid w:val="00B678D4"/>
    <w:rsid w:val="00BA0167"/>
    <w:rsid w:val="00BC066A"/>
    <w:rsid w:val="00BC62B5"/>
    <w:rsid w:val="00C213D4"/>
    <w:rsid w:val="00CA4CFF"/>
    <w:rsid w:val="00CC3B2A"/>
    <w:rsid w:val="00DA006D"/>
    <w:rsid w:val="00DA0AEB"/>
    <w:rsid w:val="00DB2FA0"/>
    <w:rsid w:val="00DE2BDA"/>
    <w:rsid w:val="00E12C29"/>
    <w:rsid w:val="00E8084D"/>
    <w:rsid w:val="00E85FDD"/>
    <w:rsid w:val="00EA023C"/>
    <w:rsid w:val="00EE3173"/>
    <w:rsid w:val="00F02BBA"/>
    <w:rsid w:val="00F16D9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9A8EB"/>
  <w15:chartTrackingRefBased/>
  <w15:docId w15:val="{B83DC661-2976-4816-8356-619BE15EB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A2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A2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A264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A264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A264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A264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A264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A264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A264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A264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A264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A264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A264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A264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A264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A264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A264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A2646"/>
    <w:rPr>
      <w:rFonts w:eastAsiaTheme="majorEastAsia" w:cstheme="majorBidi"/>
      <w:color w:val="272727" w:themeColor="text1" w:themeTint="D8"/>
    </w:rPr>
  </w:style>
  <w:style w:type="paragraph" w:styleId="Titel">
    <w:name w:val="Title"/>
    <w:basedOn w:val="Standard"/>
    <w:next w:val="Standard"/>
    <w:link w:val="TitelZchn"/>
    <w:uiPriority w:val="10"/>
    <w:qFormat/>
    <w:rsid w:val="00AA2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A264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A264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A264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A264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A2646"/>
    <w:rPr>
      <w:i/>
      <w:iCs/>
      <w:color w:val="404040" w:themeColor="text1" w:themeTint="BF"/>
    </w:rPr>
  </w:style>
  <w:style w:type="paragraph" w:styleId="Listenabsatz">
    <w:name w:val="List Paragraph"/>
    <w:basedOn w:val="Standard"/>
    <w:uiPriority w:val="34"/>
    <w:qFormat/>
    <w:rsid w:val="00AA2646"/>
    <w:pPr>
      <w:ind w:left="720"/>
      <w:contextualSpacing/>
    </w:pPr>
  </w:style>
  <w:style w:type="character" w:styleId="IntensiveHervorhebung">
    <w:name w:val="Intense Emphasis"/>
    <w:basedOn w:val="Absatz-Standardschriftart"/>
    <w:uiPriority w:val="21"/>
    <w:qFormat/>
    <w:rsid w:val="00AA2646"/>
    <w:rPr>
      <w:i/>
      <w:iCs/>
      <w:color w:val="0F4761" w:themeColor="accent1" w:themeShade="BF"/>
    </w:rPr>
  </w:style>
  <w:style w:type="paragraph" w:styleId="IntensivesZitat">
    <w:name w:val="Intense Quote"/>
    <w:basedOn w:val="Standard"/>
    <w:next w:val="Standard"/>
    <w:link w:val="IntensivesZitatZchn"/>
    <w:uiPriority w:val="30"/>
    <w:qFormat/>
    <w:rsid w:val="00AA2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A2646"/>
    <w:rPr>
      <w:i/>
      <w:iCs/>
      <w:color w:val="0F4761" w:themeColor="accent1" w:themeShade="BF"/>
    </w:rPr>
  </w:style>
  <w:style w:type="character" w:styleId="IntensiverVerweis">
    <w:name w:val="Intense Reference"/>
    <w:basedOn w:val="Absatz-Standardschriftart"/>
    <w:uiPriority w:val="32"/>
    <w:qFormat/>
    <w:rsid w:val="00AA2646"/>
    <w:rPr>
      <w:b/>
      <w:bCs/>
      <w:smallCaps/>
      <w:color w:val="0F4761" w:themeColor="accent1" w:themeShade="BF"/>
      <w:spacing w:val="5"/>
    </w:rPr>
  </w:style>
  <w:style w:type="paragraph" w:styleId="Kopfzeile">
    <w:name w:val="header"/>
    <w:basedOn w:val="Standard"/>
    <w:link w:val="KopfzeileZchn"/>
    <w:uiPriority w:val="99"/>
    <w:unhideWhenUsed/>
    <w:rsid w:val="00AA264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A2646"/>
  </w:style>
  <w:style w:type="paragraph" w:styleId="Fuzeile">
    <w:name w:val="footer"/>
    <w:basedOn w:val="Standard"/>
    <w:link w:val="FuzeileZchn"/>
    <w:uiPriority w:val="99"/>
    <w:unhideWhenUsed/>
    <w:rsid w:val="00AA264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A2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1918</Words>
  <Characters>12087</Characters>
  <Application>Microsoft Office Word</Application>
  <DocSecurity>0</DocSecurity>
  <Lines>100</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Mohr, Alexander</dc:creator>
  <cp:keywords/>
  <dc:description/>
  <cp:lastModifiedBy>Mohr, Alexander</cp:lastModifiedBy>
  <cp:revision>2</cp:revision>
  <dcterms:created xsi:type="dcterms:W3CDTF">2026-06-25T13:06:00Z</dcterms:created>
  <dcterms:modified xsi:type="dcterms:W3CDTF">2026-06-25T13:06:00Z</dcterms:modified>
</cp:coreProperties>
</file>