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Casting comes before basic math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I.E.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double average = (double) (s1 + s2 + s3)/3;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BankAccount b;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BankACcount b to create the object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BankAccount(5000); the constructon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Single quotes in java mean char (Character)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Example: ‘2’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Chars link to the ASCII table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Special Assignment Operators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+= for example means s+-s.length();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s = “Agent”;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 + s.length();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Will print “Agent5”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Any number with a decimal can we considered a floating pont number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Finals </w:t>
      </w:r>
      <w:r w:rsidDel="00000000" w:rsidR="00000000" w:rsidRPr="00000000">
        <w:rPr>
          <w:rtl w:val="0"/>
        </w:rPr>
        <w:t xml:space="preserve">are constants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Need to have parenthesises for Java Called’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Thing something = new Thing();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Starts with capital letter but not all capital = 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constructor must have the same name as its class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 oerloading refers to &gt; 1 methd with the same name but different parameters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variables casing matters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method that is called on an object but does not change is called an accessor method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Utility method is the math stuff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 Literal!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 = Escape Sequence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