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80" w:before="1800"/>
      </w:pPr>
      <w:r>
        <w:rPr>
          <w:rFonts w:ascii="Georgia" w:cs="Georgia" w:eastAsia="Georgia" w:hAnsi="Georgia"/>
          <w:sz w:val="62"/>
          <w:szCs w:val="62"/>
        </w:rPr>
        <w:t xml:space="preserve">A Norway Grasping for Air</w:t>
      </w:r>
    </w:p>
    <w:p>
      <w:pPr>
        <w:widowControl/>
        <w:spacing w:after="2400"/>
        <w:rPr>
          <w:sz w:val="30"/>
          <w:szCs w:val="30"/>
        </w:rPr>
      </w:pPr>
      <w:r>
        <w:t xml:space="preserve">Elias Solbak Årnes</w:t>
      </w:r>
    </w:p>
    <w:p>
      <w:pPr>
        <w:widowControl/>
        <w:spacing w:after="40" w:line="320"/>
      </w:pPr>
      <w:r>
        <w:t xml:space="preserve">MantleOfElias</w:t>
      </w:r>
    </w:p>
    <w:p>
      <w:pPr>
        <w:pageBreakBefore/>
        <w:widowControl/>
        <w:spacing w:after="200" w:before="4400"/>
        <w:rPr>
          <w:sz w:val="18"/>
          <w:szCs w:val="18"/>
        </w:rPr>
      </w:pPr>
      <w:r>
        <w:t xml:space="preserve">Copyright © 2026 Elias Solbak Årnes. All rights reserved.</w:t>
      </w:r>
    </w:p>
    <w:p>
      <w:pPr>
        <w:widowControl/>
        <w:spacing w:after="200" w:before="0"/>
        <w:rPr>
          <w:sz w:val="18"/>
          <w:szCs w:val="18"/>
        </w:rPr>
      </w:pPr>
      <w:r>
        <w:t xml:space="preserve">MantleOfElias</w:t>
      </w:r>
    </w:p>
    <w:p>
      <w:pPr>
        <w:widowControl/>
        <w:spacing w:after="200" w:before="0"/>
        <w:rPr>
          <w:sz w:val="18"/>
          <w:szCs w:val="18"/>
        </w:rPr>
      </w:pPr>
      <w:r>
        <w:t xml:space="preserve">Scripture quotations are from the Holy Bible, Evangelical Heritage Version® (EHV®) © 2017 Wartburg Project, Inc. All rights reserved. Used by permission.</w:t>
      </w:r>
    </w:p>
    <w:p>
      <w:pPr>
        <w:widowControl/>
        <w:spacing w:after="200" w:before="0"/>
        <w:rPr>
          <w:sz w:val="18"/>
          <w:szCs w:val="18"/>
        </w:rPr>
      </w:pPr>
      <w:r>
        <w:t xml:space="preserve">Private family materials are identified in the notes as part of the family collection. Memories, contemporary records and later accounts are distinguished where they are used.</w:t>
      </w:r>
    </w:p>
    <w:p>
      <w:pPr>
        <w:widowControl/>
        <w:spacing w:after="200" w:before="0"/>
        <w:rPr>
          <w:sz w:val="18"/>
          <w:szCs w:val="18"/>
        </w:rPr>
      </w:pPr>
      <w:r>
        <w:t xml:space="preserve">This edition contains no reproductions of third-party photographs or document scans.</w:t>
      </w:r>
    </w:p>
    <w:p>
      <w:pPr>
        <w:pStyle w:val="Heading1"/>
        <w:keepNext/>
        <w:pageBreakBefore/>
        <w:spacing w:after="400" w:before="0"/>
      </w:pPr>
      <w:r>
        <w:t xml:space="preserve">Contents</w:t>
      </w:r>
    </w:p>
    <w:p>
      <w:pPr>
        <w:spacing w:after="100" w:line="260"/>
        <w:ind w:left="0"/>
      </w:pPr>
      <w:hyperlink w:history="1" w:anchor="author-note">
        <w:r>
          <w:t xml:space="preserve">Author's Note</w:t>
        </w:r>
      </w:hyperlink>
    </w:p>
    <w:p>
      <w:pPr>
        <w:spacing w:after="100" w:line="260"/>
        <w:ind w:left="0"/>
      </w:pPr>
      <w:hyperlink w:history="1" w:anchor="prologue">
        <w:r>
          <w:t xml:space="preserve">Prologue. The Borrowed Drum</w:t>
        </w:r>
      </w:hyperlink>
    </w:p>
    <w:p>
      <w:pPr>
        <w:keepNext/>
        <w:spacing w:after="100" w:before="180"/>
      </w:pPr>
      <w:hyperlink w:history="1" w:anchor="kap-01">
        <w:r>
          <w:rPr>
            <w:b/>
            <w:bCs/>
          </w:rPr>
          <w:t xml:space="preserve">What Hands Carry</w:t>
        </w:r>
      </w:hyperlink>
    </w:p>
    <w:p>
      <w:pPr>
        <w:spacing w:after="100" w:line="260"/>
        <w:ind w:left="160"/>
      </w:pPr>
      <w:hyperlink w:history="1" w:anchor="kap-01">
        <w:r>
          <w:t xml:space="preserve">1. The Line</w:t>
        </w:r>
      </w:hyperlink>
    </w:p>
    <w:p>
      <w:pPr>
        <w:spacing w:after="100" w:line="260"/>
        <w:ind w:left="160"/>
      </w:pPr>
      <w:hyperlink w:history="1" w:anchor="kap-02">
        <w:r>
          <w:t xml:space="preserve">2. Work That Dies Untaught</w:t>
        </w:r>
      </w:hyperlink>
    </w:p>
    <w:p>
      <w:pPr>
        <w:spacing w:after="100" w:line="260"/>
        <w:ind w:left="160"/>
      </w:pPr>
      <w:hyperlink w:history="1" w:anchor="kap-03">
        <w:r>
          <w:t xml:space="preserve">3. The Whistle</w:t>
        </w:r>
      </w:hyperlink>
    </w:p>
    <w:p>
      <w:pPr>
        <w:spacing w:after="100" w:line="260"/>
        <w:ind w:left="160"/>
      </w:pPr>
      <w:hyperlink w:history="1" w:anchor="kap-04">
        <w:r>
          <w:t xml:space="preserve">4. The Man Who Vouched</w:t>
        </w:r>
      </w:hyperlink>
    </w:p>
    <w:p>
      <w:pPr>
        <w:spacing w:after="100" w:line="260"/>
        <w:ind w:left="160"/>
      </w:pPr>
      <w:hyperlink w:history="1" w:anchor="kap-05">
        <w:r>
          <w:t xml:space="preserve">5. Du har klart det</w:t>
        </w:r>
      </w:hyperlink>
    </w:p>
    <w:p>
      <w:pPr>
        <w:spacing w:after="100" w:line="260"/>
        <w:ind w:left="160"/>
      </w:pPr>
      <w:hyperlink w:history="1" w:anchor="kap-06">
        <w:r>
          <w:t xml:space="preserve">6. The Letter Without His Name</w:t>
        </w:r>
      </w:hyperlink>
    </w:p>
    <w:p>
      <w:pPr>
        <w:spacing w:after="100" w:line="260"/>
        <w:ind w:left="160"/>
      </w:pPr>
      <w:hyperlink w:history="1" w:anchor="kap-07">
        <w:r>
          <w:t xml:space="preserve">7. The Empty Place</w:t>
        </w:r>
      </w:hyperlink>
    </w:p>
    <w:p>
      <w:pPr>
        <w:spacing w:after="100" w:line="260"/>
        <w:ind w:left="160"/>
      </w:pPr>
      <w:hyperlink w:history="1" w:anchor="kap-08">
        <w:r>
          <w:t xml:space="preserve">8. Somebody's Son</w:t>
        </w:r>
      </w:hyperlink>
    </w:p>
    <w:p>
      <w:pPr>
        <w:spacing w:after="100" w:line="260"/>
        <w:ind w:left="160"/>
      </w:pPr>
      <w:hyperlink w:history="1" w:anchor="kap-09">
        <w:r>
          <w:t xml:space="preserve">9. What Entered the Room</w:t>
        </w:r>
      </w:hyperlink>
    </w:p>
    <w:p>
      <w:pPr>
        <w:spacing w:after="100" w:line="260"/>
        <w:ind w:left="160"/>
      </w:pPr>
      <w:hyperlink w:history="1" w:anchor="kap-10">
        <w:r>
          <w:t xml:space="preserve">10. What the Screen Cannot Explain</w:t>
        </w:r>
      </w:hyperlink>
    </w:p>
    <w:p>
      <w:pPr>
        <w:keepNext/>
        <w:spacing w:after="100" w:before="180"/>
      </w:pPr>
      <w:hyperlink w:history="1" w:anchor="kap-11">
        <w:r>
          <w:rPr>
            <w:b/>
            <w:bCs/>
          </w:rPr>
          <w:t xml:space="preserve">The Country That Still Works</w:t>
        </w:r>
      </w:hyperlink>
    </w:p>
    <w:p>
      <w:pPr>
        <w:spacing w:after="100" w:line="260"/>
        <w:ind w:left="160"/>
      </w:pPr>
      <w:hyperlink w:history="1" w:anchor="kap-11">
        <w:r>
          <w:t xml:space="preserve">11. The Best-Case Country</w:t>
        </w:r>
      </w:hyperlink>
    </w:p>
    <w:p>
      <w:pPr>
        <w:spacing w:after="100" w:line="260"/>
        <w:ind w:left="160"/>
      </w:pPr>
      <w:hyperlink w:history="1" w:anchor="kap-12">
        <w:r>
          <w:t xml:space="preserve">12. No But in the Sentence</w:t>
        </w:r>
      </w:hyperlink>
    </w:p>
    <w:p>
      <w:pPr>
        <w:spacing w:after="100" w:line="260"/>
        <w:ind w:left="160"/>
      </w:pPr>
      <w:hyperlink w:history="1" w:anchor="kap-13">
        <w:r>
          <w:t xml:space="preserve">13. The Church Still on the Map</w:t>
        </w:r>
      </w:hyperlink>
    </w:p>
    <w:p>
      <w:pPr>
        <w:spacing w:after="100" w:line="260"/>
        <w:ind w:left="160"/>
      </w:pPr>
      <w:hyperlink w:history="1" w:anchor="kap-14">
        <w:r>
          <w:t xml:space="preserve">14. The Rites That Remain</w:t>
        </w:r>
      </w:hyperlink>
    </w:p>
    <w:p>
      <w:pPr>
        <w:spacing w:after="100" w:line="260"/>
        <w:ind w:left="160"/>
      </w:pPr>
      <w:hyperlink w:history="1" w:anchor="kap-15">
        <w:r>
          <w:t xml:space="preserve">15. Households in Motion</w:t>
        </w:r>
      </w:hyperlink>
    </w:p>
    <w:p>
      <w:pPr>
        <w:spacing w:after="100" w:line="260"/>
        <w:ind w:left="160"/>
      </w:pPr>
      <w:hyperlink w:history="1" w:anchor="kap-16">
        <w:r>
          <w:t xml:space="preserve">16. Fathers Came Home</w:t>
        </w:r>
      </w:hyperlink>
    </w:p>
    <w:p>
      <w:pPr>
        <w:spacing w:after="100" w:line="260"/>
        <w:ind w:left="160"/>
      </w:pPr>
      <w:hyperlink w:history="1" w:anchor="kap-17">
        <w:r>
          <w:t xml:space="preserve">17. The Child's Day</w:t>
        </w:r>
      </w:hyperlink>
    </w:p>
    <w:p>
      <w:pPr>
        <w:spacing w:after="100" w:line="260"/>
        <w:ind w:left="160"/>
      </w:pPr>
      <w:hyperlink w:history="1" w:anchor="kap-18">
        <w:r>
          <w:t xml:space="preserve">18. The State Beside the Family</w:t>
        </w:r>
      </w:hyperlink>
    </w:p>
    <w:p>
      <w:pPr>
        <w:spacing w:after="100" w:line="260"/>
        <w:ind w:left="160"/>
      </w:pPr>
      <w:hyperlink w:history="1" w:anchor="kap-19">
        <w:r>
          <w:t xml:space="preserve">19. What the Numbers Refuse to Say</w:t>
        </w:r>
      </w:hyperlink>
    </w:p>
    <w:p>
      <w:pPr>
        <w:spacing w:after="100" w:line="260"/>
        <w:ind w:left="160"/>
      </w:pPr>
      <w:hyperlink w:history="1" w:anchor="kap-20">
        <w:r>
          <w:t xml:space="preserve">20. The Inference I Cannot Prove</w:t>
        </w:r>
      </w:hyperlink>
    </w:p>
    <w:p>
      <w:pPr>
        <w:keepNext/>
        <w:spacing w:after="100" w:before="180"/>
      </w:pPr>
      <w:hyperlink w:history="1" w:anchor="kap-21">
        <w:r>
          <w:rPr>
            <w:b/>
            <w:bCs/>
          </w:rPr>
          <w:t xml:space="preserve">What We Did with the Inheritance</w:t>
        </w:r>
      </w:hyperlink>
    </w:p>
    <w:p>
      <w:pPr>
        <w:spacing w:after="100" w:line="260"/>
        <w:ind w:left="160"/>
      </w:pPr>
      <w:hyperlink w:history="1" w:anchor="kap-21">
        <w:r>
          <w:t xml:space="preserve">21. The Family Is Not a House</w:t>
        </w:r>
      </w:hyperlink>
    </w:p>
    <w:p>
      <w:pPr>
        <w:spacing w:after="100" w:line="260"/>
        <w:ind w:left="160"/>
      </w:pPr>
      <w:hyperlink w:history="1" w:anchor="kap-22">
        <w:r>
          <w:t xml:space="preserve">22. The Mid-Century Picture</w:t>
        </w:r>
      </w:hyperlink>
    </w:p>
    <w:p>
      <w:pPr>
        <w:spacing w:after="100" w:line="260"/>
        <w:ind w:left="160"/>
      </w:pPr>
      <w:hyperlink w:history="1" w:anchor="kap-23">
        <w:r>
          <w:t xml:space="preserve">23. Mothers, Fathers, Parents</w:t>
        </w:r>
      </w:hyperlink>
    </w:p>
    <w:p>
      <w:pPr>
        <w:spacing w:after="100" w:line="260"/>
        <w:ind w:left="160"/>
      </w:pPr>
      <w:hyperlink w:history="1" w:anchor="kap-24">
        <w:r>
          <w:t xml:space="preserve">24. An Intact Home That Was Not Safe</w:t>
        </w:r>
      </w:hyperlink>
    </w:p>
    <w:p>
      <w:pPr>
        <w:spacing w:after="100" w:line="260"/>
        <w:ind w:left="160"/>
      </w:pPr>
      <w:hyperlink w:history="1" w:anchor="kap-25">
        <w:r>
          <w:t xml:space="preserve">25. The People Norway Made Smaller</w:t>
        </w:r>
      </w:hyperlink>
    </w:p>
    <w:p>
      <w:pPr>
        <w:spacing w:after="100" w:line="260"/>
        <w:ind w:left="160"/>
      </w:pPr>
      <w:hyperlink w:history="1" w:anchor="kap-26">
        <w:r>
          <w:t xml:space="preserve">26. Behind the Closed Door</w:t>
        </w:r>
      </w:hyperlink>
    </w:p>
    <w:p>
      <w:pPr>
        <w:spacing w:after="100" w:line="260"/>
        <w:ind w:left="160"/>
      </w:pPr>
      <w:hyperlink w:history="1" w:anchor="kap-27">
        <w:r>
          <w:t xml:space="preserve">27. What the Church Did</w:t>
        </w:r>
      </w:hyperlink>
    </w:p>
    <w:p>
      <w:pPr>
        <w:spacing w:after="100" w:line="260"/>
        <w:ind w:left="160"/>
      </w:pPr>
      <w:hyperlink w:history="1" w:anchor="kap-28">
        <w:r>
          <w:t xml:space="preserve">28. After the Ceremony</w:t>
        </w:r>
      </w:hyperlink>
    </w:p>
    <w:p>
      <w:pPr>
        <w:spacing w:after="100" w:line="260"/>
        <w:ind w:left="160"/>
      </w:pPr>
      <w:hyperlink w:history="1" w:anchor="kap-29">
        <w:r>
          <w:t xml:space="preserve">29. The Machine That Cast Us</w:t>
        </w:r>
      </w:hyperlink>
    </w:p>
    <w:p>
      <w:pPr>
        <w:spacing w:after="100" w:line="260"/>
        <w:ind w:left="160"/>
      </w:pPr>
      <w:hyperlink w:history="1" w:anchor="kap-30">
        <w:r>
          <w:t xml:space="preserve">30. The Word That Attached Itself</w:t>
        </w:r>
      </w:hyperlink>
    </w:p>
    <w:p>
      <w:pPr>
        <w:keepNext/>
        <w:spacing w:after="100" w:before="180"/>
      </w:pPr>
      <w:hyperlink w:history="1" w:anchor="kap-31">
        <w:r>
          <w:rPr>
            <w:b/>
            <w:bCs/>
          </w:rPr>
          <w:t xml:space="preserve">The Turning</w:t>
        </w:r>
      </w:hyperlink>
    </w:p>
    <w:p>
      <w:pPr>
        <w:spacing w:after="100" w:line="260"/>
        <w:ind w:left="160"/>
      </w:pPr>
      <w:hyperlink w:history="1" w:anchor="kap-31">
        <w:r>
          <w:t xml:space="preserve">31. Who Gets to Say We</w:t>
        </w:r>
      </w:hyperlink>
    </w:p>
    <w:p>
      <w:pPr>
        <w:spacing w:after="100" w:line="260"/>
        <w:ind w:left="160"/>
      </w:pPr>
      <w:hyperlink w:history="1" w:anchor="kap-32">
        <w:r>
          <w:t xml:space="preserve">32. Blood, Practice and Witness</w:t>
        </w:r>
      </w:hyperlink>
    </w:p>
    <w:p>
      <w:pPr>
        <w:spacing w:after="100" w:line="260"/>
        <w:ind w:left="160"/>
      </w:pPr>
      <w:hyperlink w:history="1" w:anchor="kap-33">
        <w:r>
          <w:t xml:space="preserve">33. Norway Is Not the Kingdom</w:t>
        </w:r>
      </w:hyperlink>
    </w:p>
    <w:p>
      <w:pPr>
        <w:spacing w:after="100" w:line="260"/>
        <w:ind w:left="160"/>
      </w:pPr>
      <w:hyperlink w:history="1" w:anchor="kap-34">
        <w:r>
          <w:t xml:space="preserve">34. The Family Under Judgement</w:t>
        </w:r>
      </w:hyperlink>
    </w:p>
    <w:p>
      <w:pPr>
        <w:spacing w:after="100" w:line="260"/>
        <w:ind w:left="160"/>
      </w:pPr>
      <w:hyperlink w:history="1" w:anchor="kap-35">
        <w:r>
          <w:t xml:space="preserve">35. The Hard Sayings</w:t>
        </w:r>
      </w:hyperlink>
    </w:p>
    <w:p>
      <w:pPr>
        <w:spacing w:after="100" w:line="260"/>
        <w:ind w:left="160"/>
      </w:pPr>
      <w:hyperlink w:history="1" w:anchor="kap-36">
        <w:r>
          <w:t xml:space="preserve">36. Reconciliation Begins Elsewhere</w:t>
        </w:r>
      </w:hyperlink>
    </w:p>
    <w:p>
      <w:pPr>
        <w:spacing w:after="100" w:line="260"/>
        <w:ind w:left="160"/>
      </w:pPr>
      <w:hyperlink w:history="1" w:anchor="kap-37">
        <w:r>
          <w:t xml:space="preserve">37. The Fathers and the Children</w:t>
        </w:r>
      </w:hyperlink>
    </w:p>
    <w:p>
      <w:pPr>
        <w:spacing w:after="100" w:line="260"/>
        <w:ind w:left="160"/>
      </w:pPr>
      <w:hyperlink w:history="1" w:anchor="kap-38">
        <w:r>
          <w:t xml:space="preserve">38. Turn Towards the Father</w:t>
        </w:r>
      </w:hyperlink>
    </w:p>
    <w:p>
      <w:pPr>
        <w:spacing w:after="100" w:line="260"/>
        <w:ind w:left="160"/>
      </w:pPr>
      <w:hyperlink w:history="1" w:anchor="kap-39">
        <w:r>
          <w:t xml:space="preserve">39. When the Other Heart Does Not Turn</w:t>
        </w:r>
      </w:hyperlink>
    </w:p>
    <w:p>
      <w:pPr>
        <w:spacing w:after="100" w:line="260"/>
        <w:ind w:left="160"/>
      </w:pPr>
      <w:hyperlink w:history="1" w:anchor="kap-40">
        <w:r>
          <w:t xml:space="preserve">40. The Man Who Stays</w:t>
        </w:r>
      </w:hyperlink>
    </w:p>
    <w:p>
      <w:pPr>
        <w:spacing w:after="100" w:line="260"/>
        <w:ind w:left="0"/>
      </w:pPr>
      <w:hyperlink w:history="1" w:anchor="epilogue">
        <w:r>
          <w:t xml:space="preserve">Epilogue. The Next Room</w:t>
        </w:r>
      </w:hyperlink>
    </w:p>
    <w:p>
      <w:pPr>
        <w:spacing w:after="100" w:before="140"/>
      </w:pPr>
      <w:hyperlink w:history="1" w:anchor="book-notes">
        <w:r>
          <w:t xml:space="preserve">Notes</w:t>
        </w:r>
      </w:hyperlink>
    </w:p>
    <w:p>
      <w:pPr>
        <w:pStyle w:val="Heading1"/>
        <w:keepNext/>
        <w:pageBreakBefore/>
        <w:spacing w:after="400" w:before="0"/>
      </w:pPr>
      <w:bookmarkStart w:name="author-note" w:id="1"/>
      <w:r>
        <w:t xml:space="preserve">Author's Note</w:t>
      </w:r>
      <w:bookmarkEnd w:id="1"/>
    </w:p>
    <w:p>
      <w:pPr>
        <w:widowControl/>
        <w:spacing w:after="40" w:line="320"/>
        <w:ind w:firstLine="0"/>
      </w:pPr>
      <w:r>
        <w:t xml:space="preserve">This book joins a family history to an argument about Norway. Where I describe something I remember, I write as a witness to my own life. Where another person has left an account, I identify that account. Records and memories sometimes disagree. The disagreement remains visible in the notes.</w:t>
      </w:r>
    </w:p>
    <w:p>
      <w:pPr>
        <w:widowControl/>
        <w:spacing w:after="40" w:line="320"/>
        <w:ind w:firstLine="260"/>
      </w:pPr>
      <w:r>
        <w:t xml:space="preserve">The Solbak Årnes family's Jewish history is part of the life from which I write. My Christian confession is my own. It does not supply the beliefs of my grandparents or explain what every member of the family has made of our inheritance.</w:t>
      </w:r>
    </w:p>
    <w:p>
      <w:pPr>
        <w:widowControl/>
        <w:spacing w:after="40" w:line="320"/>
        <w:ind w:firstLine="260"/>
      </w:pPr>
      <w:r>
        <w:t xml:space="preserve">The rowing chant, RO, is part of my creative work, and I publish under MantleOfElias. I have an interest in the reception and sale of my work. I did not originate the supporter chant. The people described taking part in it are not presented as endorsing this book.</w:t>
      </w:r>
    </w:p>
    <w:p>
      <w:pPr>
        <w:widowControl/>
        <w:spacing w:after="40" w:line="320"/>
        <w:ind w:firstLine="260"/>
      </w:pPr>
      <w:r>
        <w:t>Some private history is left untold. That choice limits the claims I can make. It does not invite the reader to reconstruct what is untold.</w:t>
      </w:r>
    </w:p>
    <w:p>
      <w:pPr>
        <w:pStyle w:val="Heading1"/>
        <w:keepNext/>
        <w:pageBreakBefore/>
        <w:spacing w:after="400" w:before="0"/>
      </w:pPr>
      <w:bookmarkStart w:name="prologue" w:id="1"/>
      <w:r>
        <w:t xml:space="preserve">Prologue. The Borrowed Drum</w:t>
      </w:r>
      <w:bookmarkEnd w:id="1"/>
    </w:p>
    <w:p>
      <w:pPr>
        <w:widowControl/>
        <w:spacing w:after="40" w:line="320"/>
        <w:ind w:firstLine="0"/>
      </w:pPr>
      <w:r>
        <w:t>The drum was borrowed.</w:t>
      </w:r>
    </w:p>
    <w:p>
      <w:pPr>
        <w:widowControl/>
        <w:spacing w:after="40" w:line="320"/>
        <w:ind w:firstLine="260"/>
      </w:pPr>
      <w:r>
        <w:t>I carried it to the ruins of St Mary's Church in Oslo's Medieval Park and stood beside Vannspeilet, the reflecting pool. It was 2024. I wore a long black coat and dark glasses. I had the figure of Neo from The Matrix in mind. I say so because it counts against me, and I will return to it.</w:t>
      </w:r>
      <w:r>
        <w:rPr>
          <w:i/>
          <w:iCs/>
        </w:rPr>
      </w:r>
      <w:r/>
    </w:p>
    <w:p>
      <w:pPr>
        <w:widowControl/>
        <w:spacing w:after="40" w:line="320"/>
        <w:ind w:firstLine="260"/>
      </w:pPr>
      <w:r>
        <w:t xml:space="preserve">I had come to pray for my son.</w:t>
      </w:r>
    </w:p>
    <w:p>
      <w:pPr>
        <w:widowControl/>
        <w:spacing w:after="40" w:line="320"/>
        <w:ind w:firstLine="260"/>
      </w:pPr>
      <w:r>
        <w:t xml:space="preserve">For years, I have lived without the ordinary freedom to be present in my son's life. I cannot tell that story without telling parts of his, so I will not. What I can tell is what the absence has done to me.</w:t>
      </w:r>
    </w:p>
    <w:p>
      <w:pPr>
        <w:widowControl/>
        <w:spacing w:after="40" w:line="320"/>
        <w:ind w:firstLine="260"/>
      </w:pPr>
      <w:r>
        <w:t xml:space="preserve">A father can spend much of his time doing things too small to make a story: answering, listening, being there when he is needed. Losing the ordinary freedom to do them changes the meaning of an ordinary day. The work remains in your mind even when you cannot reach the person for whom you would do it.</w:t>
      </w:r>
    </w:p>
    <w:p>
      <w:pPr>
        <w:widowControl/>
        <w:spacing w:after="40" w:line="320"/>
        <w:ind w:firstLine="260"/>
      </w:pPr>
      <w:r>
        <w:t>Beside the ruined church, I struck the drum and cried out. I was calling to God. I prayed for my son. The instrument was borrowed from a friend. My prayer was addressed to Christ.</w:t>
      </w:r>
    </w:p>
    <w:p>
      <w:pPr>
        <w:widowControl/>
        <w:spacing w:after="40" w:line="320"/>
        <w:ind w:firstLine="260"/>
      </w:pPr>
      <w:r>
        <w:t xml:space="preserve">The drum gave the cry a beat. A man in a black coat beside a reflecting pool might look very different to a passer-by from the way he understood himself. I can tell you what I was doing there. I cannot tell you what anybody watching made of it.</w:t>
      </w:r>
    </w:p>
    <w:p>
      <w:pPr>
        <w:widowControl/>
        <w:spacing w:after="40" w:line="320"/>
        <w:ind w:firstLine="260"/>
      </w:pPr>
      <w:r>
        <w:t xml:space="preserve">Afterwards, I picked up the drum and went home. My son had not come home with me. The prayer had been made; the ordinary freedom I wanted had not been restored that day.</w:t>
      </w:r>
    </w:p>
    <w:p>
      <w:pPr>
        <w:widowControl/>
        <w:spacing w:after="40" w:line="320"/>
        <w:ind w:firstLine="260"/>
      </w:pPr>
      <w:r>
        <w:t xml:space="preserve">There is an earlier memory I need to place beside that absence. My grandfather Hilmar took me rowing on the Bunnefjorden when I was a boy. He worked with nets and fish. He whistled while he worked. When he taught me to row, he put his hands around mine and helped me keep the boat straight.</w:t>
      </w:r>
    </w:p>
    <w:p>
      <w:pPr>
        <w:widowControl/>
        <w:spacing w:after="40" w:line="320"/>
        <w:ind w:firstLine="260"/>
      </w:pPr>
      <w:r>
        <w:t xml:space="preserve">He had something to teach, and I was close enough to receive it.</w:t>
      </w:r>
    </w:p>
    <w:p>
      <w:pPr>
        <w:widowControl/>
        <w:spacing w:after="40" w:line="320"/>
        <w:ind w:firstLine="260"/>
      </w:pPr>
      <w:r>
        <w:t xml:space="preserve">I return to those hands because they belong to a life I knew. Before I had an argument about fathers and children, I had sat in that boat.</w:t>
      </w:r>
    </w:p>
    <w:p>
      <w:pPr>
        <w:pStyle w:val="Heading1"/>
        <w:keepNext/>
        <w:pageBreakBefore/>
        <w:spacing w:after="400" w:before="0"/>
      </w:pPr>
      <w:r>
        <w:t xml:space="preserve">Part I. What Hands Carry</w:t>
      </w:r>
    </w:p>
    <w:p>
      <w:pPr>
        <w:pStyle w:val="Heading2"/>
        <w:keepNext/>
        <w:spacing w:after="400" w:before="0"/>
      </w:pPr>
      <w:bookmarkStart w:name="kap-01" w:id="1"/>
      <w:r>
        <w:t xml:space="preserve">1. The Line</w:t>
      </w:r>
      <w:bookmarkEnd w:id="1"/>
    </w:p>
    <w:p>
      <w:pPr>
        <w:widowControl/>
        <w:spacing w:after="40" w:line="320"/>
        <w:ind w:firstLine="0"/>
      </w:pPr>
      <w:r>
        <w:t xml:space="preserve">I remember the mending better than the catch.</w:t>
      </w:r>
    </w:p>
    <w:p>
      <w:pPr>
        <w:widowControl/>
        <w:spacing w:after="40" w:line="320"/>
        <w:ind w:firstLine="260"/>
      </w:pPr>
      <w:r>
        <w:t xml:space="preserve">My grandfather Hilmar set nets, brought them in and repaired them. He gutted the fish. I sat close enough to see work that had a purpose beyond keeping a child occupied. We were on the Bunnefjorden, on the Kirkevika side, in a small rowing boat. I remember the man who moved it through the water.</w:t>
      </w:r>
      <w:r>
        <w:rPr>
          <w:vertAlign w:val="superscript"/>
        </w:rPr>
        <w:t xml:space="preserve">1</w:t>
      </w:r>
    </w:p>
    <w:p>
      <w:pPr>
        <w:widowControl/>
        <w:spacing w:after="40" w:line="320"/>
        <w:ind w:firstLine="260"/>
      </w:pPr>
      <w:r>
        <w:t xml:space="preserve">Hilmar Olav Johan Årnes was my father's father. He was born in 1928. The working life that preceded my childhood was much larger than the part I knew: fishing, ships, training, places I had never been. For me he fitted into the other end of a boat.</w:t>
      </w:r>
    </w:p>
    <w:p>
      <w:pPr>
        <w:widowControl/>
        <w:spacing w:after="40" w:line="320"/>
        <w:ind w:firstLine="260"/>
      </w:pPr>
      <w:r>
        <w:t xml:space="preserve">These memories arrive in pieces. The oars. A net being mended. The catch being handled. They do not assemble themselves into a particular morning with a date and a conversation. There is no opening exchange I can recover, no sentence of his that explains why he took me. He did take me. I remember wanting to be there.</w:t>
      </w:r>
    </w:p>
    <w:p>
      <w:pPr>
        <w:widowControl/>
        <w:spacing w:after="40" w:line="320"/>
        <w:ind w:firstLine="260"/>
      </w:pPr>
      <w:r>
        <w:t xml:space="preserve">The work went on beside me, and I watched it with the excitement a child can feel about something an adult considers ordinary. There was food to bring home. There was gear to put right before it could be used again. The boat had to move. Whatever I understood of fishing, I understood that he knew how to do these things and that I could be with him while he did them.</w:t>
      </w:r>
    </w:p>
    <w:p>
      <w:pPr>
        <w:widowControl/>
        <w:spacing w:after="40" w:line="320"/>
        <w:ind w:firstLine="260"/>
      </w:pPr>
      <w:r>
        <w:t xml:space="preserve">That arrangement gave the hours their particular pleasure. He had not left his competence elsewhere in order to entertain me. I was admitted to a little of it. His hands were doing something I could follow before I could have explained it. A damaged mesh was a small problem with a visible repair. Once repaired, it went back to work.</w:t>
      </w:r>
    </w:p>
    <w:p>
      <w:pPr>
        <w:widowControl/>
        <w:spacing w:after="40" w:line="320"/>
        <w:ind w:firstLine="260"/>
      </w:pPr>
      <w:r>
        <w:t xml:space="preserve">I do not remember every knot. I cannot claim that watching him made me a fisherman. What I remember is being allowed near work that mattered to somebody, without having to be useful enough to justify my place. I was his grandson. There was room for me.</w:t>
      </w:r>
    </w:p>
    <w:p>
      <w:pPr>
        <w:widowControl/>
        <w:spacing w:after="40" w:line="320"/>
        <w:ind w:firstLine="260"/>
      </w:pPr>
      <w:r>
        <w:t xml:space="preserve">He rowed. The boat answered. I felt safe.</w:t>
      </w:r>
    </w:p>
    <w:p>
      <w:pPr>
        <w:widowControl/>
        <w:spacing w:after="40" w:line="320"/>
        <w:ind w:firstLine="260"/>
      </w:pPr>
      <w:r>
        <w:t xml:space="preserve">In July 2026, when I asked him about his years at sea, he told me about seasickness. Bad weather could mean vomiting; on a long trip it could take time to pass. I had remembered a man who appeared entirely at home on the water. He remembered being ill on it and continuing to work.</w:t>
      </w:r>
      <w:r>
        <w:rPr>
          <w:vertAlign w:val="superscript"/>
        </w:rPr>
        <w:t xml:space="preserve">2</w:t>
      </w:r>
    </w:p>
    <w:p>
      <w:pPr>
        <w:widowControl/>
        <w:spacing w:after="40" w:line="320"/>
        <w:ind w:firstLine="260"/>
      </w:pPr>
      <w:r>
        <w:t xml:space="preserve">The two accounts belong beside each other. Mine is what a boy received from him. His is what the work sometimes cost. My ease cannot be used to erase his discomfort. It makes his having taken me no smaller.</w:t>
      </w:r>
    </w:p>
    <w:p>
      <w:pPr>
        <w:widowControl/>
        <w:spacing w:after="40" w:line="320"/>
        <w:ind w:firstLine="260"/>
      </w:pPr>
      <w:r>
        <w:t xml:space="preserve">Norway does not get to borrow him as its representative fisherman. He is one man in my family. Other people on this coast had other grandfathers, and some had none who would take them anywhere. A memory of being loved cannot establish the condition of a country. It can establish something worth asking the country about.</w:t>
      </w:r>
    </w:p>
    <w:p>
      <w:pPr>
        <w:widowControl/>
        <w:spacing w:after="40" w:line="320"/>
        <w:ind w:firstLine="260"/>
      </w:pPr>
      <w:r>
        <w:t xml:space="preserve">There was a relationship here through which experience became available to a child. It needed a person who knew the work and time in which the child could be near him. The family connection made the time possible in my case. It did not teach the work by itself. No entry on a family tree could have shown me what Hilmar was doing to the net.</w:t>
      </w:r>
    </w:p>
    <w:p>
      <w:pPr>
        <w:widowControl/>
        <w:spacing w:after="40" w:line="320"/>
        <w:ind w:firstLine="260"/>
      </w:pPr>
      <w:r>
        <w:t xml:space="preserve">I care about that distinction because I care about the tree. Names identify the people to whom I belong. They help me find the lives from which my own came. But the line drawn between two names is spare. It cannot tell me whether those people spent time together, what passed between them or what failed to pass. To learn any of that, I have to leave the diagram and look for the people.</w:t>
      </w:r>
    </w:p>
    <w:p>
      <w:pPr>
        <w:widowControl/>
        <w:spacing w:after="40" w:line="320"/>
        <w:ind w:firstLine="260"/>
      </w:pPr>
      <w:r>
        <w:t xml:space="preserve">With Hilmar I have the memories as well as the name. I had the small boat before I had much knowledge of his larger working life. It would be strange to treat those hours as less real because they cannot be set out in a crew register. It would be equally strange to make the register say how I felt beside him.</w:t>
      </w:r>
    </w:p>
    <w:p>
      <w:pPr>
        <w:widowControl/>
        <w:spacing w:after="40" w:line="320"/>
        <w:ind w:firstLine="260"/>
      </w:pPr>
      <w:r>
        <w:t xml:space="preserve">Our fishing trips continued until I was about eleven or twelve. I do not remember recognising a last one. I cannot supply the final trip now without choosing one that memory has not kept. What remains is the repeated experience: the ordinary boat, the work, the pleasure of being with him.</w:t>
      </w:r>
      <w:r>
        <w:rPr>
          <w:vertAlign w:val="superscript"/>
        </w:rPr>
        <w:t xml:space="preserve">1</w:t>
      </w:r>
    </w:p>
    <w:p>
      <w:pPr>
        <w:widowControl/>
        <w:spacing w:after="40" w:line="320"/>
        <w:ind w:firstLine="260"/>
      </w:pPr>
      <w:r>
        <w:t xml:space="preserve">The mending stays with me because it gave care a task. A net needed attention after it had already served its purpose. Bringing home a catch did not finish the responsibility for the gear. He returned to it. That is what I saw, and what I find myself returning to as I try to understand what a family hands on.</w:t>
      </w:r>
    </w:p>
    <w:p>
      <w:pPr>
        <w:widowControl/>
        <w:spacing w:after="40" w:line="320"/>
        <w:ind w:firstLine="260"/>
      </w:pPr>
      <w:r>
        <w:t xml:space="preserve">He was not explaining inheritance to me. He was getting the net ready to be used again.</w:t>
      </w:r>
    </w:p>
    <w:p>
      <w:pPr>
        <w:pStyle w:val="Heading2"/>
        <w:keepNext/>
        <w:pageBreakBefore/>
        <w:spacing w:after="400" w:before="0"/>
      </w:pPr>
      <w:bookmarkStart w:name="kap-02" w:id="1"/>
      <w:r>
        <w:t xml:space="preserve">2. Work That Dies Untaught</w:t>
      </w:r>
      <w:bookmarkEnd w:id="1"/>
    </w:p>
    <w:p>
      <w:pPr>
        <w:widowControl/>
        <w:spacing w:after="40" w:line="320"/>
        <w:ind w:firstLine="0"/>
      </w:pPr>
      <w:r>
        <w:t xml:space="preserve">When I asked Hilmar what he hoped I had learnt from our fishing trips, he began talking about baiting lines.</w:t>
      </w:r>
    </w:p>
    <w:p>
      <w:pPr>
        <w:widowControl/>
        <w:spacing w:after="40" w:line="320"/>
        <w:ind w:firstLine="260"/>
      </w:pPr>
      <w:r>
        <w:t xml:space="preserve">It was July 2026. We were on the telephone. I repeated the question. He returned to the fishing: the crews, the lines, the tubs of hooks prepared on land. I tried again. The connection failed, and for a while I was asking whether he could hear me at all.</w:t>
      </w:r>
      <w:r>
        <w:rPr>
          <w:vertAlign w:val="superscript"/>
        </w:rPr>
        <w:t xml:space="preserve">1</w:t>
      </w:r>
    </w:p>
    <w:p>
      <w:pPr>
        <w:widowControl/>
        <w:spacing w:after="40" w:line="320"/>
        <w:ind w:firstLine="260"/>
      </w:pPr>
      <w:r>
        <w:t xml:space="preserve">I had a question about what he had given me. He had a working life to tell me about.</w:t>
      </w:r>
    </w:p>
    <w:p>
      <w:pPr>
        <w:widowControl/>
        <w:spacing w:after="40" w:line="320"/>
        <w:ind w:firstLine="260"/>
      </w:pPr>
      <w:r>
        <w:t xml:space="preserve">The answer eventually came. “Ja, men du har lært i hvert fall å være aktiv, vet du.” At least you have learnt to be active. I told him I would remember it.</w:t>
      </w:r>
      <w:r>
        <w:rPr>
          <w:vertAlign w:val="superscript"/>
        </w:rPr>
        <w:t xml:space="preserve">2</w:t>
      </w:r>
    </w:p>
    <w:p>
      <w:pPr>
        <w:widowControl/>
        <w:spacing w:after="40" w:line="320"/>
        <w:ind w:firstLine="260"/>
      </w:pPr>
      <w:r>
        <w:t xml:space="preserve">Active is a modest word to bring home from an interview with your grandfather. It does not offer much to a writer hoping for a sentence that will explain his childhood. It asks what you do with the day. Hilmar had plenty to say about that.</w:t>
      </w:r>
    </w:p>
    <w:p>
      <w:pPr>
        <w:widowControl/>
        <w:spacing w:after="40" w:line="320"/>
        <w:ind w:firstLine="260"/>
      </w:pPr>
      <w:r>
        <w:t xml:space="preserve">He described people on land preparing the next set of lines while the boats were out. When the boats returned, more gear had to be ready. The numbers varied as he recalled them. I will not choose the largest and make an exact account out of it. What he kept returning to was the work needed for the next departure.</w:t>
      </w:r>
      <w:r>
        <w:rPr>
          <w:vertAlign w:val="superscript"/>
        </w:rPr>
        <w:t xml:space="preserve">1</w:t>
      </w:r>
    </w:p>
    <w:p>
      <w:pPr>
        <w:widowControl/>
        <w:spacing w:after="40" w:line="320"/>
        <w:ind w:firstLine="260"/>
      </w:pPr>
      <w:r>
        <w:t xml:space="preserve">He talked about his brother Bjarne. Both had suffered from seasickness. Hilmar could bait lines on land without being ill at sea. There was no need to be in the boat to have a part in what the boat brought back. The people on land were preparing what the crew would use.</w:t>
      </w:r>
      <w:r>
        <w:rPr>
          <w:vertAlign w:val="superscript"/>
        </w:rPr>
        <w:t xml:space="preserve">3</w:t>
      </w:r>
    </w:p>
    <w:p>
      <w:pPr>
        <w:widowControl/>
        <w:spacing w:after="40" w:line="320"/>
        <w:ind w:firstLine="260"/>
      </w:pPr>
      <w:r>
        <w:t xml:space="preserve">That is a larger account of work than the child in the rowing boat possessed. I had seen Hilmar doing things. In the interview I heard about people depending on one another, including people out of sight. A catch could be held up for a photograph. The preparation behind it was harder to fit into the picture.</w:t>
      </w:r>
    </w:p>
    <w:p>
      <w:pPr>
        <w:widowControl/>
        <w:spacing w:after="40" w:line="320"/>
        <w:ind w:firstLine="260"/>
      </w:pPr>
      <w:r>
        <w:t xml:space="preserve">He described looking after an engine, checking oil and lubrication, keeping it in order. Somebody had been assigned that responsibility. He named fishing school and navigation training. His recollection moved between periods and places, but the matter he wanted me to understand was practical. The equipment had to be ready. Somebody had to look after it.</w:t>
      </w:r>
      <w:r>
        <w:rPr>
          <w:vertAlign w:val="superscript"/>
        </w:rPr>
        <w:t xml:space="preserve">3</w:t>
      </w:r>
    </w:p>
    <w:p>
      <w:pPr>
        <w:widowControl/>
        <w:spacing w:after="40" w:line="320"/>
        <w:ind w:firstLine="260"/>
      </w:pPr>
      <w:r>
        <w:t xml:space="preserve">I cannot take the exact course of his working life from one conversation. The family has kept names of vessels and photographs, and those objects help us ask better questions. They do not provide every date or capacity in which he served. My father, Tor, made a garment commemorating that life, with ships and Hilmar's name on it. It is an act of remembrance by his son, rather than a service record.</w:t>
      </w:r>
      <w:r>
        <w:rPr>
          <w:vertAlign w:val="superscript"/>
        </w:rPr>
        <w:t xml:space="preserve">4</w:t>
      </w:r>
    </w:p>
    <w:p>
      <w:pPr>
        <w:widowControl/>
        <w:spacing w:after="40" w:line="320"/>
        <w:ind w:firstLine="260"/>
      </w:pPr>
      <w:r>
        <w:t xml:space="preserve">It tells me something else worth keeping: the family wanted the work remembered. Long after a particular voyage, somebody cared enough to put the names together. Tor did that. I am doing a different part now, listening for what can still be heard and checking what the surviving objects actually say.</w:t>
      </w:r>
    </w:p>
    <w:p>
      <w:pPr>
        <w:widowControl/>
        <w:spacing w:after="40" w:line="320"/>
        <w:ind w:firstLine="260"/>
      </w:pPr>
      <w:r>
        <w:t xml:space="preserve">None of this teaches me to maintain an engine. That requires another kind of attention. An account of a skill can tell me where to begin, whom to ask and why the task mattered. It cannot make my first attempt competent. There is still the thing itself, and somebody has to learn to do it.</w:t>
      </w:r>
    </w:p>
    <w:p>
      <w:pPr>
        <w:widowControl/>
        <w:spacing w:after="40" w:line="320"/>
        <w:ind w:firstLine="260"/>
      </w:pPr>
      <w:r>
        <w:t xml:space="preserve">This is where the fear of losing a tradition becomes more exact. A skill can remain admired after there are fewer people able to practise it. Its name can survive on a museum label or a family garment. The admiration may be sincere. The garment may be treasured. Neither prepares the next set of lines.</w:t>
      </w:r>
    </w:p>
    <w:p>
      <w:pPr>
        <w:widowControl/>
        <w:spacing w:after="40" w:line="320"/>
        <w:ind w:firstLine="260"/>
      </w:pPr>
      <w:r>
        <w:t xml:space="preserve">I do not take that as an argument against museums or against the garment. I need records because I arrived too late to see most of Hilmar's life. It is an argument for asking what we intend to keep. A photograph keeps an appearance. An interview keeps an account. Continued practice keeps something else, at the cost of time spent learning and doing it again.</w:t>
      </w:r>
    </w:p>
    <w:p>
      <w:pPr>
        <w:widowControl/>
        <w:spacing w:after="40" w:line="320"/>
        <w:ind w:firstLine="260"/>
      </w:pPr>
      <w:r>
        <w:t xml:space="preserve">The family can make that time possible. So can a teacher or a working crew. Hilmar's own account included formal training; it would misrepresent him to pretend that everything worth knowing passed privately from father to son. People who had no family connection to him could teach him. A child born into the family could fail to learn. The relationship offers an opportunity, not a completed education.</w:t>
      </w:r>
    </w:p>
    <w:p>
      <w:pPr>
        <w:widowControl/>
        <w:spacing w:after="40" w:line="320"/>
        <w:ind w:firstLine="260"/>
      </w:pPr>
      <w:r>
        <w:t xml:space="preserve">I have inherited far more names than skills. That is a limit on what I can claim, not a reason to discard the names. They make the unlearnt work personal. They tell me whose competence I am admiring, and whose opportunities I should not pretend to have taken.</w:t>
      </w:r>
    </w:p>
    <w:p>
      <w:pPr>
        <w:widowControl/>
        <w:spacing w:after="40" w:line="320"/>
        <w:ind w:firstLine="260"/>
      </w:pPr>
      <w:r>
        <w:t xml:space="preserve">When I return to his answer, I hear its permission to begin small. He did not tell me that I had become what he was. He said I had learnt to be active. I had asked him to look back over what he gave me; his answer left me something to do.</w:t>
      </w:r>
    </w:p>
    <w:p>
      <w:pPr>
        <w:widowControl/>
        <w:spacing w:after="40" w:line="320"/>
        <w:ind w:firstLine="260"/>
      </w:pPr>
      <w:r>
        <w:t xml:space="preserve">There was another part of those trips that I could receive without becoming good at fishing. I did not have to mend a net correctly before I could hear him whistle.</w:t>
      </w:r>
    </w:p>
    <w:p>
      <w:pPr>
        <w:pStyle w:val="Heading2"/>
        <w:keepNext/>
        <w:pageBreakBefore/>
        <w:spacing w:after="400" w:before="0"/>
      </w:pPr>
      <w:bookmarkStart w:name="kap-03" w:id="1"/>
      <w:r>
        <w:t xml:space="preserve">3. The Whistle</w:t>
      </w:r>
      <w:bookmarkEnd w:id="1"/>
    </w:p>
    <w:p>
      <w:pPr>
        <w:widowControl/>
        <w:spacing w:after="40" w:line="320"/>
        <w:ind w:firstLine="0"/>
      </w:pPr>
      <w:r>
        <w:t xml:space="preserve">I cannot tell you the tune.</w:t>
      </w:r>
    </w:p>
    <w:p>
      <w:pPr>
        <w:widowControl/>
        <w:spacing w:after="40" w:line="320"/>
        <w:ind w:firstLine="260"/>
      </w:pPr>
      <w:r>
        <w:t xml:space="preserve">Hilmar would whistle and sing while he rowed. In the memory I have kept, there was very little we needed to say. He was enjoying the rowing. I was enjoying being with him. When I spoke to him in July 2026, that was how I described it: “Du satt og koste deg med å ro og plystre og synge. Og jeg satt og koste meg med deg.”</w:t>
      </w:r>
      <w:r>
        <w:rPr>
          <w:vertAlign w:val="superscript"/>
        </w:rPr>
        <w:t xml:space="preserve">1</w:t>
      </w:r>
    </w:p>
    <w:p>
      <w:pPr>
        <w:widowControl/>
        <w:spacing w:after="40" w:line="320"/>
        <w:ind w:firstLine="260"/>
      </w:pPr>
      <w:r>
        <w:t xml:space="preserve">I had been asking about boats and work. Here I was telling him what I remembered.</w:t>
      </w:r>
    </w:p>
    <w:p>
      <w:pPr>
        <w:widowControl/>
        <w:spacing w:after="40" w:line="320"/>
        <w:ind w:firstLine="260"/>
      </w:pPr>
      <w:r>
        <w:t xml:space="preserve">As a boy I heard the whistling as an all-clear. While he whistled, nothing was wrong. It was a child's way of reading him, and an unreasonable rule to apply to the sea. But the feeling was exact. He appeared at ease, and I could be at ease beside him.</w:t>
      </w:r>
      <w:r>
        <w:rPr>
          <w:vertAlign w:val="superscript"/>
        </w:rPr>
        <w:t xml:space="preserve">2</w:t>
      </w:r>
    </w:p>
    <w:p>
      <w:pPr>
        <w:widowControl/>
        <w:spacing w:after="40" w:line="320"/>
        <w:ind w:firstLine="260"/>
      </w:pPr>
      <w:r>
        <w:t xml:space="preserve">There are memories in which the adult's attention becomes visible because he turns towards the child and speaks. This one has stayed with me without much speech. He could attend to the rowing and still have me with him. I did not experience the work as a rival for his company. It was what we were there to do.</w:t>
      </w:r>
    </w:p>
    <w:p>
      <w:pPr>
        <w:widowControl/>
        <w:spacing w:after="40" w:line="320"/>
        <w:ind w:firstLine="260"/>
      </w:pPr>
      <w:r>
        <w:t xml:space="preserve">That is a kind of presence I want to distinguish from merely being nearby. We can occupy the same place and have little to do with one another. I remember these trips as shared time. The boat carried us both. I watched what he was doing. The whistling belonged to the man I was watching, rather than to something switched on to fill the hours.</w:t>
      </w:r>
    </w:p>
    <w:p>
      <w:pPr>
        <w:widowControl/>
        <w:spacing w:after="40" w:line="320"/>
        <w:ind w:firstLine="260"/>
      </w:pPr>
      <w:r>
        <w:t xml:space="preserve">I do not know whether he intended any of this. I can tell you that I felt safe with him. Intention matters in a life, but it is not the only route by which one person becomes important to another. Hilmar did not have to tell me that our time would matter decades later. He could not have known which parts I would remember.</w:t>
      </w:r>
    </w:p>
    <w:p>
      <w:pPr>
        <w:widowControl/>
        <w:spacing w:after="40" w:line="320"/>
        <w:ind w:firstLine="260"/>
      </w:pPr>
      <w:r>
        <w:t xml:space="preserve">I have written about the net because I can still see work being done. The whistle brings back the person doing it. A net can be repaired by somebody else. A boat can have another competent rower. Those facts do not make the people interchangeable to a child who loves one of them.</w:t>
      </w:r>
    </w:p>
    <w:p>
      <w:pPr>
        <w:widowControl/>
        <w:spacing w:after="40" w:line="320"/>
        <w:ind w:firstLine="260"/>
      </w:pPr>
      <w:r>
        <w:t xml:space="preserve">This is the difficulty with asking a useful grandfather to become an example. He can illustrate competence or patience, and soon his own name seems unnecessary. Substitute another fisherman and the lesson still works. But something has gone missing. I was with Hilmar. Whatever the general lesson, that was the particular gift.</w:t>
      </w:r>
    </w:p>
    <w:p>
      <w:pPr>
        <w:widowControl/>
        <w:spacing w:after="40" w:line="320"/>
        <w:ind w:firstLine="260"/>
      </w:pPr>
      <w:r>
        <w:t xml:space="preserve">Other children have had good reasons to read an adult's sounds differently. Quiet can frighten. A familiar voice can announce danger. I cannot give my all-clear to a reader whose experience contradicts it. The work of understanding a family has to leave room for both of us, without making one childhood the standard against which the other is disbelieved.</w:t>
      </w:r>
    </w:p>
    <w:p>
      <w:pPr>
        <w:widowControl/>
        <w:spacing w:after="40" w:line="320"/>
        <w:ind w:firstLine="260"/>
      </w:pPr>
      <w:r>
        <w:t xml:space="preserve">Feeling safe with Hilmar did not mean knowing his whole life. I knew him from one position in it. I was his grandson in a boat. I was not on every voyage, in every home or beside him in every difficult year. Loving the part I knew gives me no authority to certify the whole man.</w:t>
      </w:r>
    </w:p>
    <w:p>
      <w:pPr>
        <w:widowControl/>
        <w:spacing w:after="40" w:line="320"/>
        <w:ind w:firstLine="260"/>
      </w:pPr>
      <w:r>
        <w:t xml:space="preserve">It does give me a reason to be grateful. I do not need to finish his biography before I can say that being with him was good. The particulars keep the gratitude honest: where we fished, what I saw him do, what I told him I remembered. I can go that far without borrowing a better childhood than the one I had.</w:t>
      </w:r>
    </w:p>
    <w:p>
      <w:pPr>
        <w:widowControl/>
        <w:spacing w:after="40" w:line="320"/>
        <w:ind w:firstLine="260"/>
      </w:pPr>
      <w:r>
        <w:t xml:space="preserve">The country in which this happened was Norway. It is the country of my childhood, and the fjord is part of how I know it. There is no need to remove that belonging because a national argument might misuse it. Nor does it require me to suppose that every Norwegian child received the same thing.</w:t>
      </w:r>
    </w:p>
    <w:p>
      <w:pPr>
        <w:widowControl/>
        <w:spacing w:after="40" w:line="320"/>
        <w:ind w:firstLine="260"/>
      </w:pPr>
      <w:r>
        <w:t xml:space="preserve">My family has more than one route into that country. Hilmar was my father's father. My mother's father was Michael Paul Back. I will not distribute them between two sealed compartments, one providing Norway and the other providing Jewish identity. Michael's life was also part of my Norwegian upbringing. Both were my grandfathers.</w:t>
      </w:r>
    </w:p>
    <w:p>
      <w:pPr>
        <w:widowControl/>
        <w:spacing w:after="40" w:line="320"/>
        <w:ind w:firstLine="260"/>
      </w:pPr>
      <w:r>
        <w:t xml:space="preserve">With Hilmar, I remember a sound that asked very little of me. With Michael, I remember words addressed directly to me, and the certainty with which he said them. Before those words there were journeys, a letter, and a history I could not have known simply by looking at the man.</w:t>
      </w:r>
    </w:p>
    <w:p>
      <w:pPr>
        <w:pStyle w:val="Heading2"/>
        <w:keepNext/>
        <w:pageBreakBefore/>
        <w:spacing w:after="400" w:before="0"/>
      </w:pPr>
      <w:bookmarkStart w:name="kap-04" w:id="1"/>
      <w:r>
        <w:t xml:space="preserve">4. The Man Who Vouched</w:t>
      </w:r>
      <w:bookmarkEnd w:id="1"/>
    </w:p>
    <w:p>
      <w:pPr>
        <w:widowControl/>
        <w:spacing w:after="40" w:line="320"/>
        <w:ind w:firstLine="0"/>
      </w:pPr>
      <w:r>
        <w:t xml:space="preserve">On 23 May 1947, Michael's mother asked his great-uncle to send a telegram.</w:t>
      </w:r>
    </w:p>
    <w:p>
      <w:pPr>
        <w:widowControl/>
        <w:spacing w:after="40" w:line="320"/>
        <w:ind w:firstLine="260"/>
      </w:pPr>
      <w:r>
        <w:t xml:space="preserve">Her papers had been lost in Germany during the war. She needed witnesses urgently. She wrote that duplicates of her documents, including her marriage certificate, were held by the rabbinate in Haifa. Michael had been born and circumcised at the Hadassah hospital; relatives had been present. Getting the papers would take time. A telegram could arrive sooner.</w:t>
      </w:r>
      <w:r>
        <w:rPr>
          <w:vertAlign w:val="superscript"/>
        </w:rPr>
        <w:t xml:space="preserve">1</w:t>
      </w:r>
    </w:p>
    <w:p>
      <w:pPr>
        <w:widowControl/>
        <w:spacing w:after="40" w:line="320"/>
        <w:ind w:firstLine="260"/>
      </w:pPr>
      <w:r>
        <w:t xml:space="preserve">She was asking him to confirm that Michael and she belonged to Judaism.</w:t>
      </w:r>
    </w:p>
    <w:p>
      <w:pPr>
        <w:widowControl/>
        <w:spacing w:after="40" w:line="320"/>
        <w:ind w:firstLine="260"/>
      </w:pPr>
      <w:r>
        <w:t xml:space="preserve">The letter was addressed to “Onkel Mejer”. The boy was proud of his great-uncle. Gerda had read the uncle's articles and had tried to reach him before. Now the family connection had an immediate use. Somebody who knew them might be able to say what the missing papers could not yet say for them.</w:t>
      </w:r>
    </w:p>
    <w:p>
      <w:pPr>
        <w:widowControl/>
        <w:spacing w:after="40" w:line="320"/>
        <w:ind w:firstLine="260"/>
      </w:pPr>
      <w:r>
        <w:t xml:space="preserve">Gerda was Michael's mother and my great-grandmother. The Michael in her letter became my grandfather, Michael Paul Back. When I read it, the boy she describes and the man I knew do not quite fit inside the same view. I know him through things he did for me. She is writing about things he still needed other people to do for him.</w:t>
      </w:r>
    </w:p>
    <w:p>
      <w:pPr>
        <w:widowControl/>
        <w:spacing w:after="40" w:line="320"/>
        <w:ind w:firstLine="260"/>
      </w:pPr>
      <w:r>
        <w:t xml:space="preserve">The war had been very bad for them, she wrote. She and Michael had not been spared a camp. She did not identify it or specify the type or duration. Her new husband had spent four and a half years in a concentration camp in Germany. That period belongs to him in the sentence, not to Michael. Gerda then wrote that Michael had recovered well.</w:t>
      </w:r>
      <w:r>
        <w:rPr>
          <w:vertAlign w:val="superscript"/>
        </w:rPr>
        <w:t xml:space="preserve">1</w:t>
      </w:r>
    </w:p>
    <w:p>
      <w:pPr>
        <w:widowControl/>
        <w:spacing w:after="40" w:line="320"/>
        <w:ind w:firstLine="260"/>
      </w:pPr>
      <w:r>
        <w:t xml:space="preserve">Gerda describes his recovery in only a few words. He had grown. He had taken Hebrew lessons at the Jewish camp in Berlin-Schlachtensee, and she hoped he would continue. He had also taken technical classes and wanted to become an engineer. Her new husband, an engineer himself, had helped establish a school for Jewish young people in Berlin. Gerda had worked as a secretary in the camp. She was writing about people trying to make a life after the war.</w:t>
      </w:r>
    </w:p>
    <w:p>
      <w:pPr>
        <w:widowControl/>
        <w:spacing w:after="40" w:line="320"/>
        <w:ind w:firstLine="260"/>
      </w:pPr>
      <w:r>
        <w:t xml:space="preserve">They had wanted to go to Palestine, especially for Michael's sake. That had seemed almost hopeless. Norway was receiving Jews, she wrote, and they had decided to come. They would spend three months in a camp learning the language. She described the country as extraordinarily beautiful and its people as kind.</w:t>
      </w:r>
    </w:p>
    <w:p>
      <w:pPr>
        <w:widowControl/>
        <w:spacing w:after="40" w:line="320"/>
        <w:ind w:firstLine="260"/>
      </w:pPr>
      <w:r>
        <w:t xml:space="preserve">They were unhappy there.</w:t>
      </w:r>
    </w:p>
    <w:p>
      <w:pPr>
        <w:widowControl/>
        <w:spacing w:after="40" w:line="320"/>
        <w:ind w:firstLine="260"/>
      </w:pPr>
      <w:r>
        <w:t xml:space="preserve">Gerda knew how that sounded after the welcome. She called it ungrateful to be unhappy in such surroundings, among such people. But unhappiness was what she had to report, and its cause, in this letter, was a doubt about their Jewish belonging. She specified where the doubt came from: not the Norwegian government, but people who were enjoying the same hospitality as her family. She identified the Jewish community in Oslo as making difficulties for them.</w:t>
      </w:r>
      <w:r>
        <w:rPr>
          <w:vertAlign w:val="superscript"/>
        </w:rPr>
        <w:t xml:space="preserve">1</w:t>
      </w:r>
    </w:p>
    <w:p>
      <w:pPr>
        <w:widowControl/>
        <w:spacing w:after="40" w:line="320"/>
        <w:ind w:firstLine="260"/>
      </w:pPr>
      <w:r>
        <w:t xml:space="preserve">That distinction prevents an easy story about Norway. The state had admitted them. Gerda praised the country and the people. Her complaint was directed elsewhere. It is possible to be welcomed into a country and still encounter another threshold after arrival. Her letter records one such threshold as she experienced it. It does not give us the community's account of the exchange.</w:t>
      </w:r>
    </w:p>
    <w:p>
      <w:pPr>
        <w:widowControl/>
        <w:spacing w:after="40" w:line="320"/>
        <w:ind w:firstLine="260"/>
      </w:pPr>
      <w:r>
        <w:t xml:space="preserve">She set the demand against the persecution of German Jews under Hitler. First they had been required to prove they were Aryans; now they were required to prove they were Jews. The comparison is hers. The surrounding paragraph speaks collectively about German Jews. I do not read it as a separate record of Michael's wartime imprisonment, or use it to fill the details she left unspecified earlier in the letter.</w:t>
      </w:r>
    </w:p>
    <w:p>
      <w:pPr>
        <w:widowControl/>
        <w:spacing w:after="40" w:line="320"/>
        <w:ind w:firstLine="260"/>
      </w:pPr>
      <w:r>
        <w:t xml:space="preserve">What it makes plain is the indignity she felt. A person's belonging could become something to be demanded from them by other people, with a deadline and a burden of proof. The documents had gone. The people had survived. The people were being asked for the documents.</w:t>
      </w:r>
    </w:p>
    <w:p>
      <w:pPr>
        <w:widowControl/>
        <w:spacing w:after="40" w:line="320"/>
        <w:ind w:firstLine="260"/>
      </w:pPr>
      <w:r>
        <w:t xml:space="preserve">Gerda wanted the uncle to understand more than her immediate difficulty. She appealed for solidarity across Jewish communities distinguished by their countries of origin. There should be one Judaism, she wrote, joined in the struggle for Jewish freedom. It was a plea from a particular family, carrying a claim larger than that family. I need not turn it into a settled political programme to hear the need behind it.</w:t>
      </w:r>
    </w:p>
    <w:p>
      <w:pPr>
        <w:widowControl/>
        <w:spacing w:after="40" w:line="320"/>
        <w:ind w:firstLine="260"/>
      </w:pPr>
      <w:r>
        <w:t xml:space="preserve">Near the end she asked him to write a few lines. They had nobody left in the world, she said. She asked again for the telegram, perhaps to be sent to the community in Oslo as well. The repetition brings the letter back from its larger argument to the thing she wanted somebody to do.</w:t>
      </w:r>
    </w:p>
    <w:p>
      <w:pPr>
        <w:widowControl/>
        <w:spacing w:after="40" w:line="320"/>
        <w:ind w:firstLine="260"/>
      </w:pPr>
      <w:r>
        <w:t xml:space="preserve">The surviving letter does not say whether the telegram came.</w:t>
      </w:r>
    </w:p>
    <w:p>
      <w:pPr>
        <w:widowControl/>
        <w:spacing w:after="40" w:line="320"/>
        <w:ind w:firstLine="260"/>
      </w:pPr>
      <w:r>
        <w:t>Years later Michael took me to Germany. It was just the two of us. This was before I returned on my own as an exchange student, before the eleven months in Emsdetten with a host family. He had left Germany as a child. Years later I went there in his company.</w:t>
      </w:r>
      <w:r>
        <w:rPr>
          <w:vertAlign w:val="superscript"/>
        </w:rPr>
        <w:t xml:space="preserve">2</w:t>
      </w:r>
    </w:p>
    <w:p>
      <w:pPr>
        <w:widowControl/>
        <w:spacing w:after="40" w:line="320"/>
        <w:ind w:firstLine="260"/>
      </w:pPr>
      <w:r>
        <w:t xml:space="preserve">I will not supply the thoughts he carried on that journey. He did not need to tell me that it reversed anything for me to see the difference now. Germany appears in his mother's letter as a place where documents were lost and a family endured the war. It appears in my childhood as somewhere my grandfather took me.</w:t>
      </w:r>
    </w:p>
    <w:p>
      <w:pPr>
        <w:widowControl/>
        <w:spacing w:after="40" w:line="320"/>
        <w:ind w:firstLine="260"/>
      </w:pPr>
      <w:r>
        <w:t xml:space="preserve">He also paid for language courses: England in 2002, France in 2003. The dates survive in the papers for my later exchange year. They give the remembered journeys a place in time. His part in paying for them is something I remember.</w:t>
      </w:r>
      <w:r>
        <w:rPr>
          <w:vertAlign w:val="superscript"/>
        </w:rPr>
        <w:t xml:space="preserve">2</w:t>
      </w:r>
    </w:p>
    <w:p>
      <w:pPr>
        <w:widowControl/>
        <w:spacing w:after="40" w:line="320"/>
        <w:ind w:firstLine="260"/>
      </w:pPr>
      <w:r>
        <w:t xml:space="preserve">The country he had left as a child became the country he later gave me.</w:t>
      </w:r>
    </w:p>
    <w:p>
      <w:pPr>
        <w:widowControl/>
        <w:spacing w:after="40" w:line="320"/>
        <w:ind w:firstLine="260"/>
      </w:pPr>
      <w:r>
        <w:t xml:space="preserve">My Jewish identity had a name before I knew how to read the archive. Michael Paul Back. I did not meet him as the conclusion of a search or a percentage waiting to be returned by a laboratory. He was my grandfather. The documents give me more of his life; they do not introduce him to me for the first time.</w:t>
      </w:r>
    </w:p>
    <w:p>
      <w:pPr>
        <w:widowControl/>
        <w:spacing w:after="40" w:line="320"/>
        <w:ind w:firstLine="260"/>
      </w:pPr>
      <w:r>
        <w:t>I am Jewish. I am Norwegian. Neither truth cancels the other. I use the first word by descent, through my mother's father, as the family's own papers record it, and I claim it on no other authority.</w:t>
      </w:r>
    </w:p>
    <w:p>
      <w:pPr>
        <w:widowControl/>
        <w:spacing w:after="40" w:line="320"/>
        <w:ind w:firstLine="260"/>
      </w:pPr>
      <w:r>
        <w:t xml:space="preserve">In 1947, someone who knew Michael was asked to speak for him. In 2004, he helped prepare a letter for people who did not yet know me. It went out in my parents' names. His own name was absent. I know he wrote it.</w:t>
      </w:r>
      <w:r>
        <w:rPr>
          <w:vertAlign w:val="superscript"/>
        </w:rPr>
        <w:t xml:space="preserve">3</w:t>
      </w:r>
    </w:p>
    <w:p>
      <w:pPr>
        <w:widowControl/>
        <w:spacing w:after="40" w:line="320"/>
        <w:ind w:firstLine="260"/>
      </w:pPr>
      <w:r>
        <w:t xml:space="preserve">The boy whose belonging had once needed witnesses grew up to be a witness.</w:t>
      </w:r>
    </w:p>
    <w:p>
      <w:pPr>
        <w:pStyle w:val="Heading2"/>
        <w:keepNext/>
        <w:pageBreakBefore/>
        <w:spacing w:after="400" w:before="0"/>
      </w:pPr>
      <w:bookmarkStart w:name="kap-05" w:id="1"/>
      <w:r>
        <w:t xml:space="preserve">5. Du har klart det</w:t>
      </w:r>
      <w:bookmarkEnd w:id="1"/>
    </w:p>
    <w:p>
      <w:pPr>
        <w:widowControl/>
        <w:spacing w:after="40" w:line="320"/>
        <w:ind w:firstLine="0"/>
      </w:pPr>
      <w:r>
        <w:t xml:space="preserve">My grandfather looked straight into my eyes and said, “Du har klart det.”</w:t>
      </w:r>
    </w:p>
    <w:p>
      <w:pPr>
        <w:widowControl/>
        <w:spacing w:after="40" w:line="320"/>
        <w:ind w:firstLine="260"/>
      </w:pPr>
      <w:r>
        <w:t xml:space="preserve">You've made it.</w:t>
      </w:r>
    </w:p>
    <w:p>
      <w:pPr>
        <w:widowControl/>
        <w:spacing w:after="40" w:line="320"/>
        <w:ind w:firstLine="260"/>
      </w:pPr>
      <w:r>
        <w:t>Four words in Norwegian, and none of them a wish. There was a sly smile at the corner of his mouth, and he said it, as I heard it, the way a man says something he has already checked.</w:t>
      </w:r>
    </w:p>
    <w:p>
      <w:pPr>
        <w:widowControl/>
        <w:spacing w:after="40" w:line="320"/>
        <w:ind w:firstLine="260"/>
      </w:pPr>
      <w:r>
        <w:t>Others in the family were sitting with him. He said it to me, in front of them. Their presence gave the words more weight than they would have carried if he and I had been alone. The sentence stayed with me because of the look, and because he seemed sure.</w:t>
      </w:r>
      <w:r>
        <w:rPr>
          <w:vertAlign w:val="superscript"/>
        </w:rPr>
        <w:t xml:space="preserve">1</w:t>
      </w:r>
    </w:p>
    <w:p>
      <w:pPr>
        <w:widowControl/>
        <w:spacing w:after="40" w:line="320"/>
        <w:ind w:firstLine="260"/>
      </w:pPr>
      <w:r>
        <w:t>He never explained it. He died not long afterwards, and I do not remember how long. Nobody who was there ever mentioned the sentence again.</w:t>
      </w:r>
    </w:p>
    <w:p>
      <w:pPr>
        <w:widowControl/>
        <w:spacing w:after="40" w:line="320"/>
        <w:ind w:firstLine="260"/>
      </w:pPr>
      <w:r>
        <w:t xml:space="preserve">I cannot turn his reply into an explanation of Michael, or of the other people present. It tells me what one cousin said when I asked. The words had stayed with me. I do not know what they had done for anybody else.</w:t>
      </w:r>
    </w:p>
    <w:p>
      <w:pPr>
        <w:widowControl/>
        <w:spacing w:after="40" w:line="320"/>
        <w:ind w:firstLine="260"/>
      </w:pPr>
      <w:r>
        <w:t xml:space="preserve">Michael had given me reasons to listen long before he said them. He paid for journeys that took me out of the places I already knew. He put another language in front of me and paid for the time in which I could begin to learn it. As a teenager I did not need a theory of transmission to understand the value of going abroad. I wanted to go.</w:t>
      </w:r>
    </w:p>
    <w:p>
      <w:pPr>
        <w:widowControl/>
        <w:spacing w:after="40" w:line="320"/>
        <w:ind w:firstLine="260"/>
      </w:pPr>
      <w:r>
        <w:t>There was a cost to one of those summers apart from the money. I missed the Dana Cup. My coach was properly angry, and a couple of parents nearby joined him. Another keeper took my place. I had taken his in goal at Tangen; in Denmark he took mine, and as far as I know he did the job well. I was glad.</w:t>
      </w:r>
      <w:r>
        <w:rPr>
          <w:vertAlign w:val="superscript"/>
        </w:rPr>
        <w:t xml:space="preserve">1</w:t>
      </w:r>
    </w:p>
    <w:p>
      <w:pPr>
        <w:widowControl/>
        <w:spacing w:after="40" w:line="320"/>
        <w:ind w:firstLine="260"/>
      </w:pPr>
      <w:r>
        <w:t xml:space="preserve">I cannot now assign that conflict confidently to England or France. I remember the opportunity and the disagreement. The disagreement belongs in the memory because a good opportunity for me could make trouble for a team expecting me to be there. Michael's gift did not arrange everybody else's summer to suit it.</w:t>
      </w:r>
    </w:p>
    <w:p>
      <w:pPr>
        <w:widowControl/>
        <w:spacing w:after="40" w:line="320"/>
        <w:ind w:firstLine="260"/>
      </w:pPr>
      <w:r>
        <w:t xml:space="preserve">Then he paid for the whole family to go to Thailand. It is still, perhaps, the finest holiday I can remember. He had bought it for everybody at once. The journey was larger than the particular attention he paid to me, and I want to keep it that way. My gratitude does not require me to have been the only beneficiary.</w:t>
      </w:r>
    </w:p>
    <w:p>
      <w:pPr>
        <w:widowControl/>
        <w:spacing w:after="40" w:line="320"/>
        <w:ind w:firstLine="260"/>
      </w:pPr>
      <w:r>
        <w:t>He spent money on distance, language and departure. He also sent newspaper cuttings. One concerned the hospital where I had worked the previous summer. Another concerned supplements. His note urged me to eat sensibly. It reached me in Germany after I had gone there for the exchange year.</w:t>
      </w:r>
      <w:r>
        <w:rPr>
          <w:vertAlign w:val="superscript"/>
        </w:rPr>
        <w:t xml:space="preserve">2</w:t>
      </w:r>
    </w:p>
    <w:p>
      <w:pPr>
        <w:widowControl/>
        <w:spacing w:after="40" w:line="320"/>
        <w:ind w:firstLine="260"/>
      </w:pPr>
      <w:r>
        <w:t xml:space="preserve">The cuttings belong with the journeys. He could help me leave and still have things to say to me when I was away. I remember the travel more easily than the practical warning, but the warning survives in his own writing. The papers keep an ordinary concern that memory might have passed over in favour of the holiday.</w:t>
      </w:r>
    </w:p>
    <w:p>
      <w:pPr>
        <w:widowControl/>
        <w:spacing w:after="40" w:line="320"/>
        <w:ind w:firstLine="260"/>
      </w:pPr>
      <w:r>
        <w:t>These things do not add up to a complete account of him. He had suffered. The 1947 letter catches one spring of that life and makes no pretence of showing the rest. Nor does my experience as a grandson give me every other member of the family's experience. I received the journeys. Others in the family knew him at closer range, and across more years, than a grandson on a trip.</w:t>
      </w:r>
      <w:r>
        <w:rPr>
          <w:vertAlign w:val="superscript"/>
        </w:rPr>
        <w:t xml:space="preserve">1</w:t>
      </w:r>
    </w:p>
    <w:p>
      <w:pPr>
        <w:widowControl/>
        <w:spacing w:after="40" w:line="320"/>
        <w:ind w:firstLine="260"/>
      </w:pPr>
      <w:r>
        <w:t>That is my understanding of the family, not a diagnosis recovered from the letter. Gratitude for what he gave me leaves room for what I could not see as a child.</w:t>
      </w:r>
    </w:p>
    <w:p>
      <w:pPr>
        <w:widowControl/>
        <w:spacing w:after="40" w:line="320"/>
        <w:ind w:firstLine="260"/>
      </w:pPr>
      <w:r>
        <w:t xml:space="preserve">His words to me came from that particular man. A compliment could have been pleasant and soon forgotten. This has required more of my attention. “Du har klart det” names an accomplishment without naming the thing accomplished. He gave me the conclusion. He did not give me the explanation that led him there.</w:t>
      </w:r>
    </w:p>
    <w:p>
      <w:pPr>
        <w:widowControl/>
        <w:spacing w:after="40" w:line="320"/>
        <w:ind w:firstLine="260"/>
      </w:pPr>
      <w:r>
        <w:t xml:space="preserve">I used to leave the meaning almost entirely with the question. A document has since made part of it available. It is the one-page letter from 2004, prepared before I went to Germany as an exchange student. The page describes a teenager to people who have not met him. It was written for a practical purpose, years before I would ask it to help me understand a remembered sentence.</w:t>
      </w:r>
    </w:p>
    <w:p>
      <w:pPr>
        <w:widowControl/>
        <w:spacing w:after="40" w:line="320"/>
        <w:ind w:firstLine="260"/>
      </w:pPr>
      <w:r>
        <w:t xml:space="preserve">On that page Michael chose what to tell them about me.</w:t>
      </w:r>
    </w:p>
    <w:p>
      <w:pPr>
        <w:pStyle w:val="Heading2"/>
        <w:keepNext/>
        <w:pageBreakBefore/>
        <w:spacing w:after="400" w:before="0"/>
      </w:pPr>
      <w:bookmarkStart w:name="kap-06" w:id="1"/>
      <w:r>
        <w:t xml:space="preserve">6. The Letter Without His Name</w:t>
      </w:r>
      <w:bookmarkEnd w:id="1"/>
    </w:p>
    <w:p>
      <w:pPr>
        <w:widowControl/>
        <w:spacing w:after="40" w:line="320"/>
        <w:ind w:firstLine="0"/>
      </w:pPr>
      <w:r>
        <w:t xml:space="preserve">The heading reads “Application Enclosure - Parents' Letter”. At the other side of the page: “Page 1 of 1”.</w:t>
      </w:r>
    </w:p>
    <w:p>
      <w:pPr>
        <w:widowControl/>
        <w:spacing w:after="40" w:line="320"/>
        <w:ind w:firstLine="260"/>
      </w:pPr>
      <w:r>
        <w:t xml:space="preserve">“To Whom It May Concern.”</w:t>
      </w:r>
    </w:p>
    <w:p>
      <w:pPr>
        <w:widowControl/>
        <w:spacing w:after="40" w:line="320"/>
        <w:ind w:firstLine="260"/>
      </w:pPr>
      <w:r>
        <w:t xml:space="preserve">There is no signature. My parents' names appear in the body of the letter. They are the people speaking in it, describing “our son” to the organisation arranging his exchange year. Michael wrote it for them. I remember him doing so.</w:t>
      </w:r>
      <w:r>
        <w:rPr>
          <w:vertAlign w:val="superscript"/>
        </w:rPr>
        <w:t xml:space="preserve">1</w:t>
      </w:r>
    </w:p>
    <w:p>
      <w:pPr>
        <w:widowControl/>
        <w:spacing w:after="40" w:line="320"/>
        <w:ind w:firstLine="260"/>
      </w:pPr>
      <w:r>
        <w:t xml:space="preserve">The son was called Joakim then. He is the person writing this book.</w:t>
      </w:r>
    </w:p>
    <w:p>
      <w:pPr>
        <w:widowControl/>
        <w:spacing w:after="40" w:line="320"/>
        <w:ind w:firstLine="260"/>
      </w:pPr>
      <w:r>
        <w:t xml:space="preserve">I would turn seventeen in September. The letter described where we lived, what my parents did and who belonged to the household. It gave the reader a school, sports and work. England in 2002 and France in 2003 appeared as language courses I had already attended. These were useful facts for strangers deciding how a Norwegian boy might manage in another country.</w:t>
      </w:r>
    </w:p>
    <w:p>
      <w:pPr>
        <w:widowControl/>
        <w:spacing w:after="40" w:line="320"/>
        <w:ind w:firstLine="260"/>
      </w:pPr>
      <w:r>
        <w:t xml:space="preserve">The language is formal in places and awkward in others. I know who drafted it through memory; the quality of its English does not identify its author. What I can check against the page is what he chose to put there.</w:t>
      </w:r>
    </w:p>
    <w:p>
      <w:pPr>
        <w:widowControl/>
        <w:spacing w:after="40" w:line="320"/>
        <w:ind w:firstLine="260"/>
      </w:pPr>
      <w:r>
        <w:t xml:space="preserve">He described a responsible, sociable boy who liked justice and a challenge. A boy with opinions who would discuss politics and society with his parents. Football, judo and training occupied space. So did computers and the internet café where I worked a couple of times a week. The letter praised me. It was written to help me obtain an opportunity, and that purpose belongs to any reading of it.</w:t>
      </w:r>
    </w:p>
    <w:p>
      <w:pPr>
        <w:widowControl/>
        <w:spacing w:after="40" w:line="320"/>
        <w:ind w:firstLine="260"/>
      </w:pPr>
      <w:r>
        <w:t>Near the end, it turned to my younger sister and brother. It said they loved me. When my little brother was born, I took care of him and carried him around. Michael described it as appearing the most natural thing in the world. Then he moved on to politeness, friends and the prospect that I would fit into a family abroad.</w:t>
      </w:r>
      <w:r>
        <w:rPr>
          <w:vertAlign w:val="superscript"/>
        </w:rPr>
        <w:t xml:space="preserve">1</w:t>
      </w:r>
    </w:p>
    <w:p>
      <w:pPr>
        <w:widowControl/>
        <w:spacing w:after="40" w:line="320"/>
        <w:ind w:firstLine="260"/>
      </w:pPr>
      <w:r>
        <w:t xml:space="preserve">He had one page for strangers. He included the baby.</w:t>
      </w:r>
    </w:p>
    <w:p>
      <w:pPr>
        <w:widowControl/>
        <w:spacing w:after="40" w:line="320"/>
        <w:ind w:firstLine="260"/>
      </w:pPr>
      <w:r>
        <w:t xml:space="preserve">That choice matters to me more than a general claim that I was a good student or a determined worker. A person can be described with flattering adjectives in almost any letter of recommendation. Here there was an action: a boy taking care of his little brother. Somebody had seen it and considered it worth telling people about.</w:t>
      </w:r>
    </w:p>
    <w:p>
      <w:pPr>
        <w:widowControl/>
        <w:spacing w:after="40" w:line="320"/>
        <w:ind w:firstLine="260"/>
      </w:pPr>
      <w:r>
        <w:t xml:space="preserve">The action is recorded. Michael's meaning in selecting it is something I have to read. Those are different claims, and I can make both without pretending the second is printed on the paper. I understand him to have seen a capacity for care in me before I was a father. The letter gives that understanding something firmer than a wish.</w:t>
      </w:r>
    </w:p>
    <w:p>
      <w:pPr>
        <w:widowControl/>
        <w:spacing w:after="40" w:line="320"/>
        <w:ind w:firstLine="260"/>
      </w:pPr>
      <w:r>
        <w:t xml:space="preserve">My own application survives too. It begins by introducing me at sixteen, with my name, my home and my family. Later I described two jobs. At the gym I looked after children while their parents exercised. At the hospital's internet café I helped patients who needed assistance.</w:t>
      </w:r>
      <w:r>
        <w:rPr>
          <w:vertAlign w:val="superscript"/>
        </w:rPr>
        <w:t xml:space="preserve">2</w:t>
      </w:r>
    </w:p>
    <w:p>
      <w:pPr>
        <w:widowControl/>
        <w:spacing w:after="40" w:line="320"/>
        <w:ind w:firstLine="260"/>
      </w:pPr>
      <w:r>
        <w:t xml:space="preserve">I was not presenting myself as a saint. I wrote that I would not have been so eager to do the childcare without the advantage of being able to work out for free. It is there on the page. I had a reason of my own for taking the job and was willing to tell the prospective hosts about it.</w:t>
      </w:r>
    </w:p>
    <w:p>
      <w:pPr>
        <w:widowControl/>
        <w:spacing w:after="40" w:line="320"/>
        <w:ind w:firstLine="260"/>
      </w:pPr>
      <w:r>
        <w:t xml:space="preserve">I am glad that sentence survived. Without it, the adult writer could arrange the documents into a boy who never wanted anything for himself. The sixteen-year-old is less convenient. He wanted to train. He took a job that helped him do it. The job involved looking after somebody else's children, and he did that work.</w:t>
      </w:r>
    </w:p>
    <w:p>
      <w:pPr>
        <w:widowControl/>
        <w:spacing w:after="40" w:line="320"/>
        <w:ind w:firstLine="260"/>
      </w:pPr>
      <w:r>
        <w:t xml:space="preserve">A benefit to me does not remove the benefit to the children. It does prevent me from claiming that every useful thing I did sprang from a pure intention. Michael's page did not need such a claim. He could see something valuable in the boy without requiring the boy to have no ordinary interests.</w:t>
      </w:r>
    </w:p>
    <w:p>
      <w:pPr>
        <w:widowControl/>
        <w:spacing w:after="40" w:line="320"/>
        <w:ind w:firstLine="260"/>
      </w:pPr>
      <w:r>
        <w:t xml:space="preserve">The two letters are not independent verdicts from detached observers. One was prepared by my grandfather in my parents' voice; the other was my own account, written for the same application. Both wanted the exchange to happen. What they preserve is what we were willing to say about me at the time, including particular activities that can still be distinguished from the praise surrounding them.</w:t>
      </w:r>
    </w:p>
    <w:p>
      <w:pPr>
        <w:widowControl/>
        <w:spacing w:after="40" w:line="320"/>
        <w:ind w:firstLine="260"/>
      </w:pPr>
      <w:r>
        <w:t xml:space="preserve">At the hospital café, I helped people with what they needed there. It was not a medical role. Nor will I turn carrying my brother into an account of having raised him. I was his older brother. There was care to give within that relationship, and the letter says I gave it.</w:t>
      </w:r>
    </w:p>
    <w:p>
      <w:pPr>
        <w:widowControl/>
        <w:spacing w:after="40" w:line="320"/>
        <w:ind w:firstLine="260"/>
      </w:pPr>
      <w:r>
        <w:t xml:space="preserve">Michael's own name was not needed on the page for his work to help me. The organisation needed a letter from my parents. He prepared one. Whatever recognition the act brought him inside the family, the document does not ask its future reader to thank the grandfather who wrote it.</w:t>
      </w:r>
    </w:p>
    <w:p>
      <w:pPr>
        <w:widowControl/>
        <w:spacing w:after="40" w:line="320"/>
        <w:ind w:firstLine="260"/>
      </w:pPr>
      <w:r>
        <w:t xml:space="preserve">I can put that page beside Gerda's request from 1947 without making the two situations equivalent. My application was for a year abroad. Hers followed a war in which documents had been lost and people persecuted. Their stakes were different. What joins them is the act of a person speaking about someone known to them so that another person, at a distance, can respond.</w:t>
      </w:r>
    </w:p>
    <w:p>
      <w:pPr>
        <w:widowControl/>
        <w:spacing w:after="40" w:line="320"/>
        <w:ind w:firstLine="260"/>
      </w:pPr>
      <w:r>
        <w:t xml:space="preserve">The family name alone was insufficient for either reader. Gerda called upon knowledge of the family. Michael supplied a description of the boy. Belonging acquired a witness with something particular to say.</w:t>
      </w:r>
    </w:p>
    <w:p>
      <w:pPr>
        <w:widowControl/>
        <w:spacing w:after="40" w:line="320"/>
        <w:ind w:firstLine="260"/>
      </w:pPr>
      <w:r>
        <w:t xml:space="preserve">When he later looked at me and spoke those four words, he did not identify the letter as his explanation. I have no remembered statement from him making that connection. I have the words he said and the words he had already chosen to write, and I am entitled to read them together without pretending they settle every part of his meaning.</w:t>
      </w:r>
    </w:p>
    <w:p>
      <w:pPr>
        <w:widowControl/>
        <w:spacing w:after="40" w:line="320"/>
        <w:ind w:firstLine="260"/>
      </w:pPr>
      <w:r>
        <w:t xml:space="preserve">His judgement is important to me. It is not a certificate for every choice I would later make. A grandfather could recognise a capacity in a boy; the grown man still has to answer for what he does with it. Nothing on this page permits me to hand that responsibility back to Michael.</w:t>
      </w:r>
    </w:p>
    <w:p>
      <w:pPr>
        <w:widowControl/>
        <w:spacing w:after="40" w:line="320"/>
        <w:ind w:firstLine="260"/>
      </w:pPr>
      <w:r>
        <w:t xml:space="preserve">Du har klart det. He never told me what it was. But he had one page for readers in Germany, and he chose to write about the baby.</w:t>
      </w:r>
    </w:p>
    <w:p>
      <w:pPr>
        <w:widowControl/>
        <w:spacing w:after="40" w:line="320"/>
        <w:ind w:firstLine="260"/>
      </w:pPr>
      <w:r>
        <w:t>I do not know whether that was all he meant. I believe it was part of it.</w:t>
      </w:r>
    </w:p>
    <w:p>
      <w:pPr>
        <w:widowControl/>
        <w:spacing w:after="40" w:line="320"/>
        <w:ind w:firstLine="260"/>
      </w:pPr>
      <w:r>
        <w:t xml:space="preserve">He had seen the father in the boy.</w:t>
      </w:r>
    </w:p>
    <w:p>
      <w:pPr>
        <w:pStyle w:val="Heading2"/>
        <w:keepNext/>
        <w:pageBreakBefore/>
        <w:spacing w:after="400" w:before="0"/>
      </w:pPr>
      <w:bookmarkStart w:name="kap-07" w:id="1"/>
      <w:r>
        <w:t xml:space="preserve">7. The Empty Place</w:t>
      </w:r>
      <w:bookmarkEnd w:id="1"/>
    </w:p>
    <w:p>
      <w:pPr>
        <w:widowControl/>
        <w:spacing w:after="40" w:line="320"/>
        <w:ind w:firstLine="0"/>
      </w:pPr>
      <w:r>
        <w:t xml:space="preserve">A father can be missing from a child's life without having chosen to leave it.</w:t>
      </w:r>
    </w:p>
    <w:p>
      <w:pPr>
        <w:widowControl/>
        <w:spacing w:after="40" w:line="320"/>
        <w:ind w:firstLine="260"/>
      </w:pPr>
      <w:r>
        <w:t xml:space="preserve">He can also have chosen to leave. A child looking for him may encounter the same empty place in either case. The reasons do not become identical because the absence looks alike from a distance.</w:t>
      </w:r>
    </w:p>
    <w:p>
      <w:pPr>
        <w:widowControl/>
        <w:spacing w:after="40" w:line="320"/>
        <w:ind w:firstLine="260"/>
      </w:pPr>
      <w:r>
        <w:t>I need the distinction kept. For years, I have lived without the ordinary freedom to be present in my son's life. I cannot tell that story without telling parts of his, so I will not. What I can tell is what the absence has done to me.</w:t>
      </w:r>
      <w:r>
        <w:rPr>
          <w:vertAlign w:val="superscript"/>
        </w:rPr>
        <w:t>1</w:t>
      </w:r>
    </w:p>
    <w:p>
      <w:pPr>
        <w:widowControl/>
        <w:spacing w:after="40" w:line="320"/>
        <w:ind w:firstLine="260"/>
      </w:pPr>
      <w:r>
        <w:t>Nor can my position decide what happened in another family. I write from one father's limitation, not from knowledge of every father's conduct.</w:t>
      </w:r>
    </w:p>
    <w:p>
      <w:pPr>
        <w:widowControl/>
        <w:spacing w:after="40" w:line="320"/>
        <w:ind w:firstLine="260"/>
      </w:pPr>
      <w:r>
        <w:t xml:space="preserve">After the two grandfathers, there is a danger of offering the reader a good inheritance and then asking why he has failed to reproduce it. That would be an ungenerous use of gifts I did not earn. Hilmar took me fishing. Michael paid for journeys and wrote a letter. A reader may have received nothing comparable. He does not owe me a matching story.</w:t>
      </w:r>
    </w:p>
    <w:p>
      <w:pPr>
        <w:widowControl/>
        <w:spacing w:after="40" w:line="320"/>
        <w:ind w:firstLine="260"/>
      </w:pPr>
      <w:r>
        <w:t xml:space="preserve">Death leaves an absence which no effort by the surviving child can end. A father who died cannot hear a question formed years afterwards. A photograph, a letter or somebody else's recollection may give the son something, but they cannot become the living person. Recovering more of a life is not the same as being able to share one's own life with him now.</w:t>
      </w:r>
    </w:p>
    <w:p>
      <w:pPr>
        <w:widowControl/>
        <w:spacing w:after="40" w:line="320"/>
        <w:ind w:firstLine="260"/>
      </w:pPr>
      <w:r>
        <w:t xml:space="preserve">Desertion brings a different question: why did he go? A later explanation may matter a great deal. It may change what the child, now grown, understands. It cannot turn time without him into time that was spent together. There is a loss to reckon with even when an account of the reasons becomes available.</w:t>
      </w:r>
    </w:p>
    <w:p>
      <w:pPr>
        <w:widowControl/>
        <w:spacing w:after="40" w:line="320"/>
        <w:ind w:firstLine="260"/>
      </w:pPr>
      <w:r>
        <w:t xml:space="preserve">There are families in which distance was necessary for safety. An account of family devotion which cannot admit that fact will ask the most of the people least able to bear its demands. Returning an adult to a household does not establish that the household has become safe. Keeping a household intact can preserve harm as well as care.</w:t>
      </w:r>
    </w:p>
    <w:p>
      <w:pPr>
        <w:widowControl/>
        <w:spacing w:after="40" w:line="320"/>
        <w:ind w:firstLine="260"/>
      </w:pPr>
      <w:r>
        <w:t xml:space="preserve">There is also a father who lives at the same address and remains difficult to reach. The address tells us where he is. It does not tell us whether a child can bring him a fear or expect an interest in what happened that day. Physical presence is valuable without being a complete description of the relationship.</w:t>
      </w:r>
    </w:p>
    <w:p>
      <w:pPr>
        <w:widowControl/>
        <w:spacing w:after="40" w:line="320"/>
        <w:ind w:firstLine="260"/>
      </w:pPr>
      <w:r>
        <w:t>These situations require different accounts. The bereaved child should not be made to think of death as rejection. The deserted child should not have the departure softened into a neutral change of household. A person who needed protection should not be asked to prove love through renewed exposure to harm. A father at a distance should not be assumed to have chosen it. None of these claims tells us which account is true of a family we have not examined.</w:t>
      </w:r>
    </w:p>
    <w:p>
      <w:pPr>
        <w:widowControl/>
        <w:spacing w:after="40" w:line="320"/>
        <w:ind w:firstLine="260"/>
      </w:pPr>
      <w:r>
        <w:t xml:space="preserve">The distinction can be hard to preserve in public language. A term such as absent father gathers many lives into one expression. It may help count a circumstance. It does less well at describing why the circumstance exists or who has tried to change it. The moral judgement needs more information than the label contains.</w:t>
      </w:r>
    </w:p>
    <w:p>
      <w:pPr>
        <w:widowControl/>
        <w:spacing w:after="40" w:line="320"/>
        <w:ind w:firstLine="260"/>
      </w:pPr>
      <w:r>
        <w:t xml:space="preserve">I do not want my own suffering to become an exemption from that demand. A father can suffer and still have things to answer for. He can love his child and be unable to give the child everything needed. The strength of his feeling does not settle the child's experience. My grief belongs to me; it does not entitle me to narrate my son's inner life.</w:t>
      </w:r>
    </w:p>
    <w:p>
      <w:pPr>
        <w:widowControl/>
        <w:spacing w:after="40" w:line="320"/>
        <w:ind w:firstLine="260"/>
      </w:pPr>
      <w:r>
        <w:t xml:space="preserve">The same restraint belongs with the good memories. I can tell you how I felt beside Hilmar. I cannot make that feeling available retrospectively to every other person in his family. Michael's words have mattered to me for years. The people who heard them beside me remain entitled to their own recollections. The particular person has to survive our account of the relationship.</w:t>
      </w:r>
    </w:p>
    <w:p>
      <w:pPr>
        <w:widowControl/>
        <w:spacing w:after="40" w:line="320"/>
        <w:ind w:firstLine="260"/>
      </w:pPr>
      <w:r>
        <w:t xml:space="preserve">An empty place also has people around it. A mother may have done work that should have been shared. A grandparent may have taken on responsibilities without being able to become a father in every sense. Another adult may have kept an interest in the child's life. Their care should not disappear because the book is concerned with the missing father.</w:t>
      </w:r>
    </w:p>
    <w:p>
      <w:pPr>
        <w:widowControl/>
        <w:spacing w:after="40" w:line="320"/>
        <w:ind w:firstLine="260"/>
      </w:pPr>
      <w:r>
        <w:t xml:space="preserve">That care can matter even when it is incomplete. Someone can give a child something valuable without supplying everything the child has lost. Gratitude towards that person can coexist with grief. Calling the gift insufficient as a total replacement need not call it small.</w:t>
      </w:r>
    </w:p>
    <w:p>
      <w:pPr>
        <w:widowControl/>
        <w:spacing w:after="40" w:line="320"/>
        <w:ind w:firstLine="260"/>
      </w:pPr>
      <w:r>
        <w:t xml:space="preserve">This is one reason I resist turning fatherhood into a performance of capability. A reader may already know how to carry responsibility and still be living with questions that his own father cannot or will not answer. Doing well at work does not resolve them. Becoming a father does not settle them automatically either. Another generation gives him responsibilities of his own, not a corrected version of his childhood.</w:t>
      </w:r>
    </w:p>
    <w:p>
      <w:pPr>
        <w:widowControl/>
        <w:spacing w:after="40" w:line="320"/>
        <w:ind w:firstLine="260"/>
      </w:pPr>
      <w:r>
        <w:t xml:space="preserve">I write as a Christian, and that will shape the hope I offer. It must not permit me to explain another person's loss as necessary preparation for faith. My son's absence is not a gift I am entitled to celebrate because it has given me something to write about. He is my son.</w:t>
      </w:r>
    </w:p>
    <w:p>
      <w:pPr>
        <w:widowControl/>
        <w:spacing w:after="40" w:line="320"/>
        <w:ind w:firstLine="260"/>
      </w:pPr>
      <w:r>
        <w:t xml:space="preserve">Before I ask a man what he will hand on, I want there to be room for what he received, and for what he did not. He was a child before he could decide what kind of father he might become. Somebody was responsible for him then.</w:t>
      </w:r>
    </w:p>
    <w:p>
      <w:pPr>
        <w:widowControl/>
        <w:spacing w:after="40" w:line="320"/>
        <w:ind w:firstLine="260"/>
      </w:pPr>
      <w:r>
        <w:t xml:space="preserve">He is somebody's son now.</w:t>
      </w:r>
    </w:p>
    <w:p>
      <w:pPr>
        <w:pStyle w:val="Heading2"/>
        <w:keepNext/>
        <w:pageBreakBefore/>
        <w:spacing w:after="400" w:before="0"/>
      </w:pPr>
      <w:bookmarkStart w:name="kap-08" w:id="1"/>
      <w:r>
        <w:t xml:space="preserve">8. Somebody's Son</w:t>
      </w:r>
      <w:bookmarkEnd w:id="1"/>
    </w:p>
    <w:p>
      <w:pPr>
        <w:widowControl/>
        <w:spacing w:after="40" w:line="320"/>
        <w:ind w:firstLine="0"/>
      </w:pPr>
      <w:r>
        <w:t xml:space="preserve">You may never become a father. You are already somebody's son.</w:t>
      </w:r>
    </w:p>
    <w:p>
      <w:pPr>
        <w:widowControl/>
        <w:spacing w:after="40" w:line="320"/>
        <w:ind w:firstLine="260"/>
      </w:pPr>
      <w:r>
        <w:t xml:space="preserve">That is where I am addressing you. I do not need to know whether you want children before the question of what passed between generations concerns you. You have already been on the receiving side. There were people from whom you had to receive things before you could know what to ask for.</w:t>
      </w:r>
    </w:p>
    <w:p>
      <w:pPr>
        <w:widowControl/>
        <w:spacing w:after="40" w:line="320"/>
        <w:ind w:firstLine="260"/>
      </w:pPr>
      <w:r>
        <w:t xml:space="preserve">The phrase can be easy to hear in one family and difficult in another. It may call up a particular voice or a man who showed you how to do something. It may name somebody you have spent years trying not to resemble. It may give you only a blank. Knowing that he is your father tells me little about the relationship.</w:t>
      </w:r>
    </w:p>
    <w:p>
      <w:pPr>
        <w:widowControl/>
        <w:spacing w:after="40" w:line="320"/>
        <w:ind w:firstLine="260"/>
      </w:pPr>
      <w:r>
        <w:t xml:space="preserve">It is possible to begin with a small question. What do you know about him? Not what a father should be, or what fathers are supposed to have given your generation. What do you know about this man, and how do you know it?</w:t>
      </w:r>
    </w:p>
    <w:p>
      <w:pPr>
        <w:widowControl/>
        <w:spacing w:after="40" w:line="320"/>
        <w:ind w:firstLine="260"/>
      </w:pPr>
      <w:r>
        <w:t xml:space="preserve">The answer may include things he told you himself. It may depend upon a mother, another relative, a document. You may remember an action more clearly than any conversation. You may have no reliable account of part of his life. The gaps deserve their own place in the answer. Filling them with the man you needed will make a different story, but it will not make him more knowable.</w:t>
      </w:r>
    </w:p>
    <w:p>
      <w:pPr>
        <w:widowControl/>
        <w:spacing w:after="40" w:line="320"/>
        <w:ind w:firstLine="260"/>
      </w:pPr>
      <w:r>
        <w:t xml:space="preserve">I came to Hilmar with memories and questions. What he wanted to tell me did not always match what I had asked. He talked about working with lines when I was asking what he hoped I had learnt. I had to hear something of his working life as well as seek an explanation of my own childhood. The person I loved had lived a long time outside my view.</w:t>
      </w:r>
      <w:r>
        <w:rPr>
          <w:vertAlign w:val="superscript"/>
        </w:rPr>
        <w:t xml:space="preserve">1</w:t>
      </w:r>
    </w:p>
    <w:p>
      <w:pPr>
        <w:widowControl/>
        <w:spacing w:after="40" w:line="320"/>
        <w:ind w:firstLine="260"/>
      </w:pPr>
      <w:r>
        <w:t xml:space="preserve">That recognition does not depend on a good relationship. Even a painful account needs to distinguish the person from the role he failed to fulfil. Understanding more about him might explain something without excusing it. It might also leave the judgement unchanged. The effort to know is not an agreement to approve.</w:t>
      </w:r>
    </w:p>
    <w:p>
      <w:pPr>
        <w:widowControl/>
        <w:spacing w:after="40" w:line="320"/>
        <w:ind w:firstLine="260"/>
      </w:pPr>
      <w:r>
        <w:t xml:space="preserve">I am wary of asking a son to become his father's rescuer. A child is not responsible for making an adult capable of loving him. Growing up does not make him retrospectively responsible for that failure. Any movement he can now make begins in the life he has, with limits he may have good reasons to keep.</w:t>
      </w:r>
    </w:p>
    <w:p>
      <w:pPr>
        <w:widowControl/>
        <w:spacing w:after="40" w:line="320"/>
        <w:ind w:firstLine="260"/>
      </w:pPr>
      <w:r>
        <w:t xml:space="preserve">A living father may be reachable and willing to listen. He may be unwilling. He may be unsafe. He may be dead. An instruction that ignores those differences will be easy to print and impossible for some readers to obey honestly. I will not make contact itself the test of whether you have taken the question seriously.</w:t>
      </w:r>
    </w:p>
    <w:p>
      <w:pPr>
        <w:widowControl/>
        <w:spacing w:after="40" w:line="320"/>
        <w:ind w:firstLine="260"/>
      </w:pPr>
      <w:r>
        <w:t xml:space="preserve">There are other truthful acts. A person can preserve a letter, ask a relative what they remember, acknowledge a debt or name an absence without decorating it. None is a substitute for every other. An archive cannot reconcile two people. But learning whose letter one has been keeping can change the account one gives of a family.</w:t>
      </w:r>
    </w:p>
    <w:p>
      <w:pPr>
        <w:widowControl/>
        <w:spacing w:after="40" w:line="320"/>
        <w:ind w:firstLine="260"/>
      </w:pPr>
      <w:r>
        <w:t xml:space="preserve">That has happened here. Michael's name is absent from the letter he wrote for my application. Knowing his part changes how I read the page. It adds a grandfather's work to a document that presents itself as the parents' voice. The printed words have not changed. I know more about how they came to be there.</w:t>
      </w:r>
    </w:p>
    <w:p>
      <w:pPr>
        <w:widowControl/>
        <w:spacing w:after="40" w:line="320"/>
        <w:ind w:firstLine="260"/>
      </w:pPr>
      <w:r>
        <w:t xml:space="preserve">It also changes the questions I ask of inheritance. Some things arrive without their giver's name attached. A habit can feel as though it belongs entirely to me until I recognise where I saw it first. A family story can be repeated for years without anyone asking who was present at the event. A later generation may need to recover the act of giving as well as the thing given.</w:t>
      </w:r>
    </w:p>
    <w:p>
      <w:pPr>
        <w:widowControl/>
        <w:spacing w:after="40" w:line="320"/>
        <w:ind w:firstLine="260"/>
      </w:pPr>
      <w:r>
        <w:t xml:space="preserve">There will be acts worth refusing too. My concern for what gets handed on does not require loyalty to every inherited practice. A family can teach cruelty, concealment or contempt. Calling something a tradition does not answer the question of whether it should continue. The person who interrupts a harmful practice may be caring for the next generation more faithfully than the person who keeps it.</w:t>
      </w:r>
    </w:p>
    <w:p>
      <w:pPr>
        <w:widowControl/>
        <w:spacing w:after="40" w:line="320"/>
        <w:ind w:firstLine="260"/>
      </w:pPr>
      <w:r>
        <w:t xml:space="preserve">My Christian conviction will bring that question under the authority of Christ. It puts my family under judgement with me. It does not give my family an exemption because I love it. Nor does it allow me to decide that a Jewish relative's life was waiting to be useful to my confession. The testimony I receive must remain available to contradict my account of it.</w:t>
      </w:r>
    </w:p>
    <w:p>
      <w:pPr>
        <w:widowControl/>
        <w:spacing w:after="40" w:line="320"/>
        <w:ind w:firstLine="260"/>
      </w:pPr>
      <w:r>
        <w:t xml:space="preserve">The question running through this book has two directions: fathers towards children, children towards fathers. We will come to the biblical text in its own setting. For now, I want the second direction to be present without making it a demand that the wounded person repair the relationship alone.</w:t>
      </w:r>
    </w:p>
    <w:p>
      <w:pPr>
        <w:widowControl/>
        <w:spacing w:after="40" w:line="320"/>
        <w:ind w:firstLine="260"/>
      </w:pPr>
      <w:r>
        <w:t xml:space="preserve">A son's answer matters because he is a person in the relationship, not merely the result of it. That does not mean his choices and his father's choices have equal histories or equal costs. It means he has a life from which to answer. He can tell the truth about what he received. He can decide what he is prepared to keep. He can care for someone without agreeing that everything done to him was care.</w:t>
      </w:r>
    </w:p>
    <w:p>
      <w:pPr>
        <w:widowControl/>
        <w:spacing w:after="40" w:line="320"/>
        <w:ind w:firstLine="260"/>
      </w:pPr>
      <w:r>
        <w:t xml:space="preserve">Other voices will offer to explain him. They may have something he needs: a language for an experience, company, practical help. They may also offer a complete account too quickly, assigning him a role before they know anything about the people in his life. The wish to understand where one belongs can make an answer welcome before it has been tested.</w:t>
      </w:r>
    </w:p>
    <w:p>
      <w:pPr>
        <w:widowControl/>
        <w:spacing w:after="40" w:line="320"/>
        <w:ind w:firstLine="260"/>
      </w:pPr>
      <w:r>
        <w:t xml:space="preserve">One place those answers now arrive is the phone. It can bring a distant relative closer. It can preserve a voice, deliver a message or carry a person into hours of material selected for his attention. Those uses do not become the same experience because they happen on the same device.</w:t>
      </w:r>
    </w:p>
    <w:p>
      <w:pPr>
        <w:widowControl/>
        <w:spacing w:after="40" w:line="320"/>
        <w:ind w:firstLine="260"/>
      </w:pPr>
      <w:r>
        <w:t xml:space="preserve">We have to look at what the phone does without pretending that every relationship was whole before it arrived, or that every trouble in a relationship was caused by it.</w:t>
      </w:r>
    </w:p>
    <w:p>
      <w:pPr>
        <w:pStyle w:val="Heading2"/>
        <w:keepNext/>
        <w:pageBreakBefore/>
        <w:spacing w:after="400" w:before="0"/>
      </w:pPr>
      <w:bookmarkStart w:name="kap-09" w:id="1"/>
      <w:r>
        <w:t xml:space="preserve">9. What Entered the Room</w:t>
      </w:r>
      <w:bookmarkEnd w:id="1"/>
    </w:p>
    <w:p>
      <w:pPr>
        <w:widowControl/>
        <w:spacing w:after="40" w:line="320"/>
        <w:ind w:firstLine="0"/>
      </w:pPr>
      <w:r>
        <w:t xml:space="preserve">The conversation with Hilmar reached me through a phone. Without the recording and its transcript, I would be relying more heavily on what I remember him saying. The device helped preserve an account of work I do not know as he did. Any argument I make against the phone has to leave room for that use.</w:t>
      </w:r>
    </w:p>
    <w:p>
      <w:pPr>
        <w:widowControl/>
        <w:spacing w:after="40" w:line="320"/>
        <w:ind w:firstLine="260"/>
      </w:pPr>
      <w:r>
        <w:t xml:space="preserve">Much of the family history has reached me on a screen too. A photograph of a letter can cross a distance that its owner cannot. A relative can correct a name without travelling to the person who has got it wrong. The same device can hold the mistake and carry the correction. There is no honest version of this book in which the digital world has only taken things from the family.</w:t>
      </w:r>
    </w:p>
    <w:p>
      <w:pPr>
        <w:widowControl/>
        <w:spacing w:after="40" w:line="320"/>
        <w:ind w:firstLine="260"/>
      </w:pPr>
      <w:r>
        <w:t xml:space="preserve">Yet the act of calling a grandfather differs from opening a feed. In one, I have chosen a person and asked him a question. His answer may lead away from what I hoped to hear. In the other, the next thing I see may have been selected partly because of how I responded to the last thing. The distinction concerns the relationship, not the brightness of the display.</w:t>
      </w:r>
    </w:p>
    <w:p>
      <w:pPr>
        <w:widowControl/>
        <w:spacing w:after="40" w:line="320"/>
        <w:ind w:firstLine="260"/>
      </w:pPr>
      <w:r>
        <w:t xml:space="preserve">TikTok's own account of its recommendation system names watching, skipping and other interactions among the signals used to choose content. It says that, for most users, interaction signals, including viewing time, generally receive greater weight than other factors.</w:t>
      </w:r>
      <w:r>
        <w:rPr>
          <w:vertAlign w:val="superscript"/>
        </w:rPr>
        <w:t xml:space="preserve">1</w:t>
      </w:r>
      <w:r>
        <w:t xml:space="preserve"> That is the company's description of its system. It does not by itself establish a mental-health effect. It does establish that the sequence is being shaped in response to use.</w:t>
      </w:r>
    </w:p>
    <w:p>
      <w:pPr>
        <w:widowControl/>
        <w:spacing w:after="40" w:line="320"/>
        <w:ind w:firstLine="260"/>
      </w:pPr>
      <w:r>
        <w:t xml:space="preserve">Holding my attention is not the same task as telling me what I need to hear. I may be interested in something because it is true, because it is funny, or because I cannot quite believe what I have seen. A measure of my response cannot settle which of those reasons should govern my next hour. I still have to make a judgement about the material.</w:t>
      </w:r>
    </w:p>
    <w:p>
      <w:pPr>
        <w:widowControl/>
        <w:spacing w:after="40" w:line="320"/>
        <w:ind w:firstLine="260"/>
      </w:pPr>
      <w:r>
        <w:t xml:space="preserve">The person speaking through a screen can be worth listening to. A teacher might explain a problem better than anyone nearby. A distant friend might be the person with whom a difficult conversation is possible. The mistake would be to infer that mediation makes the relationship unreal. It would be equally mistaken to infer that a speaker knows me because he has described a grievance I recognise.</w:t>
      </w:r>
    </w:p>
    <w:p>
      <w:pPr>
        <w:widowControl/>
        <w:spacing w:after="40" w:line="320"/>
        <w:ind w:firstLine="260"/>
      </w:pPr>
      <w:r>
        <w:t xml:space="preserve">This matters particularly where the speaker offers an account of who I am. A man can be given a place in a story before anyone has heard his own. Perhaps he is told that his troubles prove he belongs to a betrayed generation. Perhaps the explanation is more flattering: he sees what other people refuse to see. Such accounts can contain truth. They still require examination, including when the person offering one is me.</w:t>
      </w:r>
    </w:p>
    <w:p>
      <w:pPr>
        <w:widowControl/>
        <w:spacing w:after="40" w:line="320"/>
        <w:ind w:firstLine="260"/>
      </w:pPr>
      <w:r>
        <w:t xml:space="preserve">I am writing a book for readers I have not met. I cannot object to a stranger's authority on a screen while assuming that a printed page makes my own authority innocent. You do not know me because you recognise a feeling in my account. Recognition can be a beginning. It should not end the questions about what I have shown and what I have merely asserted.</w:t>
      </w:r>
    </w:p>
    <w:p>
      <w:pPr>
        <w:widowControl/>
        <w:spacing w:after="40" w:line="320"/>
        <w:ind w:firstLine="260"/>
      </w:pPr>
      <w:r>
        <w:t xml:space="preserve">The household presents another question. Time spent doing one thing cannot always be spent doing another. A person who wants to sleep and continues watching has a practical conflict before a researcher has determined the average effect of a platform. So does an adult who asks a child to listen while repeatedly attending to messages. Neither example establishes how often this happens, or explains a population's distress. They identify conduct that can be examined where it occurs.</w:t>
      </w:r>
    </w:p>
    <w:p>
      <w:pPr>
        <w:widowControl/>
        <w:spacing w:after="40" w:line="320"/>
        <w:ind w:firstLine="260"/>
      </w:pPr>
      <w:r>
        <w:t xml:space="preserve">There is no need to invent a lost childhood in which adults were always available. Hilmar had work to do. Other people had different demands on them, and some children had adults who were uninterested in listening. The arrival of the phone did not create every distance between generations. Nor would taking it away make every adult attentive or trustworthy.</w:t>
      </w:r>
    </w:p>
    <w:p>
      <w:pPr>
        <w:widowControl/>
        <w:spacing w:after="40" w:line="320"/>
        <w:ind w:firstLine="260"/>
      </w:pPr>
      <w:r>
        <w:t xml:space="preserve">Jonathan Haidt offers a much larger account. In </w:t>
      </w:r>
      <w:r>
        <w:rPr>
          <w:i/>
          <w:iCs/>
        </w:rPr>
        <w:t xml:space="preserve">The Anxious Generation</w:t>
      </w:r>
      <w:r>
        <w:t xml:space="preserve">, he argues that the move away from a childhood organised around play and towards one organised around phones has damaged young people's mental health. His proposed mechanisms include reduced social contact, disrupted sleep and fragmented attention.</w:t>
      </w:r>
      <w:r>
        <w:rPr>
          <w:vertAlign w:val="superscript"/>
        </w:rPr>
        <w:t xml:space="preserve">2</w:t>
      </w:r>
      <w:r>
        <w:t xml:space="preserve"> These are claims about changes across childhood, not merely about a distracted person at a table. They need evidence at that scale.</w:t>
      </w:r>
    </w:p>
    <w:p>
      <w:pPr>
        <w:widowControl/>
        <w:spacing w:after="40" w:line="320"/>
        <w:ind w:firstLine="260"/>
      </w:pPr>
      <w:r>
        <w:t xml:space="preserve">I find the concern about what gets displaced worth taking seriously. But I cannot use the plausibility of a mechanism as though it were a completed explanation. If an activity can interrupt sleep, it does not follow that it caused a particular young person's suffering. If a feed can occupy time once spent elsewhere, we still need to know what the person was doing before, what they are doing now and whether the difference matters in the way proposed.</w:t>
      </w:r>
    </w:p>
    <w:p>
      <w:pPr>
        <w:widowControl/>
        <w:spacing w:after="40" w:line="320"/>
        <w:ind w:firstLine="260"/>
      </w:pPr>
      <w:r>
        <w:t xml:space="preserve">The family gives me a reason to care about those questions. It cannot supply the missing measurements. A memory of fishing with Hilmar does not tell us how Norwegian children now spend their evenings. Michael's care does not prove that a child with a devoted grandfather will be protected from harm online. Good relationships deserve to be valued without being sold as a guarantee.</w:t>
      </w:r>
    </w:p>
    <w:p>
      <w:pPr>
        <w:widowControl/>
        <w:spacing w:after="40" w:line="320"/>
        <w:ind w:firstLine="260"/>
      </w:pPr>
      <w:r>
        <w:t xml:space="preserve">I also want to keep the adult in view. It is convenient to make this an argument about what young people must surrender. My own work asks people to read, watch and give their attention. If I measure its value only by how long I can keep them, I have adopted a standard I am questioning in others. I need to ask what I have given a reader reason to do when he closes the book.</w:t>
      </w:r>
    </w:p>
    <w:p>
      <w:pPr>
        <w:widowControl/>
        <w:spacing w:after="40" w:line="320"/>
        <w:ind w:firstLine="260"/>
      </w:pPr>
      <w:r>
        <w:t xml:space="preserve">That question does not require contempt for entertainment. Pleasure shared with somebody can be part of a relationship. Nor does an hour become well spent merely because it felt demanding. The recording of Hilmar matters because he is my grandfather and because there is something to hear in what he says. Calling it educational would add little to that fact.</w:t>
      </w:r>
    </w:p>
    <w:p>
      <w:pPr>
        <w:widowControl/>
        <w:spacing w:after="40" w:line="320"/>
        <w:ind w:firstLine="260"/>
      </w:pPr>
      <w:r>
        <w:t xml:space="preserve">My Christian confession places a claim on attention which an account of mental well-being cannot establish. Christ's command to love my neighbour does not wait for proof that attending to another person will improve my mood. The person may need something inconvenient from me. A device may help me answer, or it may be the means by which I avoid answering. The moral question remains mine.</w:t>
      </w:r>
    </w:p>
    <w:p>
      <w:pPr>
        <w:widowControl/>
        <w:spacing w:after="40" w:line="320"/>
        <w:ind w:firstLine="260"/>
      </w:pPr>
      <w:r>
        <w:t xml:space="preserve">It is tempting to carry that conviction straight into a verdict on the technology. But a conviction about whom I owe love does not give me authority to alter the findings of a study. The phone can preserve a grandfather's voice. It can also carry material which deserves resistance. Before making a claim about what it has done to a generation, we need to look at what the evidence can bear.</w:t>
      </w:r>
    </w:p>
    <w:p>
      <w:pPr>
        <w:pStyle w:val="Heading2"/>
        <w:keepNext/>
        <w:pageBreakBefore/>
        <w:spacing w:after="400" w:before="0"/>
      </w:pPr>
      <w:bookmarkStart w:name="kap-10" w:id="1"/>
      <w:r>
        <w:t xml:space="preserve">10. What the Screen Cannot Explain</w:t>
      </w:r>
      <w:bookmarkEnd w:id="1"/>
    </w:p>
    <w:p>
      <w:pPr>
        <w:widowControl/>
        <w:spacing w:after="40" w:line="320"/>
        <w:ind w:firstLine="0"/>
      </w:pPr>
      <w:r>
        <w:t xml:space="preserve">A claim about phones can feel proved by the sight of people using them. The sight establishes use. It leaves the explanation open.</w:t>
      </w:r>
    </w:p>
    <w:p>
      <w:pPr>
        <w:widowControl/>
        <w:spacing w:after="40" w:line="320"/>
        <w:ind w:firstLine="260"/>
      </w:pPr>
      <w:r>
        <w:t xml:space="preserve">The same difficulty applies to an account of a generation. We can observe a troubling outcome and a change in daily life without yet knowing how much one explains the other. Two things occurring together may matter. They may also have causes which the comparison has left out. The question is worth pursuing precisely because an answer would matter to the people living with the consequences.</w:t>
      </w:r>
    </w:p>
    <w:p>
      <w:pPr>
        <w:widowControl/>
        <w:spacing w:after="40" w:line="320"/>
        <w:ind w:firstLine="260"/>
      </w:pPr>
      <w:r>
        <w:t xml:space="preserve">In her 2024 review of </w:t>
      </w:r>
      <w:r>
        <w:rPr>
          <w:i/>
          <w:iCs/>
        </w:rPr>
        <w:t xml:space="preserve">The Anxious Generation</w:t>
      </w:r>
      <w:r>
        <w:t>, developmental psychologist Candice Odgers challenged Haidt's claim that digital technology had caused an epidemic of teenage mental illness. She pointed to associations that were small or inconsistent, when found at all, and to the difficulty of deciding direction: existing distress may affect online behaviour.</w:t>
      </w:r>
      <w:r>
        <w:rPr>
          <w:vertAlign w:val="superscript"/>
        </w:rPr>
        <w:t xml:space="preserve">1</w:t>
      </w:r>
    </w:p>
    <w:p>
      <w:pPr>
        <w:widowControl/>
        <w:spacing w:after="40" w:line="320"/>
        <w:ind w:firstLine="260"/>
      </w:pPr>
      <w:r>
        <w:t xml:space="preserve">This is a substantive disagreement. It cannot be resolved by deciding whether the reader likes phones, or by treating criticism of Haidt as indifference to children. A criticism of the proposed explanation may be part of taking their suffering seriously. If the explanation is too broad, acting on it can leave other needs unattended.</w:t>
      </w:r>
    </w:p>
    <w:p>
      <w:pPr>
        <w:widowControl/>
        <w:spacing w:after="40" w:line="320"/>
        <w:ind w:firstLine="260"/>
      </w:pPr>
      <w:r>
        <w:t xml:space="preserve">Some experimental evidence does support reducing use. In an Austrian study published in 2025, 111 healthy students were randomly assigned to a three-week smartphone reduction or a control group. The intervention aimed at no more than two hours a day. The reduction group improved on self-reported measures of well-being and depressive symptoms, as well as stress and sleep problems. Use rose again after the intervention. The sample was small, the participants were adults, and they knew which group they were in.</w:t>
      </w:r>
      <w:r>
        <w:rPr>
          <w:vertAlign w:val="superscript"/>
        </w:rPr>
        <w:t xml:space="preserve">2</w:t>
      </w:r>
    </w:p>
    <w:p>
      <w:pPr>
        <w:widowControl/>
        <w:spacing w:after="40" w:line="320"/>
        <w:ind w:firstLine="260"/>
      </w:pPr>
      <w:r>
        <w:t xml:space="preserve">A Danish experiment reported in 2022 involved 164 adults in 89 families. Restricting recreational screen use for two weeks improved self-reported well-being and mood relative to the comparison group. It produced no consistent evidence of improvement in the measured stress biomarkers. The investigators could not blind participants to the intervention and noted that expectations might influence their answers. Although families with children took part, this paper reported adult outcomes.</w:t>
      </w:r>
      <w:r>
        <w:rPr>
          <w:vertAlign w:val="superscript"/>
        </w:rPr>
        <w:t xml:space="preserve">3</w:t>
      </w:r>
    </w:p>
    <w:p>
      <w:pPr>
        <w:widowControl/>
        <w:spacing w:after="40" w:line="320"/>
        <w:ind w:firstLine="260"/>
      </w:pPr>
      <w:r>
        <w:t xml:space="preserve">Random assignment makes these studies more informative about causation than a one-off comparison between heavy and light users. The adults were asked to change their behaviour, and their results were compared with those of people who had not been assigned the same change. That is a reason to take the benefits seriously. The short duration and selected populations are reasons to keep the conclusion specific.</w:t>
      </w:r>
    </w:p>
    <w:p>
      <w:pPr>
        <w:widowControl/>
        <w:spacing w:after="40" w:line="320"/>
        <w:ind w:firstLine="260"/>
      </w:pPr>
      <w:r>
        <w:t xml:space="preserve">Neither trial tells us that a Norwegian child's difficulty was caused by a phone. Neither measures whether practical knowledge passed from a grandfather to a grandson. A book concerned with inheritance cannot borrow a finding about adults' short-term mood and make it stand in for the relationship it has not measured.</w:t>
      </w:r>
    </w:p>
    <w:p>
      <w:pPr>
        <w:widowControl/>
        <w:spacing w:after="40" w:line="320"/>
        <w:ind w:firstLine="260"/>
      </w:pPr>
      <w:r>
        <w:t xml:space="preserve">Norwegian evidence makes another distinction necessary. In a survey of 3,253 adolescents, reports of unwanted attention, negative acts and exclusion on social media were associated with worse mental-health and well-being measures. The analysis took account of several factors, including reported amount of use. The researchers could not establish the direction of the relationship from a cross-sectional survey.</w:t>
      </w:r>
      <w:r>
        <w:rPr>
          <w:vertAlign w:val="superscript"/>
        </w:rPr>
        <w:t xml:space="preserve">4</w:t>
      </w:r>
    </w:p>
    <w:p>
      <w:pPr>
        <w:widowControl/>
        <w:spacing w:after="40" w:line="320"/>
        <w:ind w:firstLine="260"/>
      </w:pPr>
      <w:r>
        <w:t xml:space="preserve">That result directs attention towards what happens online. Being excluded from a conversation and spending time talking with friends may occupy the same number of minutes. Counting the minutes cannot, on its own, tell us what either experience means to the person having it. If an adult asks only how long a young person has been online, the answer may leave the relevant experience unspoken.</w:t>
      </w:r>
    </w:p>
    <w:p>
      <w:pPr>
        <w:widowControl/>
        <w:spacing w:after="40" w:line="320"/>
        <w:ind w:firstLine="260"/>
      </w:pPr>
      <w:r>
        <w:t xml:space="preserve">A separate analysis of 3,568 Norwegian adolescents found that those with high well-being more often reported socially oriented activity and group conversations online. The published abstract describes an association, not evidence that increasing group-chat activity would improve well-being. People who are doing well may be using social media differently.</w:t>
      </w:r>
      <w:r>
        <w:rPr>
          <w:vertAlign w:val="superscript"/>
        </w:rPr>
        <w:t xml:space="preserve">5</w:t>
      </w:r>
      <w:r>
        <w:t xml:space="preserve"> That possibility prevents an easy division between healthy life away from the screen and unhealthy life on it.</w:t>
      </w:r>
    </w:p>
    <w:p>
      <w:pPr>
        <w:widowControl/>
        <w:spacing w:after="40" w:line="320"/>
        <w:ind w:firstLine="260"/>
      </w:pPr>
      <w:r>
        <w:t xml:space="preserve">The largest study in this group of sources followed 25,629 adolescents in England through three annual surveys. FHI's account reports that time spent on social media and gaming frequency did not predict later internalising symptoms, such as anxiety and depression, in the analyses. The study distinguished stable differences between people from changes within individuals over time. It used self-reported measures. A Norwegian institute's involvement does not make the participants Norwegian.</w:t>
      </w:r>
      <w:r>
        <w:rPr>
          <w:vertAlign w:val="superscript"/>
        </w:rPr>
        <w:t xml:space="preserve">6</w:t>
      </w:r>
    </w:p>
    <w:p>
      <w:pPr>
        <w:widowControl/>
        <w:spacing w:after="40" w:line="320"/>
        <w:ind w:firstLine="260"/>
      </w:pPr>
      <w:r>
        <w:t xml:space="preserve">That finding is an obstacle to a simple account in which more time necessarily leads to later distress. It is not a certificate of safety for every online experience. The earlier Norwegian study asked about negative encounters; this one examined patterns of use and symptoms over time. Different questions can produce different findings without either paper having disproved the other.</w:t>
      </w:r>
    </w:p>
    <w:p>
      <w:pPr>
        <w:widowControl/>
        <w:spacing w:after="40" w:line="320"/>
        <w:ind w:firstLine="260"/>
      </w:pPr>
      <w:r>
        <w:t xml:space="preserve">FHI's 2024 umbrella review, covering nineteen systematic reviews concerning children and adolescents, found major gaps in research capable of supporting confident causal conclusions. Much of the underlying evidence was cross-sectional.</w:t>
      </w:r>
      <w:r>
        <w:rPr>
          <w:vertAlign w:val="superscript"/>
        </w:rPr>
        <w:t xml:space="preserve">7</w:t>
      </w:r>
      <w:r>
        <w:t xml:space="preserve"> Lack of good causal evidence is not proof that nothing happens. It is a limit on what can honestly be said to have been established.</w:t>
      </w:r>
    </w:p>
    <w:p>
      <w:pPr>
        <w:widowControl/>
        <w:spacing w:after="40" w:line="320"/>
        <w:ind w:firstLine="260"/>
      </w:pPr>
      <w:r>
        <w:t xml:space="preserve">This leaves a parent with work to do rather than a single rule supplied by science. A particular interaction can be cruel without a population study having measured its effect. A child can need sleep without the whole history of adolescent distress being settled. It is possible to act on a clearly identified problem while remaining uncertain about a larger explanation.</w:t>
      </w:r>
    </w:p>
    <w:p>
      <w:pPr>
        <w:widowControl/>
        <w:spacing w:after="40" w:line="320"/>
        <w:ind w:firstLine="260"/>
      </w:pPr>
      <w:r>
        <w:t xml:space="preserve">It also leaves me with a narrower argument. I can ask whether a person is being heard. Is there time to learn something together? Is an activity displacing a responsibility? I cannot claim that Norwegian families have generally stopped handing things on because phones entered their homes. The evidence considered here has not measured that proposition.</w:t>
      </w:r>
    </w:p>
    <w:p>
      <w:pPr>
        <w:widowControl/>
        <w:spacing w:after="40" w:line="320"/>
        <w:ind w:firstLine="260"/>
      </w:pPr>
      <w:r>
        <w:t xml:space="preserve">Nor should I assume that a family becomes capable of teaching and caring simply because its devices are put away. A hostile conversation remains hostile without a screen. A relative who is only reachable at a distance may become harder to hear. The relevant change depends on the relationship and on what people do with the time and means available to them.</w:t>
      </w:r>
    </w:p>
    <w:p>
      <w:pPr>
        <w:widowControl/>
        <w:spacing w:after="40" w:line="320"/>
        <w:ind w:firstLine="260"/>
      </w:pPr>
      <w:r>
        <w:t xml:space="preserve">There is a temptation for a Christian writer here. I could make every troubling result evidence that the country needs the answer I intend to give. Then an improvement in mood after reduced use would become a small piece of a conversion argument, while a contrary result would be relegated to a note. That would misuse both the research and the faith.</w:t>
      </w:r>
    </w:p>
    <w:p>
      <w:pPr>
        <w:widowControl/>
        <w:spacing w:after="40" w:line="320"/>
        <w:ind w:firstLine="260"/>
      </w:pPr>
      <w:r>
        <w:t xml:space="preserve">I confess Christ for reasons these studies cannot decide. His claim on my life includes an obligation to tell the truth about findings which limit my argument. I cannot make the gospel more credible by making the reader's country look worse than the evidence allows.</w:t>
      </w:r>
    </w:p>
    <w:p>
      <w:pPr>
        <w:widowControl/>
        <w:spacing w:after="40" w:line="320"/>
        <w:ind w:firstLine="260"/>
      </w:pPr>
      <w:r>
        <w:t xml:space="preserve">The phone does not explain enough to carry this book. Neither does an account of Norway assembled only from what has gone wrong. Before asking what we may be failing to pass on, we need to face what the country has achieved and what its people actually report about their lives.</w:t>
      </w:r>
    </w:p>
    <w:p>
      <w:pPr>
        <w:pStyle w:val="Heading1"/>
        <w:keepNext/>
        <w:pageBreakBefore/>
        <w:spacing w:after="400" w:before="0"/>
      </w:pPr>
      <w:r>
        <w:t xml:space="preserve">Part II. The Country That Still Works</w:t>
      </w:r>
    </w:p>
    <w:p>
      <w:pPr>
        <w:pStyle w:val="Heading2"/>
        <w:keepNext/>
        <w:spacing w:after="400" w:before="0"/>
      </w:pPr>
      <w:bookmarkStart w:name="kap-11" w:id="1"/>
      <w:r>
        <w:t xml:space="preserve">11. The Best-Case Country</w:t>
      </w:r>
      <w:bookmarkEnd w:id="1"/>
    </w:p>
    <w:p>
      <w:pPr>
        <w:widowControl/>
        <w:spacing w:after="40" w:line="320"/>
        <w:ind w:firstLine="0"/>
      </w:pPr>
      <w:r>
        <w:t xml:space="preserve">I want the Solbak Årnes family to know its Jewish history in the setting of Norwegian life. Norway makes a demanding setting for an argument about what a country may fail to pass on. Much that people reasonably want from a society is present here. These achievements belong in this account.</w:t>
      </w:r>
    </w:p>
    <w:p>
      <w:pPr>
        <w:widowControl/>
        <w:spacing w:after="40" w:line="320"/>
        <w:ind w:firstLine="260"/>
      </w:pPr>
      <w:r>
        <w:t xml:space="preserve">In the United Nations Development Programme's 2025 Human Development Report, Norway shares second place with Switzerland. Its score is 0.970, using data for 2023. The index combines measures of health, education and income. In that report's comparable historical series, Norway was already at 0.959 in 2015. The subsequent record includes a dip as well as gains; the high position is sustained rather than a single fortunate result.</w:t>
      </w:r>
      <w:r>
        <w:rPr>
          <w:vertAlign w:val="superscript"/>
        </w:rPr>
        <w:t xml:space="preserve">1</w:t>
      </w:r>
    </w:p>
    <w:p>
      <w:pPr>
        <w:widowControl/>
        <w:spacing w:after="40" w:line="320"/>
        <w:ind w:firstLine="260"/>
      </w:pPr>
      <w:r>
        <w:t xml:space="preserve">I take that standing seriously. The things the index tries to measure belong to human lives: the length of a life, the opportunity to learn, the resources with which to make a home. They deserve attention before the argument moves towards anything harder to count. An account of the good society that treats such conditions as beneath its concern has become too distant from the people who need them.</w:t>
      </w:r>
    </w:p>
    <w:p>
      <w:pPr>
        <w:widowControl/>
        <w:spacing w:after="40" w:line="320"/>
        <w:ind w:firstLine="260"/>
      </w:pPr>
      <w:r>
        <w:t xml:space="preserve">Statistics Norway puts life expectancy at birth in 2025 at 81.61 years for men and 84.85 for women. These are calculations using the year's mortality conditions, not promises about how long a particular newborn will live. The improvement from 2024 was small: 0.02 years for men and 0.05 for women.</w:t>
      </w:r>
      <w:r>
        <w:rPr>
          <w:vertAlign w:val="superscript"/>
        </w:rPr>
        <w:t xml:space="preserve">2</w:t>
      </w:r>
      <w:r>
        <w:t xml:space="preserve"> Both the high level and that limited increase belong in an honest description. Neither requires a story about national triumph or collapse.</w:t>
      </w:r>
    </w:p>
    <w:p>
      <w:pPr>
        <w:widowControl/>
        <w:spacing w:after="40" w:line="320"/>
        <w:ind w:firstLine="260"/>
      </w:pPr>
      <w:r>
        <w:t xml:space="preserve">Longer life is a good in itself. It also gives relationships the possibility of time. The years in which a grandparent can know a grandchild matter to a book such as this one. What happens during those years depends on people and circumstances that a national figure cannot describe. Still, the chance to have the years is worth wanting. I cannot praise an older person's place in a family while treating the conditions in which people reach old age as a minor achievement.</w:t>
      </w:r>
    </w:p>
    <w:p>
      <w:pPr>
        <w:widowControl/>
        <w:spacing w:after="40" w:line="320"/>
        <w:ind w:firstLine="260"/>
      </w:pPr>
      <w:r>
        <w:t xml:space="preserve">Healthcare coverage offers another view. The OECD's Health at a Glance 2025 records Norway's whole population as covered for a core set of health services. The comparison refers to 2024 or the nearest available year.</w:t>
      </w:r>
      <w:r>
        <w:rPr>
          <w:vertAlign w:val="superscript"/>
        </w:rPr>
        <w:t xml:space="preserve">3</w:t>
      </w:r>
      <w:r>
        <w:t xml:space="preserve"> Coverage means entitlement to that set of services. It does not mean that every requested treatment is available without waiting or personal expense. The entitlement remains a substantial public commitment on its own terms.</w:t>
      </w:r>
    </w:p>
    <w:p>
      <w:pPr>
        <w:widowControl/>
        <w:spacing w:after="40" w:line="320"/>
        <w:ind w:firstLine="260"/>
      </w:pPr>
      <w:r>
        <w:t xml:space="preserve">Illness places demands on households that affection alone cannot meet. Loving someone does not confer medical knowledge or make equipment available. A family may accompany a patient, remember what they have been told, or help them through recovery; it has reason to value the skilled people whose work makes treatment possible. Public provision can be welcomed from within a serious account of family obligation. There is no need to set gratitude for it against love for a parent.</w:t>
      </w:r>
    </w:p>
    <w:p>
      <w:pPr>
        <w:widowControl/>
        <w:spacing w:after="40" w:line="320"/>
        <w:ind w:firstLine="260"/>
      </w:pPr>
      <w:r>
        <w:t xml:space="preserve">The phrase best-case country describes the test I want to make. It is not a claim that Norway is best at everything, or that another country would be better understood through its failures. It asks whether the question of inheritance is worth pursuing where many of the conditions for a good life are favourable. An argument that needs widespread misery before it can make sense of the family asks too little of both public life and family life.</w:t>
      </w:r>
    </w:p>
    <w:p>
      <w:pPr>
        <w:widowControl/>
        <w:spacing w:after="40" w:line="320"/>
        <w:ind w:firstLine="260"/>
      </w:pPr>
      <w:r>
        <w:t xml:space="preserve">Consider the practical meaning of passing something on. A child who learns to read gains access to accounts written before anyone now living was born. That achievement can serve a family history as readily as it serves any other study. Knowing how to assess a document can make the history more trustworthy. The acquisition of skills outside the household need not be narrated as an interruption of what the household gives. It may equip a later generation to recover something earlier generations could not explain to them.</w:t>
      </w:r>
    </w:p>
    <w:p>
      <w:pPr>
        <w:widowControl/>
        <w:spacing w:after="40" w:line="320"/>
        <w:ind w:firstLine="260"/>
      </w:pPr>
      <w:r>
        <w:t xml:space="preserve">That possibility matters to my own purpose here. The names need to be legible, the relationships explained, and the accounts left by relatives read with care. This work has a positive object: people ought to be able to know the history to which they belong. It would still be worth doing if every favourable description of present-day Norway were accepted.</w:t>
      </w:r>
    </w:p>
    <w:p>
      <w:pPr>
        <w:widowControl/>
        <w:spacing w:after="40" w:line="320"/>
        <w:ind w:firstLine="260"/>
      </w:pPr>
      <w:r>
        <w:t xml:space="preserve">The reason to preserve an account of a grandmother's work is not that preserving it will improve a national ranking. Her life merits attention because it was hers, and because other lives were joined to it. The country in which a descendant reads that account supplies a setting for the act of attention. Good schools or effective healthcare do not turn that attention into an unnecessary luxury. They are among the goods with which a life can be lived; family knowledge may be another.</w:t>
      </w:r>
    </w:p>
    <w:p>
      <w:pPr>
        <w:widowControl/>
        <w:spacing w:after="40" w:line="320"/>
        <w:ind w:firstLine="260"/>
      </w:pPr>
      <w:r>
        <w:t xml:space="preserve">This leaves room for a reader who admires Norway and is sceptical of my emphasis on inheritance. They need not first accept that the country is secretly in crisis. The disagreement can concern what obligations survive when people are materially secure, what children should be helped to know, or why a family account merits the effort required to keep it. Those are arguments worth having without asking the reader to disbelieve the life around them.</w:t>
      </w:r>
    </w:p>
    <w:p>
      <w:pPr>
        <w:widowControl/>
        <w:spacing w:after="40" w:line="320"/>
        <w:ind w:firstLine="260"/>
      </w:pPr>
      <w:r>
        <w:t xml:space="preserve">There is also a responsibility here for anyone who wants to change a successful arrangement. Existing benefits count. The person proposing a different way of organising work or care owes an account of what would happen to those who depend on the present one. A memory of a capable grandfather does not by itself answer that question. Nor does admiration for a previous household establish that another household could or should reproduce its conditions.</w:t>
      </w:r>
    </w:p>
    <w:p>
      <w:pPr>
        <w:widowControl/>
        <w:spacing w:after="40" w:line="320"/>
        <w:ind w:firstLine="260"/>
      </w:pPr>
      <w:r>
        <w:t xml:space="preserve">I can honour earlier work without wanting all its burdens returned. When a relative recalls the labour required to keep people fed, the labour deserves to be understood in its own circumstances. It does not become more admirable because it was exhausting, and reduced exhaustion need not mean reduced devotion. The duty to care can persist while the work available to fulfil it changes. That is a reason to investigate particular lives rather than make hardship stand for moral seriousness.</w:t>
      </w:r>
    </w:p>
    <w:p>
      <w:pPr>
        <w:widowControl/>
        <w:spacing w:after="40" w:line="320"/>
        <w:ind w:firstLine="260"/>
      </w:pPr>
      <w:r>
        <w:t xml:space="preserve">The same care is due to the present. A nurse's competence, a teacher's patience and a public service that performs its task have value in the lives they touch. I do not need to settle a theory of national character before recognising that value. Nor do I need to assign the achievement to one religious tradition in order to welcome it. People who disagree about the source of their obligations can still do work on which others rely.</w:t>
      </w:r>
    </w:p>
    <w:p>
      <w:pPr>
        <w:widowControl/>
        <w:spacing w:after="40" w:line="320"/>
        <w:ind w:firstLine="260"/>
      </w:pPr>
      <w:r>
        <w:t xml:space="preserve">Such work gives a discussion of Norway something substantial to answer to. It keeps the question of inheritance close to the conditions in which an inheritance must now be received. Children grow up in the present, among its opportunities and demands. Whatever we hope to give them has to be offered there. An argument addressed entirely to an imagined past would leave that task untouched.</w:t>
      </w:r>
    </w:p>
    <w:p>
      <w:pPr>
        <w:pStyle w:val="Heading2"/>
        <w:keepNext/>
        <w:pageBreakBefore/>
        <w:spacing w:after="400" w:before="0"/>
      </w:pPr>
      <w:bookmarkStart w:name="kap-12" w:id="1"/>
      <w:r>
        <w:t xml:space="preserve">12. No But in the Sentence</w:t>
      </w:r>
      <w:bookmarkEnd w:id="1"/>
    </w:p>
    <w:p>
      <w:pPr>
        <w:widowControl/>
        <w:spacing w:after="40" w:line="320"/>
        <w:ind w:firstLine="0"/>
      </w:pPr>
      <w:r>
        <w:t xml:space="preserve">People in Norway have something favourable to say about their lives. In Statistics Norway's 2025 survey, the average rating of life satisfaction was 6.9 on a scale from zero to ten. The survey represents adults aged eighteen and over living outside institutions.</w:t>
      </w:r>
      <w:r>
        <w:rPr>
          <w:vertAlign w:val="superscript"/>
        </w:rPr>
        <w:t xml:space="preserve">1</w:t>
      </w:r>
      <w:r>
        <w:t xml:space="preserve"> The question asks people to consider their lives as a whole. Their answers belong in any account of the country that claims to take its people seriously.</w:t>
      </w:r>
    </w:p>
    <w:p>
      <w:pPr>
        <w:widowControl/>
        <w:spacing w:after="40" w:line="320"/>
        <w:ind w:firstLine="260"/>
      </w:pPr>
      <w:r>
        <w:t xml:space="preserve">There is a particular dignity in being asked that question. A person is invited to assess a life they know from within: the work, the relationships, the circumstances in which they spend their days. The answer is their own judgement. It deserves to be heard before someone else explains what they ought to feel about the society around them.</w:t>
      </w:r>
    </w:p>
    <w:p>
      <w:pPr>
        <w:widowControl/>
        <w:spacing w:after="40" w:line="320"/>
        <w:ind w:firstLine="260"/>
      </w:pPr>
      <w:r>
        <w:t xml:space="preserve">Contentment is worth attending to. A person who values the place where they live is telling us something about a life that has found goods there. Those goods may be ordinary. A manageable day can matter very much to the person living it. Having enough confidence in tomorrow to make a plan is an achievement worth wanting for oneself and for other people.</w:t>
      </w:r>
    </w:p>
    <w:p>
      <w:pPr>
        <w:widowControl/>
        <w:spacing w:after="40" w:line="320"/>
        <w:ind w:firstLine="260"/>
      </w:pPr>
      <w:r>
        <w:t xml:space="preserve">The public institutions in Norway also receive substantial trust. In fieldwork conducted in October 2025 for the OECD's 2026 Trust Survey, 78 per cent of adults reported high or moderately high trust in the police, and 76 per cent in the courts. The category covers ratings from six to ten on a zero-to-ten scale.</w:t>
      </w:r>
      <w:r>
        <w:rPr>
          <w:vertAlign w:val="superscript"/>
        </w:rPr>
        <w:t xml:space="preserve">2</w:t>
      </w:r>
      <w:r>
        <w:t xml:space="preserve"> These are people's stated levels of trust in institutions entrusted with serious powers.</w:t>
      </w:r>
    </w:p>
    <w:p>
      <w:pPr>
        <w:widowControl/>
        <w:spacing w:after="40" w:line="320"/>
        <w:ind w:firstLine="260"/>
      </w:pPr>
      <w:r>
        <w:t xml:space="preserve">Trust has a place in everyday freedom. We need to be able to ask for help from someone whose job gives them duties towards us. We need ways of settling disagreements that do not depend on which party has the stronger relatives or the greater willingness to threaten. Institutions capable of earning confidence serve people who will never know most of those responsible for their work. That reach gives public service a moral importance of its own.</w:t>
      </w:r>
    </w:p>
    <w:p>
      <w:pPr>
        <w:widowControl/>
        <w:spacing w:after="40" w:line="320"/>
        <w:ind w:firstLine="260"/>
      </w:pPr>
      <w:r>
        <w:t xml:space="preserve">A family account naturally concentrates on people who know one another. Public life asks people to carry out duties towards strangers. The stranger's name may mean nothing to the person behind the desk; the task is still owed to them. There is something valuable in that equality of attention. It makes a claim on conduct that extends beyond affection and personal acquaintance.</w:t>
      </w:r>
    </w:p>
    <w:p>
      <w:pPr>
        <w:widowControl/>
        <w:spacing w:after="40" w:line="320"/>
        <w:ind w:firstLine="260"/>
      </w:pPr>
      <w:r>
        <w:t xml:space="preserve">The same OECD survey asked about encounters with administrative services. Among adults who had personally used such a service in the previous twelve months, 69 per cent were satisfied. The question included services such as obtaining identification papers, registering a birth or applying for a benefit. Satisfaction meant a rating between six and ten.</w:t>
      </w:r>
      <w:r>
        <w:rPr>
          <w:vertAlign w:val="superscript"/>
        </w:rPr>
        <w:t xml:space="preserve">3</w:t>
      </w:r>
      <w:r>
        <w:t xml:space="preserve"> This is an assessment by people with a recent experience of using the service.</w:t>
      </w:r>
    </w:p>
    <w:p>
      <w:pPr>
        <w:widowControl/>
        <w:spacing w:after="40" w:line="320"/>
        <w:ind w:firstLine="260"/>
      </w:pPr>
      <w:r>
        <w:t xml:space="preserve">An administrative task can have a modest, definite purpose. Someone needs the correct document. They need to know what information to provide and whether their application has been received. The quality of the encounter consists partly in making those things intelligible. A clear answer, a correct record and a task completed at the promised time each have value for the person who needs them.</w:t>
      </w:r>
    </w:p>
    <w:p>
      <w:pPr>
        <w:widowControl/>
        <w:spacing w:after="40" w:line="320"/>
        <w:ind w:firstLine="260"/>
      </w:pPr>
      <w:r>
        <w:t xml:space="preserve">Suppose a document arrives when it is needed and contains the right information. The person who requested it can use it and continue with their day. The work done by someone else has removed a practical difficulty. This is a small example of what competent administration can accomplish. Its worth can be recognised at the scale on which it is experienced.</w:t>
      </w:r>
    </w:p>
    <w:p>
      <w:pPr>
        <w:widowControl/>
        <w:spacing w:after="40" w:line="320"/>
        <w:ind w:firstLine="260"/>
      </w:pPr>
      <w:r>
        <w:t xml:space="preserve">Routine work is easy to overlook when it is done well: the person helped can turn to something else. The person can attend to a child, return to paid work or carry on with an application. A public employee who has made that possible has contributed to another person's freedom to act. Good service deserves credit for that result.</w:t>
      </w:r>
    </w:p>
    <w:p>
      <w:pPr>
        <w:widowControl/>
        <w:spacing w:after="40" w:line="320"/>
        <w:ind w:firstLine="260"/>
      </w:pPr>
      <w:r>
        <w:t xml:space="preserve">Perceived safety provides another small window on ordinary life. In Statistics Norway's 2023 living-conditions survey, 6.9 per cent of people aged sixteen and over reported recent worry about violence or threats when walking alone where they lived. The population covered people outside institutions.</w:t>
      </w:r>
      <w:r>
        <w:rPr>
          <w:vertAlign w:val="superscript"/>
        </w:rPr>
        <w:t xml:space="preserve">4</w:t>
      </w:r>
      <w:r>
        <w:t xml:space="preserve"> The question concerns a particular experience of worry in a familiar place. It directs attention to the value of being able to move around one's neighbourhood with confidence.</w:t>
      </w:r>
    </w:p>
    <w:p>
      <w:pPr>
        <w:widowControl/>
        <w:spacing w:after="40" w:line="320"/>
        <w:ind w:firstLine="260"/>
      </w:pPr>
      <w:r>
        <w:t xml:space="preserve">When someone feels confident walking locally, a journey can be about its destination. A person can go to work, call on someone or take a walk for its own sake. The freedom involved has a local scale: the place where one lives and the routes one uses. It deserves a place beside the national measures of income and longevity. A good society is experienced through the day as well as described in a report.</w:t>
      </w:r>
    </w:p>
    <w:p>
      <w:pPr>
        <w:widowControl/>
        <w:spacing w:after="40" w:line="320"/>
        <w:ind w:firstLine="260"/>
      </w:pPr>
      <w:r>
        <w:t>Loneliness has to be reported with the same care, because it has moved in two directions. In Statistics Norway's quality-of-life survey, 12.1 per cent of adults aged eighteen and over said in March 2020 that they had been much troubled by loneliness in the previous fortnight. The share rose to 15.5 per cent in 2021 and stood at 14.5 per cent in 2025, still above the level of the first survey. Among people aged eighteen to twenty-four it rose from nearly 24 per cent in 2020 to just over 30 per cent in 2021 and has since fallen to 23.4 per cent in 2025, the lowest since the series began. These are self-reports of a feeling, dated, for the population as a whole; they describe no family in it.</w:t>
      </w:r>
      <w:r>
        <w:rPr>
          <w:vertAlign w:val="superscript"/>
        </w:rPr>
        <w:t>5</w:t>
      </w:r>
    </w:p>
    <w:p>
      <w:pPr>
        <w:widowControl/>
        <w:spacing w:after="40" w:line="320"/>
        <w:ind w:firstLine="260"/>
      </w:pPr>
      <w:r>
        <w:t>Public conduct towards children carries duties of its own. An adult who explains a procedure clearly can give a practical lesson in how strangers deal with one another. Someone who keeps a promise can let a child see what reliability looks like. I take these to be ways in which public conduct can be worth imitating; I am not reporting a measured effect.</w:t>
      </w:r>
    </w:p>
    <w:p>
      <w:pPr>
        <w:widowControl/>
        <w:spacing w:after="40" w:line="320"/>
        <w:ind w:firstLine="260"/>
      </w:pPr>
      <w:r>
        <w:t xml:space="preserve">The duties involved remain concrete. The adult has to do the task in front of them. The procedure has to make sense to the person expected to follow it. A public institution worthy of confidence needs people who attend to that work, including when the person they are helping is unfamiliar, impatient or unable to express themselves well. Respect takes a working form in the encounter.</w:t>
      </w:r>
    </w:p>
    <w:p>
      <w:pPr>
        <w:widowControl/>
        <w:spacing w:after="40" w:line="320"/>
        <w:ind w:firstLine="260"/>
      </w:pPr>
      <w:r>
        <w:t xml:space="preserve">I want that part of Norwegian life to have its proper place in this account. My interest in what families give their descendants includes an interest in the country in which those descendants live. Public competence gives families reasons for gratitude. It brings people into contact with useful knowledge and with obligations carried by people outside their own household.</w:t>
      </w:r>
    </w:p>
    <w:p>
      <w:pPr>
        <w:widowControl/>
        <w:spacing w:after="40" w:line="320"/>
        <w:ind w:firstLine="260"/>
      </w:pPr>
      <w:r>
        <w:t xml:space="preserve">That is also a fitting setting in which to recover a Jewish family history. The work asks for careful reading, accurate names and attention to lives different from one's own. Those habits can be practised wherever records are kept and people try to understand them. A descendant has reason to value the labour that makes an earlier life available to study, whether the person doing that labour shares the family's history or approaches it for another reason.</w:t>
      </w:r>
    </w:p>
    <w:p>
      <w:pPr>
        <w:widowControl/>
        <w:spacing w:after="40" w:line="320"/>
        <w:ind w:firstLine="260"/>
      </w:pPr>
      <w:r>
        <w:t xml:space="preserve">The people sustaining present-day Norway are doing work in the present. They deserve to be recognised for what they do. An explanation of how their institutions came to exist can be pursued with that recognition intact. Gratitude is a reasonable response to a service performed well, just as satisfaction is a reasonable response to a life containing things one values.</w:t>
      </w:r>
    </w:p>
    <w:p>
      <w:pPr>
        <w:widowControl/>
        <w:spacing w:after="40" w:line="320"/>
        <w:ind w:firstLine="260"/>
      </w:pPr>
      <w:r>
        <w:t xml:space="preserve">Norway has goods worth keeping. People report satisfaction with their lives, place confidence in institutions, and give favourable accounts of services they have used. Those statements can stand. The record of how the country has changed begins from a present that merits this respect.</w:t>
      </w:r>
    </w:p>
    <w:p>
      <w:pPr>
        <w:pStyle w:val="Heading2"/>
        <w:keepNext/>
        <w:pageBreakBefore/>
        <w:spacing w:after="400" w:before="0"/>
      </w:pPr>
      <w:bookmarkStart w:name="kap-13" w:id="1"/>
      <w:r>
        <w:t xml:space="preserve">13. The Church Still on the Map</w:t>
      </w:r>
      <w:bookmarkEnd w:id="1"/>
    </w:p>
    <w:p>
      <w:pPr>
        <w:widowControl/>
        <w:spacing w:after="40" w:line="320"/>
        <w:ind w:firstLine="0"/>
      </w:pPr>
      <w:r>
        <w:t xml:space="preserve">At the end of 2025, the Church of Norway had about 3.43 million registered members. Statistics Norway's headline figure put membership at 60.9 per cent of the country's inhabitants.</w:t>
      </w:r>
      <w:r>
        <w:rPr>
          <w:vertAlign w:val="superscript"/>
        </w:rPr>
        <w:t xml:space="preserve">1</w:t>
      </w:r>
      <w:r>
        <w:t xml:space="preserve"> A majority relationship with a named church remains part of the setting in which Norwegian children grow up. It is one of the public facts beside which I want to place my family's Jewish history.</w:t>
      </w:r>
    </w:p>
    <w:p>
      <w:pPr>
        <w:widowControl/>
        <w:spacing w:after="40" w:line="320"/>
        <w:ind w:firstLine="260"/>
      </w:pPr>
      <w:r>
        <w:t xml:space="preserve">Den norske kirke means the Church of Norway. It refers to a particular Evangelical-Lutheran institution, with its own organisation and members. The name does not make every Norwegian a member or make its members the only Norwegians whose religious lives belong in an account of the country. There are people inside and outside its register whose lives the country has to accommodate.</w:t>
      </w:r>
    </w:p>
    <w:p>
      <w:pPr>
        <w:widowControl/>
        <w:spacing w:after="40" w:line="320"/>
        <w:ind w:firstLine="260"/>
      </w:pPr>
      <w:r>
        <w:t xml:space="preserve">The constitutional relationship gives this institution a position beyond that of a large voluntary association. In June 2026, a parliamentary committee discussing proposals to change that relationship described Article 16 as retaining the Church of Norway's Evangelical-Lutheran character and its standing as the country's folkekirke, supported by the state. The provision also requires support on an equal footing for religious and life-stance communities.</w:t>
      </w:r>
      <w:r>
        <w:rPr>
          <w:vertAlign w:val="superscript"/>
        </w:rPr>
        <w:t xml:space="preserve">2</w:t>
      </w:r>
      <w:r>
        <w:t xml:space="preserve"> A particular church's public position and support for other communities appear within the same constitutional arrangement.</w:t>
      </w:r>
    </w:p>
    <w:p>
      <w:pPr>
        <w:widowControl/>
        <w:spacing w:after="40" w:line="320"/>
        <w:ind w:firstLine="260"/>
      </w:pPr>
      <w:r>
        <w:t xml:space="preserve">The Storting's published English translation renders folkekirke as Established Church. The Norwegian word also keeps the people, folk, in the name. Neither expression supplies a description of every citizen's faith. The constitutional relationship concerns an institution and the state; a person's convictions require a different kind of account. A family can live within this public setting without every part of its religious history fitting the majority institution's name.</w:t>
      </w:r>
    </w:p>
    <w:p>
      <w:pPr>
        <w:widowControl/>
        <w:spacing w:after="40" w:line="320"/>
        <w:ind w:firstLine="260"/>
      </w:pPr>
      <w:r>
        <w:t xml:space="preserve">The Church's geographical organisation has a similar concreteness. Its annual report lists 1,146 geographical parishes at the beginning of 2026, within eleven dioceses.</w:t>
      </w:r>
      <w:r>
        <w:rPr>
          <w:vertAlign w:val="superscript"/>
        </w:rPr>
        <w:t xml:space="preserve">3</w:t>
      </w:r>
      <w:r>
        <w:t xml:space="preserve"> These are units of church organisation, not a count of buildings or of people attending worship. They show the scale at which the institution is arranged locally. A discussion of religion in Norway has to allow room for an organisation with local responsibilities across the country.</w:t>
      </w:r>
    </w:p>
    <w:p>
      <w:pPr>
        <w:widowControl/>
        <w:spacing w:after="40" w:line="320"/>
        <w:ind w:firstLine="260"/>
      </w:pPr>
      <w:r>
        <w:t>That continued presence makes the change in membership more interesting than a simple account of disappearance. In Statistics Norway's county table of members, which counts members alone from 2021, the total fell from 3,522,558 at the end of 2021 to 3,427,657 at the end of 2025. That is 94,901 fewer members, a decrease of about 2.7 per cent over four years. The most recent year continued the movement: 3,449,013 at the end of 2024, and 21,356 fewer a year later.</w:t>
      </w:r>
      <w:r>
        <w:rPr>
          <w:vertAlign w:val="superscript"/>
        </w:rPr>
        <w:t xml:space="preserve">4</w:t>
      </w:r>
      <w:r>
        <w:t xml:space="preserve"> The starting and ending figures describe a large institution whose registered membership became smaller. Both parts of the description matter.</w:t>
      </w:r>
    </w:p>
    <w:p>
      <w:pPr>
        <w:widowControl/>
        <w:spacing w:after="40" w:line="320"/>
        <w:ind w:firstLine="260"/>
      </w:pPr>
      <w:r>
        <w:t xml:space="preserve">The choice of 2021 as a starting point needs an explanation. Before that year, the published category included people described as tilhørige, a registered affiliation covering unbaptised children of members. That arrangement ended in January 2021. From 2021 the statistics count members alone.</w:t>
      </w:r>
      <w:r>
        <w:rPr>
          <w:vertAlign w:val="superscript"/>
        </w:rPr>
        <w:t xml:space="preserve">4</w:t>
      </w:r>
      <w:r>
        <w:t xml:space="preserve"> Some of the apparent movement across the boundary comes from a change in what the category contains. A child ceasing to be counted under a discontinued rule is not, for that reason, a person making a new declaration of unbelief.</w:t>
      </w:r>
    </w:p>
    <w:p>
      <w:pPr>
        <w:widowControl/>
        <w:spacing w:after="40" w:line="320"/>
        <w:ind w:firstLine="260"/>
      </w:pPr>
      <w:r>
        <w:t xml:space="preserve">Once the category is consistent, the decrease still remains. Respect for a definition does not require avoiding the result. It requires naming what changed: registered membership between two dates. The difference between the totals is not a count of people who chose to leave. An institution's membership also changes as people die and other people join it. A stock of members and a record of departures answer different questions.</w:t>
      </w:r>
    </w:p>
    <w:p>
      <w:pPr>
        <w:widowControl/>
        <w:spacing w:after="40" w:line="320"/>
        <w:ind w:firstLine="260"/>
      </w:pPr>
      <w:r>
        <w:t xml:space="preserve">For an argument about transmission, the distinction has consequences. It would be convenient to let a membership line stand for everything a family once taught and no longer teaches. A lower number would then carry a ready-made explanation about the home. The register cannot carry that explanation. It records a relationship with the institution, leaving open what that relationship means and how people live with it at home.</w:t>
      </w:r>
    </w:p>
    <w:p>
      <w:pPr>
        <w:widowControl/>
        <w:spacing w:after="40" w:line="320"/>
        <w:ind w:firstLine="260"/>
      </w:pPr>
      <w:r>
        <w:t xml:space="preserve">The household question is more particular. What words are used there? Who explains them, and what happens when a child asks what they mean? A membership entry cannot tell us whether anyone has undertaken that work. Where the book needs to describe it, it needs testimony about what people actually did. The national figure establishes scale. It cannot replace the account of a life.</w:t>
      </w:r>
    </w:p>
    <w:p>
      <w:pPr>
        <w:widowControl/>
        <w:spacing w:after="40" w:line="320"/>
        <w:ind w:firstLine="260"/>
      </w:pPr>
      <w:r>
        <w:t xml:space="preserve">This is especially clear when I turn towards the Jewish part of my family's history. A register for the Church of Norway cannot decide how that history belongs to us. Nor can a change in the Church's national membership establish that the history has been forgotten or recovered. The family accounts have to be read, the relationships understood, and the people allowed their own lives. The Christian setting of Norway is part of the setting in which I read them; it does not author their past.</w:t>
      </w:r>
    </w:p>
    <w:p>
      <w:pPr>
        <w:widowControl/>
        <w:spacing w:after="40" w:line="320"/>
        <w:ind w:firstLine="260"/>
      </w:pPr>
      <w:r>
        <w:t xml:space="preserve">My own Christian argument brings another responsibility. I must not treat the size of a church as confirmation that its members share everything I would like the book to say. A large roll is no mandate to speak on every member's behalf. The care due to an ancestor's testimony is also due, in another form, to people living now. Their institutional affiliation gives me one fact about them, not possession of their convictions.</w:t>
      </w:r>
    </w:p>
    <w:p>
      <w:pPr>
        <w:widowControl/>
        <w:spacing w:after="40" w:line="320"/>
        <w:ind w:firstLine="260"/>
      </w:pPr>
      <w:r>
        <w:t xml:space="preserve">For this book, the Church of Norway belongs on the map because it is still there. Its registered membership has declined over a period we can compare. Its organisation and public position remain substantial. Those observations leave a further question open: what do people do with the institution when a life reaches a moment they wish to mark? Baptism, confirmation and funerals bring us closer to an answer because they record actions people continue to take.</w:t>
      </w:r>
    </w:p>
    <w:p>
      <w:pPr>
        <w:pStyle w:val="Heading2"/>
        <w:keepNext/>
        <w:pageBreakBefore/>
        <w:spacing w:after="400" w:before="0"/>
      </w:pPr>
      <w:bookmarkStart w:name="kap-14" w:id="1"/>
      <w:r>
        <w:t xml:space="preserve">14. The Rites That Remain</w:t>
      </w:r>
      <w:bookmarkEnd w:id="1"/>
    </w:p>
    <w:p>
      <w:pPr>
        <w:widowControl/>
        <w:spacing w:after="40" w:line="320"/>
        <w:ind w:firstLine="0"/>
      </w:pPr>
      <w:r>
        <w:t xml:space="preserve">The Church of Norway's description of baptism reaches beyond the day of the service. After the water and the naming, parents and godparents are urged to pray for the child and teach the child to pray, with the Bible and communion forming part of that continuing life.</w:t>
      </w:r>
      <w:r>
        <w:rPr>
          <w:vertAlign w:val="superscript"/>
        </w:rPr>
        <w:t xml:space="preserve">1</w:t>
      </w:r>
      <w:r>
        <w:t xml:space="preserve"> The service gives adults something to do afterwards. The published annual count ends much sooner. It records that someone was baptised.</w:t>
      </w:r>
    </w:p>
    <w:p>
      <w:pPr>
        <w:widowControl/>
        <w:spacing w:after="40" w:line="320"/>
        <w:ind w:firstLine="260"/>
      </w:pPr>
      <w:r>
        <w:t xml:space="preserve">This distance between an event and a continuing responsibility matters to a family concerned with inheritance. A ceremony can make an obligation public. It cannot report its own fulfilment years later. The people charged with carrying it forward still have to decide how to live with it when the assembled company has gone home.</w:t>
      </w:r>
    </w:p>
    <w:p>
      <w:pPr>
        <w:widowControl/>
        <w:spacing w:after="40" w:line="320"/>
        <w:ind w:firstLine="260"/>
      </w:pPr>
      <w:r>
        <w:t xml:space="preserve">Baptism remains a substantial part of the Church's activity. In 2025, Statistics Norway recorded 28,622 baptised people, compared with 32,561 in 2016. The published ratio to births fell from 55.3 to 51.7 per cent across those nine years. Yet the latest year moved upwards: 1,263 more people were baptised in 2025 than in 2024, and the ratio rose by one percentage point.</w:t>
      </w:r>
      <w:r>
        <w:rPr>
          <w:vertAlign w:val="superscript"/>
        </w:rPr>
        <w:t xml:space="preserve">2</w:t>
      </w:r>
      <w:r>
        <w:t xml:space="preserve"> The longer fall and the recent increase both belong in the description.</w:t>
      </w:r>
    </w:p>
    <w:p>
      <w:pPr>
        <w:widowControl/>
        <w:spacing w:after="40" w:line="320"/>
        <w:ind w:firstLine="260"/>
      </w:pPr>
      <w:r>
        <w:t xml:space="preserve">The numerator includes people baptised at different ages. A ratio between all baptisms and the year's births is therefore not the proportion of that year's babies who were baptised. A young person or an adult can enter the baptism count without entering the birth count. Nor is 2016 an arbitrary starting point: that was when the statistics began counting baptised people rather than baptism ceremonies.</w:t>
      </w:r>
      <w:r>
        <w:rPr>
          <w:vertAlign w:val="superscript"/>
        </w:rPr>
        <w:t xml:space="preserve">2</w:t>
      </w:r>
    </w:p>
    <w:p>
      <w:pPr>
        <w:widowControl/>
        <w:spacing w:after="40" w:line="320"/>
        <w:ind w:firstLine="260"/>
      </w:pPr>
      <w:r>
        <w:t xml:space="preserve">The Church itself welcomes baptism at any age. Its explanation places the event within a promise of Christ's continuing presence and membership of the church community.</w:t>
      </w:r>
      <w:r>
        <w:rPr>
          <w:vertAlign w:val="superscript"/>
        </w:rPr>
        <w:t xml:space="preserve">3</w:t>
      </w:r>
      <w:r>
        <w:t xml:space="preserve"> That is the institution's account of what it is doing. The statistic neither verifies nor disproves the promise. Religious language and an administrative return are concerned with different aspects of the same event.</w:t>
      </w:r>
    </w:p>
    <w:p>
      <w:pPr>
        <w:widowControl/>
        <w:spacing w:after="40" w:line="320"/>
        <w:ind w:firstLine="260"/>
      </w:pPr>
      <w:r>
        <w:t xml:space="preserve">My Christian understanding belongs in the account I am writing, and so does the Jewish history of the Solbak Årnes family. The national baptism figures cannot organise that history for us. They give no authority to assign baptism to an ancestor or to describe an ancestor's understanding of God. Where the family record speaks, I want its people heard in their own circumstances. Where I state a conviction, I have to speak for myself.</w:t>
      </w:r>
    </w:p>
    <w:p>
      <w:pPr>
        <w:widowControl/>
        <w:spacing w:after="40" w:line="320"/>
        <w:ind w:firstLine="260"/>
      </w:pPr>
      <w:r>
        <w:t xml:space="preserve">Confirmation brings the question of conviction into sharper view. The Church's own invitation says that a young person need not already identify as Christian to take part in the preparation. Believers are welcome, as are young people who doubt or are uncertain. Baptism is required for the confirmation itself and can take place during the preparation. The service is described as prayer for the young person, recalling God's promises in baptism.</w:t>
      </w:r>
      <w:r>
        <w:rPr>
          <w:vertAlign w:val="superscript"/>
        </w:rPr>
        <w:t xml:space="preserve">4</w:t>
      </w:r>
    </w:p>
    <w:p>
      <w:pPr>
        <w:widowControl/>
        <w:spacing w:after="40" w:line="320"/>
        <w:ind w:firstLine="260"/>
      </w:pPr>
      <w:r>
        <w:t xml:space="preserve">Those terms make it difficult to turn a confirmation total into a count of declared believers. The institution has expressly made room for uncertainty. That does not empty the event of religious content. Someone can take part in a Christian service whose meaning extends beyond what they are presently able or willing to affirm. The Church states its meaning; the participant retains a life that an annual return cannot describe.</w:t>
      </w:r>
    </w:p>
    <w:p>
      <w:pPr>
        <w:widowControl/>
        <w:spacing w:after="40" w:line="320"/>
        <w:ind w:firstLine="260"/>
      </w:pPr>
      <w:r>
        <w:t xml:space="preserve">The published number of confirmations per hundred fifteen-year-olds fell from 61.5 in 2015 to 48.8 in 2025. The latest comparison again runs the other way: from 2024 to 2025 the ratio rose by one point, with 236 more confirmations.</w:t>
      </w:r>
      <w:r>
        <w:rPr>
          <w:vertAlign w:val="superscript"/>
        </w:rPr>
        <w:t xml:space="preserve">5</w:t>
      </w:r>
      <w:r>
        <w:t xml:space="preserve"> The denominator is all fifteen-year-olds, rather than fifteen-year-old Church members. The numerator can include people confirmed at other ages. Changing the denominator would change the question.</w:t>
      </w:r>
    </w:p>
    <w:p>
      <w:pPr>
        <w:widowControl/>
        <w:spacing w:after="40" w:line="320"/>
        <w:ind w:firstLine="260"/>
      </w:pPr>
      <w:r>
        <w:t xml:space="preserve">A recovery over one year cannot establish that a longer trend has ended. A longer decline cannot make the recovery disappear either. The figures do not identify a generation's reasons for coming to church, or for choosing another course.</w:t>
      </w:r>
    </w:p>
    <w:p>
      <w:pPr>
        <w:widowControl/>
        <w:spacing w:after="40" w:line="320"/>
        <w:ind w:firstLine="260"/>
      </w:pPr>
      <w:r>
        <w:t>Funerals leave a different pattern. In 2025 there were 36,096 Church of Norway funerals, 701 fewer than in 2015. Their share of deaths fell more markedly, from 90.4 to 80.1 per cent. Between 2024 and 2025, the number of funerals increased by twenty-three while the share fell by 1.4 percentage points.</w:t>
      </w:r>
      <w:r>
        <w:rPr>
          <w:vertAlign w:val="superscript"/>
        </w:rPr>
        <w:t xml:space="preserve">5</w:t>
      </w:r>
      <w:r>
        <w:t xml:space="preserve"> The count and the proportion can move in opposite directions because deaths themselves do not occur in a fixed annual total.</w:t>
      </w:r>
    </w:p>
    <w:p>
      <w:pPr>
        <w:widowControl/>
        <w:spacing w:after="40" w:line="320"/>
        <w:ind w:firstLine="260"/>
      </w:pPr>
      <w:r>
        <w:t xml:space="preserve">The scale of that continuing activity deserves attention. The Church's funeral framework includes words of remembrance alongside biblical readings and prayer. Its own explanation describes entrusting the dead to God within Christian hope.</w:t>
      </w:r>
      <w:r>
        <w:rPr>
          <w:vertAlign w:val="superscript"/>
        </w:rPr>
        <w:t xml:space="preserve">6</w:t>
      </w:r>
      <w:r>
        <w:t xml:space="preserve"> A particular life is remembered within a language that extends beyond what can be established about that life from public records.</w:t>
      </w:r>
    </w:p>
    <w:p>
      <w:pPr>
        <w:widowControl/>
        <w:spacing w:after="40" w:line="320"/>
        <w:ind w:firstLine="260"/>
      </w:pPr>
      <w:r>
        <w:t xml:space="preserve">That distinction matters when writing about the dead. A service may tell us how a community marked a death. It does not give an author unrestricted access to the convictions of the person who died. Nor does attendance authorise us to speak for everyone present. I want the same care for the people named in my family history. The place they occupy in my life cannot make every meaning I attach to them their own.</w:t>
      </w:r>
    </w:p>
    <w:p>
      <w:pPr>
        <w:widowControl/>
        <w:spacing w:after="40" w:line="320"/>
        <w:ind w:firstLine="260"/>
      </w:pPr>
      <w:r>
        <w:t xml:space="preserve">A single account of uninterrupted withdrawal would miss these differences.</w:t>
      </w:r>
    </w:p>
    <w:p>
      <w:pPr>
        <w:widowControl/>
        <w:spacing w:after="40" w:line="320"/>
        <w:ind w:firstLine="260"/>
      </w:pPr>
      <w:r>
        <w:t xml:space="preserve">There is another reason to resist that simplification. The rites have content. Adults are addressed with duties; a young person is prayed for; the dead are remembered in a Christian service. The totals say little about that content. To ask whether something is carried from one generation to another, we need to know what people were offered as well as whether they attended. We then need an account of what they made of it.</w:t>
      </w:r>
    </w:p>
    <w:p>
      <w:pPr>
        <w:widowControl/>
        <w:spacing w:after="40" w:line="320"/>
        <w:ind w:firstLine="260"/>
      </w:pPr>
      <w:r>
        <w:t xml:space="preserve">My concern for our family's Jewish identity begins with particular people and what can be known about them. The Christian rites around us in Norway form part of the country's public religious life. I can examine that setting without requiring it to contain the whole of our inheritance. Our family history has its own names and relationships to recover, and responsibilities that follow from learning them. Their place in our children's lives will require an account more particular than a national participation rate.</w:t>
      </w:r>
    </w:p>
    <w:p>
      <w:pPr>
        <w:widowControl/>
        <w:spacing w:after="40" w:line="320"/>
        <w:ind w:firstLine="260"/>
      </w:pPr>
      <w:r>
        <w:t xml:space="preserve">The baptismal charge to adults makes the next question unavoidable. A public rite can name a duty that has to be lived elsewhere. What happens when we move from the church's record to the households in which children actually grow up? Before judging what those households carry, we need to describe how they have changed.</w:t>
      </w:r>
    </w:p>
    <w:p>
      <w:pPr>
        <w:pStyle w:val="Heading2"/>
        <w:keepNext/>
        <w:pageBreakBefore/>
        <w:spacing w:after="400" w:before="0"/>
      </w:pPr>
      <w:bookmarkStart w:name="kap-15" w:id="1"/>
      <w:r>
        <w:t xml:space="preserve">15. Households in Motion</w:t>
      </w:r>
      <w:bookmarkEnd w:id="1"/>
    </w:p>
    <w:p>
      <w:pPr>
        <w:widowControl/>
        <w:spacing w:after="40" w:line="320"/>
        <w:ind w:firstLine="0"/>
      </w:pPr>
      <w:r>
        <w:t xml:space="preserve">At the beginning of 2025, a larger share of Norwegian families with children had all their children living with both parents than ten years earlier. The share was 70.8 per cent, compared with 67.4 per cent in 2015.</w:t>
      </w:r>
      <w:r>
        <w:rPr>
          <w:vertAlign w:val="superscript"/>
        </w:rPr>
        <w:t xml:space="preserve">1</w:t>
      </w:r>
      <w:r>
        <w:t xml:space="preserve"> Anyone proposing a simple account of the family coming apart has to make room for that finding. I have to make room for it too.</w:t>
      </w:r>
    </w:p>
    <w:p>
      <w:pPr>
        <w:widowControl/>
        <w:spacing w:after="40" w:line="320"/>
        <w:ind w:firstLine="260"/>
      </w:pPr>
      <w:r>
        <w:t xml:space="preserve">The unit counted is a family with children under eighteen; families can differ in size. This is therefore not a percentage of children or of all Norwegian households.</w:t>
      </w:r>
      <w:r>
        <w:rPr>
          <w:vertAlign w:val="superscript"/>
        </w:rPr>
        <w:t xml:space="preserve">1</w:t>
      </w:r>
    </w:p>
    <w:p>
      <w:pPr>
        <w:widowControl/>
        <w:spacing w:after="40" w:line="320"/>
        <w:ind w:firstLine="260"/>
      </w:pPr>
      <w:r>
        <w:t xml:space="preserve">There is a temptation to receive a number like this as a verdict. If the arrangement is valued, its increase can be made to stand for everything one hopes it provides. If a national decline is expected, the finding can be dismissed as superficial. Either response gets ahead of the evidence. Sharing a registered home with both parents tells us something about a child's circumstances. It leaves open the conduct of the people in that home.</w:t>
      </w:r>
    </w:p>
    <w:p>
      <w:pPr>
        <w:widowControl/>
        <w:spacing w:after="40" w:line="320"/>
        <w:ind w:firstLine="260"/>
      </w:pPr>
      <w:r>
        <w:t xml:space="preserve">The other family categories moved as well. Families with one parent represented 19.5 per cent of families with children in 2025, down from 20.2 per cent in 2015. Families including children from an earlier relationship fell from 12.3 to 9.7 per cent.</w:t>
      </w:r>
      <w:r>
        <w:rPr>
          <w:vertAlign w:val="superscript"/>
        </w:rPr>
        <w:t xml:space="preserve">1</w:t>
      </w:r>
      <w:r>
        <w:t xml:space="preserve"> These changes complicate the picture without explaining their own causes. They are descriptions of the families counted at two dates, rather than a history of every family between them.</w:t>
      </w:r>
    </w:p>
    <w:p>
      <w:pPr>
        <w:widowControl/>
        <w:spacing w:after="40" w:line="320"/>
        <w:ind w:firstLine="260"/>
      </w:pPr>
      <w:r>
        <w:t xml:space="preserve">Marriage introduces a further distinction. A child can live with both parents when those parents are married or when they are cohabiting. At the beginning of 2025, the register-based count placed about 51.3 per cent of children aged zero to seventeen with their married parents and 26.1 per cent with cohabiting parents. Together these groups made up about 77.4 per cent of the children counted.</w:t>
      </w:r>
      <w:r>
        <w:rPr>
          <w:vertAlign w:val="superscript"/>
        </w:rPr>
        <w:t xml:space="preserve">2</w:t>
      </w:r>
      <w:r>
        <w:t xml:space="preserve"> The family percentage at the start of this chapter and this child percentage answer different questions.</w:t>
      </w:r>
    </w:p>
    <w:p>
      <w:pPr>
        <w:widowControl/>
        <w:spacing w:after="40" w:line="320"/>
        <w:ind w:firstLine="260"/>
      </w:pPr>
      <w:r>
        <w:t xml:space="preserve">This is where a familiar phrase can become misleading. Birth outside marriage does not, by itself, describe birth into a home with only one parent. In 2025, more than half of live births were assigned to the mother's cohabiting category. Of 55,401 live births, 29,562 fell into that category, compared with 20,981 in the married category and 4,858 in the single category. The calculated shares are 53.4, 37.9 and 8.8 per cent respectively.</w:t>
      </w:r>
      <w:r>
        <w:rPr>
          <w:vertAlign w:val="superscript"/>
        </w:rPr>
        <w:t xml:space="preserve">3</w:t>
      </w:r>
    </w:p>
    <w:p>
      <w:pPr>
        <w:widowControl/>
        <w:spacing w:after="40" w:line="320"/>
        <w:ind w:firstLine="260"/>
      </w:pPr>
      <w:r>
        <w:t xml:space="preserve">The categories need to be read in the sense in which they were produced. The cohabiting classification uses the parents' shared address, allowing for a move to the same address shortly after the birth. The category called single can include a mother living with a partner who is not the child's father.</w:t>
      </w:r>
      <w:r>
        <w:rPr>
          <w:vertAlign w:val="superscript"/>
        </w:rPr>
        <w:t xml:space="preserve">3</w:t>
      </w:r>
      <w:r>
        <w:t xml:space="preserve"> Translating that last category into a claim that no other adult is present would describe something the count has not established.</w:t>
      </w:r>
    </w:p>
    <w:p>
      <w:pPr>
        <w:widowControl/>
        <w:spacing w:after="40" w:line="320"/>
        <w:ind w:firstLine="260"/>
      </w:pPr>
      <w:r>
        <w:t xml:space="preserve">That precision leaves room for convictions about marriage. I do not have to give up my Christian commitments to acknowledge cohabiting parents in a description of Norway. I do have to refrain from erasing their shared home in order to make an argument easier. The meaning of marriage requires its own argument. A classification at a birth cannot supply it.</w:t>
      </w:r>
    </w:p>
    <w:p>
      <w:pPr>
        <w:widowControl/>
        <w:spacing w:after="40" w:line="320"/>
        <w:ind w:firstLine="260"/>
      </w:pPr>
      <w:r>
        <w:t xml:space="preserve">Marriage itself has not ceased to be chosen. Statistics Norway's headline count rose from 21,136 marriages in 2024 to 21,574 in 2025, an increase of 438. The same annual table recorded increases in divorces and separations.</w:t>
      </w:r>
      <w:r>
        <w:rPr>
          <w:vertAlign w:val="superscript"/>
        </w:rPr>
        <w:t xml:space="preserve">4</w:t>
      </w:r>
      <w:r>
        <w:t xml:space="preserve"> More beginnings and more endings can appear in the same year's record. The events concern different stages in relationships.</w:t>
      </w:r>
    </w:p>
    <w:p>
      <w:pPr>
        <w:widowControl/>
        <w:spacing w:after="40" w:line="320"/>
        <w:ind w:firstLine="260"/>
      </w:pPr>
      <w:r>
        <w:t xml:space="preserve">Dividing that year's divorces by that year's marriages would not tell us the chance that a newly married couple will divorce. The couples entering marriage in one year are not the same group whose marriages end in that year. A life-course question requires evidence that follows the appropriate lives or models their risks. An annual tally can be useful without answering it.</w:t>
      </w:r>
    </w:p>
    <w:p>
      <w:pPr>
        <w:widowControl/>
        <w:spacing w:after="40" w:line="320"/>
        <w:ind w:firstLine="260"/>
      </w:pPr>
      <w:r>
        <w:t>The number of births moved as well. Statistics Norway counted about 55,400 live births in 2025, roughly 1,400 more than in 2024, and the total fertility rate rose to 1.48 children per woman from 1.44 the year before, the third annual rise in a row. The agency adds that the rate remains low in a historical perspective. These are a count of births and a period rate for the whole country; they describe no household and settle nothing about inheritance.</w:t>
      </w:r>
      <w:r>
        <w:rPr>
          <w:vertAlign w:val="superscript"/>
        </w:rPr>
        <w:t>5</w:t>
      </w:r>
    </w:p>
    <w:p>
      <w:pPr>
        <w:widowControl/>
        <w:spacing w:after="40" w:line="320"/>
        <w:ind w:firstLine="260"/>
      </w:pPr>
      <w:r>
        <w:t xml:space="preserve">The family tree adds another reason to be careful with the word family. I am tracing people across generations, including people who never lived in the same household. An address-based statistical family has a narrower purpose. Its boundaries help describe who is registered together at a given time. They cannot contain the whole relationship between an ancestor and a descendant, or between relatives living in different places.</w:t>
      </w:r>
    </w:p>
    <w:p>
      <w:pPr>
        <w:widowControl/>
        <w:spacing w:after="40" w:line="320"/>
        <w:ind w:firstLine="260"/>
      </w:pPr>
      <w:r>
        <w:t xml:space="preserve">That is relevant to the Jewish history I want this book to give the Solbak Årnes family. The work depends on names and relationships that extend beyond the household in which any of us happens to live. The statistical category is not being asked to recognise all of that history. It is being asked to describe a living arrangement. I would lose information by treating either account as sufficient for the other's purpose.</w:t>
      </w:r>
    </w:p>
    <w:p>
      <w:pPr>
        <w:widowControl/>
        <w:spacing w:after="40" w:line="320"/>
        <w:ind w:firstLine="260"/>
      </w:pPr>
      <w:r>
        <w:t xml:space="preserve">Registered residence also has limits within the present. The figures do not provide a diary of a child's movements between homes. They do not tell us how contact with a parent living elsewhere is maintained, or what that parent undertakes. Statistics Norway's definitions and methods distinguish its register-based account from accounts of actual residence.</w:t>
      </w:r>
      <w:r>
        <w:rPr>
          <w:vertAlign w:val="superscript"/>
        </w:rPr>
        <w:t xml:space="preserve">2</w:t>
      </w:r>
      <w:r>
        <w:t xml:space="preserve"> A parent outside the registered household cannot simply be pronounced absent from the child's life.</w:t>
      </w:r>
    </w:p>
    <w:p>
      <w:pPr>
        <w:widowControl/>
        <w:spacing w:after="40" w:line="320"/>
        <w:ind w:firstLine="260"/>
      </w:pPr>
      <w:r>
        <w:t xml:space="preserve">The same restraint applies inside the home. A shared address is not a record of the way adults speak to a child. It cannot settle whether a particular house is safe, whether a promise is kept, or whether someone teaches what they hope will survive them. Those are serious questions precisely because the people involved have to answer them through their conduct. No arrangement relieves them of that responsibility.</w:t>
      </w:r>
    </w:p>
    <w:p>
      <w:pPr>
        <w:widowControl/>
        <w:spacing w:after="40" w:line="320"/>
        <w:ind w:firstLine="260"/>
      </w:pPr>
      <w:r>
        <w:t xml:space="preserve">The book's concern with inheritance remains. It has become more particular. Once the household is described, there is still the question of what the adults do there. A claim that fathers have withdrawn, for instance, ought to meet evidence about how they spend their time. The next part of the record brings us closer to their days.</w:t>
      </w:r>
    </w:p>
    <w:p>
      <w:pPr>
        <w:pStyle w:val="Heading2"/>
        <w:keepNext/>
        <w:pageBreakBefore/>
        <w:spacing w:after="400" w:before="0"/>
      </w:pPr>
      <w:bookmarkStart w:name="kap-16" w:id="1"/>
      <w:r>
        <w:t xml:space="preserve">16. Fathers Came Home</w:t>
      </w:r>
      <w:bookmarkEnd w:id="1"/>
    </w:p>
    <w:p>
      <w:pPr>
        <w:widowControl/>
        <w:spacing w:after="40" w:line="320"/>
        <w:ind w:firstLine="0"/>
      </w:pPr>
      <w:r>
        <w:t>In Statistics Norway's time-use surveys, between 2000 and 2010, married and cohabiting fathers whose youngest child was under seven increased the time they recorded as household work. The daily average rose from three hours and thirty-seven minutes to four hours and thirty-one minutes. Recorded income-producing work, including work travel and breaks, fell from five hours and thirty-seven minutes to four hours and forty-five minutes.</w:t>
      </w:r>
      <w:r>
        <w:rPr>
          <w:vertAlign w:val="superscript"/>
        </w:rPr>
        <w:t xml:space="preserve">1</w:t>
      </w:r>
      <w:r>
        <w:t xml:space="preserve"> The longer series points the same way: fathers with children under fifteen recorded three hours and fifty minutes of household work a day in 2010, one hour and twenty minutes more than at the start of the 1970s, with most of the increase in the final decade. A story in which fathers simply withdrew from the work of family life does not fit this part of the record.</w:t>
      </w:r>
    </w:p>
    <w:p>
      <w:pPr>
        <w:widowControl/>
        <w:spacing w:after="40" w:line="320"/>
        <w:ind w:firstLine="260"/>
      </w:pPr>
      <w:r>
        <w:t xml:space="preserve">The change included ordinary chores. Housework rose from fifty-three to sixty-six minutes per average day, while childcare recorded as the main activity rose from seventy-three to ninety-two minutes.</w:t>
      </w:r>
      <w:r>
        <w:rPr>
          <w:vertAlign w:val="superscript"/>
        </w:rPr>
        <w:t xml:space="preserve">1</w:t>
      </w:r>
      <w:r>
        <w:t xml:space="preserve"> These are group averages across the year, rather than a timetable that every father followed.</w:t>
      </w:r>
    </w:p>
    <w:p>
      <w:pPr>
        <w:widowControl/>
        <w:spacing w:after="40" w:line="320"/>
        <w:ind w:firstLine="260"/>
      </w:pPr>
      <w:r>
        <w:t xml:space="preserve">Before asking what a father's absence might cost, I have to recognise the work recorded here. These fathers, in this comparison, were putting more of their time into household work. An argument about inheritance that cannot acknowledge that finding has begun to protect itself from the people it claims to describe.</w:t>
      </w:r>
    </w:p>
    <w:p>
      <w:pPr>
        <w:widowControl/>
        <w:spacing w:after="40" w:line="320"/>
        <w:ind w:firstLine="260"/>
      </w:pPr>
      <w:r>
        <w:t xml:space="preserve">The question of work also concerns the terms in which a father is recognised. An account that notices him only when he gives advice or speaks about the family's past leaves much of an ordinary day unexamined. Tasks still have to be completed when nothing memorable is said. I do not want to make a man's practical contribution disappear because it is difficult to turn into a story.</w:t>
      </w:r>
    </w:p>
    <w:p>
      <w:pPr>
        <w:widowControl/>
        <w:spacing w:after="40" w:line="320"/>
        <w:ind w:firstLine="260"/>
      </w:pPr>
      <w:r>
        <w:t xml:space="preserve">The more recent survey provides a different view. In the 2022 results, fathers in couples with a youngest child aged zero to six recorded less income-producing work than those with a youngest child aged seven to nineteen: four hours and twenty-two minutes against five hours and fifteen minutes per average day. On working days, the younger-child group's average was seven hours and forty-six minutes.</w:t>
      </w:r>
      <w:r>
        <w:rPr>
          <w:vertAlign w:val="superscript"/>
        </w:rPr>
        <w:t xml:space="preserve">2</w:t>
      </w:r>
      <w:r>
        <w:t xml:space="preserve"> Unlike the working-day figure, the averages across all days include weekends and holidays.</w:t>
      </w:r>
    </w:p>
    <w:p>
      <w:pPr>
        <w:widowControl/>
        <w:spacing w:after="40" w:line="320"/>
        <w:ind w:firstLine="260"/>
      </w:pPr>
      <w:r>
        <w:t xml:space="preserve">Here the comparison is between groups in the same survey. It does not follow the same men as their children grow older. The figures describe a difference associated with family stage. They do not tell us whether an individual father chose his hours or had them determined by circumstances.</w:t>
      </w:r>
    </w:p>
    <w:p>
      <w:pPr>
        <w:widowControl/>
        <w:spacing w:after="40" w:line="320"/>
        <w:ind w:firstLine="260"/>
      </w:pPr>
      <w:r>
        <w:t xml:space="preserve">The survey itself asks for an account of time. In the collection labelled 2022, participants recorded two days through an online application. In intervals as short as ten minutes, they recorded what they were doing, including concurrent activities, where they were and who was with them. Collection ran from October 2022 into October 2023. Earlier surveys used paper diaries, and Statistics Norway warns that the change in method can influence the answers.</w:t>
      </w:r>
      <w:r>
        <w:rPr>
          <w:vertAlign w:val="superscript"/>
        </w:rPr>
        <w:t xml:space="preserve">3</w:t>
      </w:r>
      <w:r>
        <w:t xml:space="preserve"> The recorded days are classified into group statistics.</w:t>
      </w:r>
    </w:p>
    <w:p>
      <w:pPr>
        <w:widowControl/>
        <w:spacing w:after="40" w:line="320"/>
        <w:ind w:firstLine="260"/>
      </w:pPr>
      <w:r>
        <w:t xml:space="preserve">A further distinction concerns what it means to be caring for a child. A separate 2022 analysis of fathers aged twenty-five to sixty-six, with a youngest child aged fifteen or younger, reported ninety minutes of care per average day. That measure includes both care entered as the main activity and care alongside another activity.</w:t>
      </w:r>
      <w:r>
        <w:rPr>
          <w:vertAlign w:val="superscript"/>
        </w:rPr>
        <w:t xml:space="preserve">4</w:t>
      </w:r>
      <w:r>
        <w:t xml:space="preserve"> It cannot be placed directly after the older ninety-two-minute figure to show a two-minute decline. The activity definition and the children's age range have both changed.</w:t>
      </w:r>
    </w:p>
    <w:p>
      <w:pPr>
        <w:widowControl/>
        <w:spacing w:after="40" w:line="320"/>
        <w:ind w:firstLine="260"/>
      </w:pPr>
      <w:r>
        <w:t xml:space="preserve">Care alongside another task is relevant to the question I am asking. An adult can have a responsibility that continues while something else is being done. A diary has to decide how to record that overlap; a child lives within it. This is one reason that counting activity is useful and difficult. The category chosen affects what becomes visible in the result.</w:t>
      </w:r>
    </w:p>
    <w:p>
      <w:pPr>
        <w:widowControl/>
        <w:spacing w:after="40" w:line="320"/>
        <w:ind w:firstLine="260"/>
      </w:pPr>
      <w:r>
        <w:t xml:space="preserve">The more recent record does not support an unbroken rise in every kind of men's work at home. Across all men aged sixteen to seventy-four, ordinary housework averaged fifty-two minutes a day in 2022. Statistics Norway describes a fall since the previous survey, after the earlier increase.</w:t>
      </w:r>
      <w:r>
        <w:rPr>
          <w:vertAlign w:val="superscript"/>
        </w:rPr>
        <w:t xml:space="preserve">5</w:t>
      </w:r>
      <w:r>
        <w:t xml:space="preserve"> That is a broader population than the fathers with young children in the opening comparison. It belongs beside that comparison, with its own date and population attached.</w:t>
      </w:r>
    </w:p>
    <w:p>
      <w:pPr>
        <w:widowControl/>
        <w:spacing w:after="40" w:line="320"/>
        <w:ind w:firstLine="260"/>
      </w:pPr>
      <w:r>
        <w:t xml:space="preserve">Nor do the group averages allow us to divide a particular couple's work between them. The analysis of people in couples explains that it did not collect both partners' time within each couple. It therefore cannot report the division inside a given household.</w:t>
      </w:r>
      <w:r>
        <w:rPr>
          <w:vertAlign w:val="superscript"/>
        </w:rPr>
        <w:t xml:space="preserve">2</w:t>
      </w:r>
      <w:r>
        <w:t xml:space="preserve"> Across the whole population, Statistics Norway's series from 1971 to 2010 shows women's household work falling by two hours and five minutes a day and men's rising by forty-seven minutes; women still did more. A national difference between men and women is not a completed account of the marriage next door.</w:t>
      </w:r>
    </w:p>
    <w:p>
      <w:pPr>
        <w:widowControl/>
        <w:spacing w:after="40" w:line="320"/>
        <w:ind w:firstLine="260"/>
      </w:pPr>
      <w:r>
        <w:t xml:space="preserve">I can acknowledge a father's contribution without declaring the remaining questions answered. Time spent on a task does not tell me how patiently it was done. A record of care does not contain everything said to a child. The work may create occasions for teaching, or may be occupied by other demands. Its duration cannot establish which memories or convictions are being passed on.</w:t>
      </w:r>
    </w:p>
    <w:p>
      <w:pPr>
        <w:widowControl/>
        <w:spacing w:after="40" w:line="320"/>
        <w:ind w:firstLine="260"/>
      </w:pPr>
      <w:r>
        <w:t xml:space="preserve">Those limits do not make the work trivial. Someone still undertakes it. If I want the Jewish history of my family to be known, I need to attend to the people living now as well as to those named in the records. Their existing work and commitments form the conditions in which another responsibility is taken up. Family history will have to find a place within their actual days.</w:t>
      </w:r>
    </w:p>
    <w:p>
      <w:pPr>
        <w:widowControl/>
        <w:spacing w:after="40" w:line="320"/>
        <w:ind w:firstLine="260"/>
      </w:pPr>
      <w:r>
        <w:t xml:space="preserve">I cannot begin with a picture of Norwegian fathers steadily abandoning the household and ask only how to bring them back. The question that remains is what people carry through the time they already give, and what help or understanding that task may require.</w:t>
      </w:r>
    </w:p>
    <w:p>
      <w:pPr>
        <w:widowControl/>
        <w:spacing w:after="40" w:line="320"/>
        <w:ind w:firstLine="260"/>
      </w:pPr>
      <w:r>
        <w:t xml:space="preserve">The child's day reaches beyond the time recorded by either parent. To describe the present arrangement properly, we have to look at the institutions in which children spend part of that day. The next question concerns kindergarten and the place it occupies alongside the home.</w:t>
      </w:r>
    </w:p>
    <w:p>
      <w:pPr>
        <w:pStyle w:val="Heading2"/>
        <w:keepNext/>
        <w:pageBreakBefore/>
        <w:spacing w:after="400" w:before="0"/>
      </w:pPr>
      <w:bookmarkStart w:name="kap-17" w:id="1"/>
      <w:r>
        <w:t xml:space="preserve">17. The Child's Day</w:t>
      </w:r>
      <w:bookmarkEnd w:id="1"/>
    </w:p>
    <w:p>
      <w:pPr>
        <w:widowControl/>
        <w:spacing w:after="40" w:line="320"/>
        <w:ind w:firstLine="0"/>
      </w:pPr>
      <w:r>
        <w:t xml:space="preserve">The question of where a child spends the day sounds as though it should have an answer in hours. The first national figure answers a different question: whether the child has a kindergarten place.</w:t>
      </w:r>
    </w:p>
    <w:p>
      <w:pPr>
        <w:widowControl/>
        <w:spacing w:after="40" w:line="320"/>
        <w:ind w:firstLine="260"/>
      </w:pPr>
      <w:r>
        <w:t xml:space="preserve">At the end of 2025, 94.5 per cent of children aged one to five in Norway were enrolled. Among three- to five-year-olds, the share was 97.5 per cent; among one- and two-year-olds, 89.7 per cent. These are Statistics Norway's figures for places held or paid for on 15 December, with age measured at the year's end.</w:t>
      </w:r>
      <w:r>
        <w:rPr>
          <w:vertAlign w:val="superscript"/>
        </w:rPr>
        <w:t xml:space="preserve">1</w:t>
      </w:r>
      <w:r>
        <w:t xml:space="preserve"> Kindergarten is part of the arrangement for almost every child in the older group.</w:t>
      </w:r>
    </w:p>
    <w:p>
      <w:pPr>
        <w:widowControl/>
        <w:spacing w:after="40" w:line="320"/>
        <w:ind w:firstLine="260"/>
      </w:pPr>
      <w:r>
        <w:t xml:space="preserve">That arrangement was already widespread a decade earlier. In 2015, enrolment among three- to five-year-olds was 96.6 per cent. The larger change was among one- and two-year-olds, whose share rose from 80.7 to 89.7 per cent. Across the whole one-to-five group, the increase was from 90.4 to 94.5 per cent.</w:t>
      </w:r>
      <w:r>
        <w:rPr>
          <w:vertAlign w:val="superscript"/>
        </w:rPr>
        <w:t xml:space="preserve">2</w:t>
      </w:r>
      <w:r>
        <w:t xml:space="preserve"> A story of sudden institutional entry would miss how established kindergarten already was for the older children.</w:t>
      </w:r>
    </w:p>
    <w:p>
      <w:pPr>
        <w:widowControl/>
        <w:spacing w:after="40" w:line="320"/>
        <w:ind w:firstLine="260"/>
      </w:pPr>
      <w:r>
        <w:t xml:space="preserve">A place can be available for longer than a child uses it. The distinction matters whenever the length of a working day is used to imagine the length of childhood spent elsewhere.</w:t>
      </w:r>
    </w:p>
    <w:p>
      <w:pPr>
        <w:widowControl/>
        <w:spacing w:after="40" w:line="320"/>
        <w:ind w:firstLine="260"/>
      </w:pPr>
      <w:r>
        <w:t xml:space="preserve">In Statistics Norway's survey of childcare arrangements in spring 2023, 80 per cent of kindergarten children aged one to five had a contracted place of at least forty-one hours a week. The share whose reported use reached that threshold was 22 per cent. Another 52 per cent were in the twenty-five-to-forty-hour category, and 26 per cent below twenty-five hours.</w:t>
      </w:r>
      <w:r>
        <w:rPr>
          <w:vertAlign w:val="superscript"/>
        </w:rPr>
        <w:t xml:space="preserve">3</w:t>
      </w:r>
    </w:p>
    <w:p>
      <w:pPr>
        <w:widowControl/>
        <w:spacing w:after="40" w:line="320"/>
        <w:ind w:firstLine="260"/>
      </w:pPr>
      <w:r>
        <w:t xml:space="preserve">Reported use was calculated from parents' accounts of usual drop-off and collection times, allowing for days attended. It was not timed by an observer. Some responses lacked the information needed for that calculation, so the two tables do not have identical numbers of observations.</w:t>
      </w:r>
      <w:r>
        <w:rPr>
          <w:vertAlign w:val="superscript"/>
        </w:rPr>
        <w:t xml:space="preserve">3</w:t>
      </w:r>
      <w:r>
        <w:t xml:space="preserve"> These results describe spring 2023, rather than providing the hours behind the 2025 enrolment rate.</w:t>
      </w:r>
    </w:p>
    <w:p>
      <w:pPr>
        <w:widowControl/>
        <w:spacing w:after="40" w:line="320"/>
        <w:ind w:firstLine="260"/>
      </w:pPr>
      <w:r>
        <w:t xml:space="preserve">I cannot subtract a contracted place from a child's week and name the remainder family life. Nor can I put every hour outside kindergarten into a parent's hands. An account of the child's day would have to follow the child beyond those tables. Sleep belongs in it. So do journeys and any care provided by other people. The available figures do not complete that account.</w:t>
      </w:r>
    </w:p>
    <w:p>
      <w:pPr>
        <w:widowControl/>
        <w:spacing w:after="40" w:line="320"/>
        <w:ind w:firstLine="260"/>
      </w:pPr>
      <w:r>
        <w:t xml:space="preserve">This changes the question I can reasonably put to the adults. If a child is away for part of the day, which responsibilities travel with the child, which remain with the family, and which require people in both places to speak to one another? The answer has to concern the particular responsibility. Providing care while a parent works is one task. Knowing why a family remembers a particular name is another.</w:t>
      </w:r>
    </w:p>
    <w:p>
      <w:pPr>
        <w:widowControl/>
        <w:spacing w:after="40" w:line="320"/>
        <w:ind w:firstLine="260"/>
      </w:pPr>
      <w:r>
        <w:t xml:space="preserve">The history I want the Solbak Årnes family to know cannot be delivered merely by finding a suitable number of hours. A conversation needs someone who can answer, and a document needs someone willing to explain why it has been kept. Those are responsibilities I am taking on in writing this book. A timetable cannot show whether the next generation has learnt that history.</w:t>
      </w:r>
    </w:p>
    <w:p>
      <w:pPr>
        <w:widowControl/>
        <w:spacing w:after="40" w:line="320"/>
        <w:ind w:firstLine="260"/>
      </w:pPr>
      <w:r>
        <w:t xml:space="preserve">There is a temptation here to make every available moment carry a lesson. I would resist that demand. A child is allowed an ordinary day. Family history should not turn every meal or journey into an examination of belonging. The task is to make the history available, accurate and speakable, without treating a child's immediate interest as a test of loyalty.</w:t>
      </w:r>
    </w:p>
    <w:p>
      <w:pPr>
        <w:widowControl/>
        <w:spacing w:after="40" w:line="320"/>
        <w:ind w:firstLine="260"/>
      </w:pPr>
      <w:r>
        <w:t xml:space="preserve">I also want to avoid imagining everyone outside the family as a competitor for the child's attention. The categories in an administrative table can encourage that picture: home on one side, institution on the other. Even ownership is more varied than the word </w:t>
      </w:r>
      <w:r>
        <w:rPr>
          <w:i/>
          <w:iCs/>
        </w:rPr>
        <w:t xml:space="preserve">state</w:t>
      </w:r>
      <w:r>
        <w:t xml:space="preserve"> suggests. The 2025 statistics cover both public and private kindergartens; there were 2,519 of the former and 2,595 of the latter.</w:t>
      </w:r>
      <w:r>
        <w:rPr>
          <w:vertAlign w:val="superscript"/>
        </w:rPr>
        <w:t xml:space="preserve">1</w:t>
      </w:r>
      <w:r>
        <w:t xml:space="preserve"> Those counts do not divide children's loyalties.</w:t>
      </w:r>
    </w:p>
    <w:p>
      <w:pPr>
        <w:widowControl/>
        <w:spacing w:after="40" w:line="320"/>
        <w:ind w:firstLine="260"/>
      </w:pPr>
      <w:r>
        <w:t xml:space="preserve">A teacher's knowledge and a relative's knowledge need not cancel one another. If a child learns something about Jewish history outside the home, I want the family to be able to continue the conversation. If the family provides a name or a story, I want it to be possible for that knowledge to enter the child's wider education. These are purposes I can state. Whether they are realised requires evidence from the people and settings involved.</w:t>
      </w:r>
    </w:p>
    <w:p>
      <w:pPr>
        <w:widowControl/>
        <w:spacing w:after="40" w:line="320"/>
        <w:ind w:firstLine="260"/>
      </w:pPr>
      <w:r>
        <w:t xml:space="preserve">The figures leave room for quite different experiences. Two children recorded in the same hours category may receive different care. The same period at home may contain patient attention or very little conversation. Counting neither excuses adults from their responsibilities nor supplies a verdict on how they have met them.</w:t>
      </w:r>
    </w:p>
    <w:p>
      <w:pPr>
        <w:widowControl/>
        <w:spacing w:after="40" w:line="320"/>
        <w:ind w:firstLine="260"/>
      </w:pPr>
      <w:r>
        <w:t xml:space="preserve">The family remains responsible for deciding what it means to pass something on within the life it has. The institutions alongside it also have declared purposes. Those purposes deserve to be read before the institutions are accused of taking the family's place.</w:t>
      </w:r>
    </w:p>
    <w:p>
      <w:pPr>
        <w:pStyle w:val="Heading2"/>
        <w:keepNext/>
        <w:pageBreakBefore/>
        <w:spacing w:after="400" w:before="0"/>
      </w:pPr>
      <w:bookmarkStart w:name="kap-18" w:id="1"/>
      <w:r>
        <w:t xml:space="preserve">18. The State Beside the Family</w:t>
      </w:r>
      <w:bookmarkEnd w:id="1"/>
    </w:p>
    <w:p>
      <w:pPr>
        <w:widowControl/>
        <w:spacing w:after="40" w:line="320"/>
        <w:ind w:firstLine="0"/>
      </w:pPr>
      <w:r>
        <w:t xml:space="preserve">Jews are named in Norway's kindergarten framework. In the section on the local community and society, they appear among the country's national minorities, about whom children are to acquire some knowledge.</w:t>
      </w:r>
      <w:r>
        <w:rPr>
          <w:vertAlign w:val="superscript"/>
        </w:rPr>
        <w:t xml:space="preserve">1</w:t>
      </w:r>
      <w:r>
        <w:t xml:space="preserve"> That word belongs in an account of Norwegian childhood.</w:t>
      </w:r>
    </w:p>
    <w:p>
      <w:pPr>
        <w:widowControl/>
        <w:spacing w:after="40" w:line="320"/>
        <w:ind w:firstLine="260"/>
      </w:pPr>
      <w:r>
        <w:t xml:space="preserve">It appears again in the school's core curriculum. The section on identity and cultural diversity names Jews among five national minorities with a long connection to Norway. It says that these groups have helped shape Norwegian cultural heritage and that education is to provide knowledge about them.</w:t>
      </w:r>
      <w:r>
        <w:rPr>
          <w:vertAlign w:val="superscript"/>
        </w:rPr>
        <w:t xml:space="preserve">2</w:t>
      </w:r>
      <w:r>
        <w:t xml:space="preserve"> The framework does not put Jewish history outside the country's story.</w:t>
      </w:r>
    </w:p>
    <w:p>
      <w:pPr>
        <w:widowControl/>
        <w:spacing w:after="40" w:line="320"/>
        <w:ind w:firstLine="260"/>
      </w:pPr>
      <w:r>
        <w:t xml:space="preserve">For this book, that creates a practical opening. I want our family's Jewish history to be known within a Norwegian life. The public purposes stated here give a family something specific to ask of education. They also give a school grounds for teaching that history to children whose own families are not Jewish. Knowledge of a minority need not depend on a child from that minority being present to request it.</w:t>
      </w:r>
    </w:p>
    <w:p>
      <w:pPr>
        <w:widowControl/>
        <w:spacing w:after="40" w:line="320"/>
        <w:ind w:firstLine="260"/>
      </w:pPr>
      <w:r>
        <w:t xml:space="preserve">That last distinction matters to me. I do not want a child in the Solbak Årnes family to bear the task of explaining an entire people. The adults who write curricula and teach classes have responsibilities of their own. Our family can tell its history without being made to speak for every Jewish life or view.</w:t>
      </w:r>
    </w:p>
    <w:p>
      <w:pPr>
        <w:widowControl/>
        <w:spacing w:after="40" w:line="320"/>
        <w:ind w:firstLine="260"/>
      </w:pPr>
      <w:r>
        <w:t xml:space="preserve">These are present-day texts. I read them in September 2026. The kindergarten framework dates from 2017; the Directorate for Education and Training's current introduction to the school's core curriculum identifies a royal resolution of 22 May 2026.</w:t>
      </w:r>
      <w:r>
        <w:rPr>
          <w:vertAlign w:val="superscript"/>
        </w:rPr>
        <w:t xml:space="preserve">3</w:t>
      </w:r>
      <w:r>
        <w:t xml:space="preserve"> I cannot use either text to reconstruct what an individual teacher taught during my childhood. Their value here is to show what the institutions now say they are for.</w:t>
      </w:r>
    </w:p>
    <w:p>
      <w:pPr>
        <w:widowControl/>
        <w:spacing w:after="40" w:line="320"/>
        <w:ind w:firstLine="260"/>
      </w:pPr>
      <w:r>
        <w:t xml:space="preserve">The Kindergarten Act begins with a duty to work with the home. Care and play sit alongside learning and </w:t>
      </w:r>
      <w:r>
        <w:rPr>
          <w:i/>
          <w:iCs/>
        </w:rPr>
        <w:t xml:space="preserve">danning</w:t>
      </w:r>
      <w:r>
        <w:t xml:space="preserve">, the formation and development of the person. Its account of values names Christian and humanist inheritance, while also describing those values as expressed in different religions and worldviews and grounded in human rights.</w:t>
      </w:r>
      <w:r>
        <w:rPr>
          <w:vertAlign w:val="superscript"/>
        </w:rPr>
        <w:t xml:space="preserve">4</w:t>
      </w:r>
      <w:r>
        <w:t xml:space="preserve"> It is a statement of commitments, with implications for how adults should treat children.</w:t>
      </w:r>
    </w:p>
    <w:p>
      <w:pPr>
        <w:widowControl/>
        <w:spacing w:after="40" w:line="320"/>
        <w:ind w:firstLine="260"/>
      </w:pPr>
      <w:r>
        <w:t xml:space="preserve">Calling kindergarten a service is therefore accurate but incomplete. There is care to be provided, yet the declared task extends to how children learn to live with others. Section 2 includes the transmission of culture and values, room for children's own cultural expression, and attention to their social, ethnic and cultural backgrounds. It also requires a contribution to health, prevention and the reduction of social differences.</w:t>
      </w:r>
      <w:r>
        <w:rPr>
          <w:vertAlign w:val="superscript"/>
        </w:rPr>
        <w:t xml:space="preserve">5</w:t>
      </w:r>
    </w:p>
    <w:p>
      <w:pPr>
        <w:widowControl/>
        <w:spacing w:after="40" w:line="320"/>
        <w:ind w:firstLine="260"/>
      </w:pPr>
      <w:r>
        <w:t xml:space="preserve">Those purposes can overlap in a single piece of work. Protection concerns a child's safety. Provision concerns what is made available. Formation concerns the ways a child comes to understand and act. I use the distinctions to ask different questions of the same institution, rather than to divide its day into three separate departments. A safe place may make learning possible. An account of what has been provided still leaves us to ask what the child understood.</w:t>
      </w:r>
    </w:p>
    <w:p>
      <w:pPr>
        <w:widowControl/>
        <w:spacing w:after="40" w:line="320"/>
        <w:ind w:firstLine="260"/>
      </w:pPr>
      <w:r>
        <w:t xml:space="preserve">Nor does naming a public purpose establish its success. A requirement to reduce social differences is a task against which practice can be judged. It does not permit me to write that the differences have been removed. Equally, an institution's failure in one respect would not establish that everything it provided was worthless. The judgement needs to reach the work actually done.</w:t>
      </w:r>
    </w:p>
    <w:p>
      <w:pPr>
        <w:widowControl/>
        <w:spacing w:after="40" w:line="320"/>
        <w:ind w:firstLine="260"/>
      </w:pPr>
      <w:r>
        <w:t xml:space="preserve">The relationship with parents is described in similarly demanding terms. The kindergarten framework assigns a shared responsibility for the child's well-being and development. It calls for dialogue and parental participation, and requires the institution to explain its assessments and consider parents' views. It also says that parents and staff must recognise the kindergarten's own social mandate and values. The institution is to try to prevent a conflict of loyalty between home and kindergarten.</w:t>
      </w:r>
      <w:r>
        <w:rPr>
          <w:vertAlign w:val="superscript"/>
        </w:rPr>
        <w:t xml:space="preserve">6</w:t>
      </w:r>
    </w:p>
    <w:p>
      <w:pPr>
        <w:widowControl/>
        <w:spacing w:after="40" w:line="320"/>
        <w:ind w:firstLine="260"/>
      </w:pPr>
      <w:r>
        <w:t xml:space="preserve">A child should not have to settle an adult disagreement by choosing which adult deserves allegiance. That is my reason for taking the last requirement seriously. Cooperation will sometimes involve a genuine difference about what should happen. Calling it cooperation does not remove the difference or excuse anyone from explaining a decision.</w:t>
      </w:r>
    </w:p>
    <w:p>
      <w:pPr>
        <w:widowControl/>
        <w:spacing w:after="40" w:line="320"/>
        <w:ind w:firstLine="260"/>
      </w:pPr>
      <w:r>
        <w:t xml:space="preserve">The framework's treatment of diversity makes a further demand. It requires attention to children's own cultural circumstances and the visibility of differences in religion and worldview. In its discussion of varied family forms, it says that every child should find their family reflected in kindergarten.</w:t>
      </w:r>
      <w:r>
        <w:rPr>
          <w:vertAlign w:val="superscript"/>
        </w:rPr>
        <w:t xml:space="preserve">7</w:t>
      </w:r>
      <w:r>
        <w:t xml:space="preserve"> The particular family is supposed to be encountered, rather than inferred from a category.</w:t>
      </w:r>
    </w:p>
    <w:p>
      <w:pPr>
        <w:widowControl/>
        <w:spacing w:after="40" w:line="320"/>
        <w:ind w:firstLine="260"/>
      </w:pPr>
      <w:r>
        <w:t xml:space="preserve">I would want that attention to leave room for a family's own account. A Jewish name does not supply a teacher with a complete religious biography. My Christian convictions do not tell a teacher what every member of my family believes. To meet us accurately requires listening, and it requires me to be equally precise about the claims I make on other people's behalf.</w:t>
      </w:r>
    </w:p>
    <w:p>
      <w:pPr>
        <w:widowControl/>
        <w:spacing w:after="40" w:line="320"/>
        <w:ind w:firstLine="260"/>
      </w:pPr>
      <w:r>
        <w:t xml:space="preserve">There is also a limit to what I can reasonably expect an institution to know without our help. The names and documents particular to our family will have to be made intelligible by someone who has studied them. A curriculum can provide historical knowledge and the opportunity for a conversation. It cannot write our family history in advance. This book is part of the work I am willing to do.</w:t>
      </w:r>
    </w:p>
    <w:p>
      <w:pPr>
        <w:widowControl/>
        <w:spacing w:after="40" w:line="320"/>
        <w:ind w:firstLine="260"/>
      </w:pPr>
      <w:r>
        <w:t xml:space="preserve">At school, the allocation of responsibility is explicit. The core curriculum gives parents and guardians the main responsibility for upbringing and development. It gives the school responsibility for initiating and facilitating cooperation. The school must make clear what it can offer and what it expects of the home, while recognising that pupils do not all have equal access to help there.</w:t>
      </w:r>
      <w:r>
        <w:rPr>
          <w:vertAlign w:val="superscript"/>
        </w:rPr>
        <w:t xml:space="preserve">8</w:t>
      </w:r>
    </w:p>
    <w:p>
      <w:pPr>
        <w:widowControl/>
        <w:spacing w:after="40" w:line="320"/>
        <w:ind w:firstLine="260"/>
      </w:pPr>
      <w:r>
        <w:t xml:space="preserve">That final qualification prevents parental responsibility from becoming an excuse for institutional indifference. A child whose home cannot provide a particular kind of help still has to be taught. Recognising a family's importance should make the question of support more urgent. It should not allow the institution to treat uneven resources as a settled limit on what a child may learn.</w:t>
      </w:r>
    </w:p>
    <w:p>
      <w:pPr>
        <w:widowControl/>
        <w:spacing w:after="40" w:line="320"/>
        <w:ind w:firstLine="260"/>
      </w:pPr>
      <w:r>
        <w:t xml:space="preserve">I also need to take seriously the knowledge a teacher can bring which the family does not possess. In writing about inheritance, I can become preoccupied with what must travel outwards from the home. Learning can bring questions back. A child may ask about an omission, challenge an explanation, or discover that an adult's certainty exceeds the evidence. I want the family history in this book to remain open to that kind of examination.</w:t>
      </w:r>
    </w:p>
    <w:p>
      <w:pPr>
        <w:widowControl/>
        <w:spacing w:after="40" w:line="320"/>
        <w:ind w:firstLine="260"/>
      </w:pPr>
      <w:r>
        <w:t xml:space="preserve">The public account of education thus presents a harder problem than a contest over which institution owns the child. It assigns work to people whose responsibilities meet. There can be failures of care, failures of teaching, and failures to hear what a family is saying. There can also be help which a family is unable to provide alone. None of these possibilities is settled by declaring the state benevolent or hostile.</w:t>
      </w:r>
    </w:p>
    <w:p>
      <w:pPr>
        <w:widowControl/>
        <w:spacing w:after="40" w:line="320"/>
        <w:ind w:firstLine="260"/>
      </w:pPr>
      <w:r>
        <w:t xml:space="preserve">For my purposes, the distinction between recognising belonging and creating it remains essential. A curriculum can make Jewish history visible in school. Its silence would not make the people disappear. Recognition is valuable because of what it asks the institution to do for people who already exist. I would make the same distinction if the curriculum were less welcoming to the history I am trying to preserve.</w:t>
      </w:r>
    </w:p>
    <w:p>
      <w:pPr>
        <w:widowControl/>
        <w:spacing w:after="40" w:line="320"/>
        <w:ind w:firstLine="260"/>
      </w:pPr>
      <w:r>
        <w:t xml:space="preserve">These documents do not provide evidence that inheritance has reached the next generation, or that it has failed to do so. We have now read measures of national life and statements of public purpose. Before drawing a conclusion about what Norway has become, I need to set out what that record cannot tell us.</w:t>
      </w:r>
    </w:p>
    <w:p>
      <w:pPr>
        <w:pStyle w:val="Heading2"/>
        <w:keepNext/>
        <w:pageBreakBefore/>
        <w:spacing w:after="400" w:before="0"/>
      </w:pPr>
      <w:bookmarkStart w:name="kap-19" w:id="1"/>
      <w:r>
        <w:t xml:space="preserve">19. What the Numbers Refuse to Say</w:t>
      </w:r>
      <w:bookmarkEnd w:id="1"/>
    </w:p>
    <w:p>
      <w:pPr>
        <w:widowControl/>
        <w:spacing w:after="40" w:line="320"/>
        <w:ind w:firstLine="0"/>
      </w:pPr>
      <w:r>
        <w:t xml:space="preserve">A baptism register records an event. It cannot tell me whether the person baptised will pray as an adult, know why the baptism mattered to a parent, or reject the faith in which it was performed. The event is real. So is the distance between recording it and knowing what followed.</w:t>
      </w:r>
    </w:p>
    <w:p>
      <w:pPr>
        <w:widowControl/>
        <w:spacing w:after="40" w:line="320"/>
        <w:ind w:firstLine="260"/>
      </w:pPr>
      <w:r>
        <w:t xml:space="preserve">Much of the Norwegian record we have considered has this character. It tells us about arrangements and participation. A household table locates people at an address. A time-use survey describes activities during a day. These are useful observations. They become misleading when I ask them to stand for the quality of a relationship, or for the meaning somebody gives to belonging.</w:t>
      </w:r>
    </w:p>
    <w:p>
      <w:pPr>
        <w:widowControl/>
        <w:spacing w:after="40" w:line="320"/>
        <w:ind w:firstLine="260"/>
      </w:pPr>
      <w:r>
        <w:t xml:space="preserve">The distinction matters especially in a book about inheritance. A relationship can remain in the record when knowledge of it has become difficult to recover. Equally, a person can know a family history without sharing the convictions of the people in it. If I call all these things transmission, I can move between different claims without noticing that I have changed the subject.</w:t>
      </w:r>
    </w:p>
    <w:p>
      <w:pPr>
        <w:widowControl/>
        <w:spacing w:after="40" w:line="320"/>
        <w:ind w:firstLine="260"/>
      </w:pPr>
      <w:r>
        <w:t xml:space="preserve">Religious research gets closer to some of those questions, but it does so through particular populations and methods. Andreas Bjørntvedt's study of Christian faith formation among Norwegians aged thirty to forty combined responses from 585 participants with ten follow-up interviews. The published abstract suggests that the quality of personal relationships may matter more than their structural features. It names warmth and trustworthiness, along with integrity.</w:t>
      </w:r>
      <w:r>
        <w:rPr>
          <w:vertAlign w:val="superscript"/>
        </w:rPr>
        <w:t xml:space="preserve">1</w:t>
      </w:r>
      <w:r>
        <w:t xml:space="preserve"> It also identifies parental influence and youth ministry as relevant.</w:t>
      </w:r>
    </w:p>
    <w:p>
      <w:pPr>
        <w:widowControl/>
        <w:spacing w:after="40" w:line="320"/>
        <w:ind w:firstLine="260"/>
      </w:pPr>
      <w:r>
        <w:t xml:space="preserve">That is reason to attend to the character of a relationship. It supplies no national rate of successful religious transmission, and no comparison establishing that Norwegian parents once transmitted faith better than they do now. I cannot turn a study of influences within one age group into a history of the country's decline. Nor does its Christian subject supply an account of how Jewish identity has travelled through my family.</w:t>
      </w:r>
    </w:p>
    <w:p>
      <w:pPr>
        <w:widowControl/>
        <w:spacing w:after="40" w:line="320"/>
        <w:ind w:firstLine="260"/>
      </w:pPr>
      <w:r>
        <w:t>The word trust presents a related difficulty. Thomas Dohmen and his colleagues, working with German survey data, reported associations between parents' and children's attitudes towards risk and trust. Their 2012 article interpreted aspects of the results as supporting socialisation within families.</w:t>
      </w:r>
      <w:r>
        <w:rPr>
          <w:vertAlign w:val="superscript"/>
        </w:rPr>
        <w:t xml:space="preserve">2</w:t>
      </w:r>
      <w:r>
        <w:t xml:space="preserve"> This is an attractive finding for an argument about inheritance. It is also one whose interpretation has been challenged.</w:t>
      </w:r>
    </w:p>
    <w:p>
      <w:pPr>
        <w:widowControl/>
        <w:spacing w:after="40" w:line="320"/>
        <w:ind w:firstLine="260"/>
      </w:pPr>
      <w:r>
        <w:t>Christoph Spörlein and colleagues revisited the question with German twin data. Their 2024 study retained parent–child associations, but its modelling gave genetic differences a substantial role in explaining them. Most variation fell in the model's non-shared-environment component, which also includes measurement error. The authors explicitly rejected genetic determinism. They concluded that their findings do not support the socialisation assumption for risk and trust attitudes. Their analysis makes it harder to treat parental resemblance as evidence of one social mechanism.</w:t>
      </w:r>
      <w:r>
        <w:rPr>
          <w:vertAlign w:val="superscript"/>
        </w:rPr>
        <w:t xml:space="preserve">3</w:t>
      </w:r>
    </w:p>
    <w:p>
      <w:pPr>
        <w:widowControl/>
        <w:spacing w:after="40" w:line="320"/>
        <w:ind w:firstLine="260"/>
      </w:pPr>
      <w:r>
        <w:t xml:space="preserve">It would be an equally careless reading to announce that upbringing therefore means nothing. These studies examine particular attitude measures. They do not test the meaning of a prayer, the reliability of a family account, or what it costs someone to honour an obligation. I need to keep the challenge to a proposed mechanism intact without asking the challenge to settle every other question about family life.</w:t>
      </w:r>
    </w:p>
    <w:p>
      <w:pPr>
        <w:widowControl/>
        <w:spacing w:after="40" w:line="320"/>
        <w:ind w:firstLine="260"/>
      </w:pPr>
      <w:r>
        <w:t xml:space="preserve">Even within the narrower subject of parenting, the choice of noun can do work which the evidence has not done. If a study measures parents, I cannot quietly report it as a finding about fathers. The father who matters in a family history does not need that substitution. His importance must be shown through what can actually be said about him.</w:t>
      </w:r>
    </w:p>
    <w:p>
      <w:pPr>
        <w:widowControl/>
        <w:spacing w:after="40" w:line="320"/>
        <w:ind w:firstLine="260"/>
      </w:pPr>
      <w:r>
        <w:t>According to its published abstract, a review by Audrey-Ann Deneault and colleagues combined ninety-three studies, principally from North America and Europe, comparing observed sensitivity in partnered mothers and fathers. It found a small average difference favouring mothers. The difference was not statistically significant in the European samples.</w:t>
      </w:r>
      <w:r>
        <w:rPr>
          <w:vertAlign w:val="superscript"/>
        </w:rPr>
        <w:t xml:space="preserve">4</w:t>
      </w:r>
      <w:r>
        <w:t xml:space="preserve"> Neither result ranks the worth of a particular mother and father. The regional result does not establish that they are interchangeable, and the overall result cannot be reversed because a book has chosen to attend to fathers.</w:t>
      </w:r>
    </w:p>
    <w:p>
      <w:pPr>
        <w:widowControl/>
        <w:spacing w:after="40" w:line="320"/>
        <w:ind w:firstLine="260"/>
      </w:pPr>
      <w:r>
        <w:t xml:space="preserve">There is a further danger in making a family arrangement explain an outcome. The date on which an arrangement changes may be easier to identify than the beginning of the trouble. A before-and-after comparison needs to ask what was already happening, whose experience is being measured, and what would plausibly have happened otherwise.</w:t>
      </w:r>
    </w:p>
    <w:p>
      <w:pPr>
        <w:widowControl/>
        <w:spacing w:after="40" w:line="320"/>
        <w:ind w:firstLine="260"/>
      </w:pPr>
      <w:r>
        <w:t xml:space="preserve">Øystein Kravdal and Jonathan Wörn examined Norwegian register data on parents and their firstborn children, using GP consultations from 2006 to 2018. Consultations for mental conditions rose among parents before union dissolution and declined afterwards. The children's pattern was more adverse after dissolution. The authors caution that consultations measure help-seeking as well as health, that changing circumstances may still confound the results, and that the analysis does not isolate the breakup from the process surrounding it.</w:t>
      </w:r>
      <w:r>
        <w:rPr>
          <w:vertAlign w:val="superscript"/>
        </w:rPr>
        <w:t xml:space="preserve">5</w:t>
      </w:r>
    </w:p>
    <w:p>
      <w:pPr>
        <w:widowControl/>
        <w:spacing w:after="40" w:line="320"/>
        <w:ind w:firstLine="260"/>
      </w:pPr>
      <w:r>
        <w:t xml:space="preserve">The different trajectories deserve attention. They do not give me a diagnosis of any family described in this book. They cannot tell me that a particular couple should have remained together, or that a particular child's difficulty began at the point where a register changed. Those would require knowledge the study cannot supply about the people concerned. Concern for children should make that distinction more exacting, not less.</w:t>
      </w:r>
    </w:p>
    <w:p>
      <w:pPr>
        <w:widowControl/>
        <w:spacing w:after="40" w:line="320"/>
        <w:ind w:firstLine="260"/>
      </w:pPr>
      <w:r>
        <w:t xml:space="preserve">The same restraint applies to favourable findings about Norway. A good outcome is not evidence that there is a hidden bad one somewhere behind it. If I claim that public provision conceals an underlying loss, I owe the reader evidence of both the loss and the concealment. I cannot make a proposition immune to examination by calling every successful outcome a disguise.</w:t>
      </w:r>
    </w:p>
    <w:p>
      <w:pPr>
        <w:widowControl/>
        <w:spacing w:after="40" w:line="320"/>
        <w:ind w:firstLine="260"/>
      </w:pPr>
      <w:r>
        <w:t xml:space="preserve">There is room here for questions which a register was never designed to answer. There is no permission to fill those spaces with whatever conclusion I prefer. The absence of a measure of family inheritance does not show that inheritance has failed. The continuing presence of family relationships does not establish what has passed through them.</w:t>
      </w:r>
    </w:p>
    <w:p>
      <w:pPr>
        <w:widowControl/>
        <w:spacing w:after="40" w:line="320"/>
        <w:ind w:firstLine="260"/>
      </w:pPr>
      <w:r>
        <w:t xml:space="preserve">For the Solbak Årnes history, the work is more specific. A source may establish a relationship. A relative's account may preserve an experience and identify the person who remembers it. A later reader may understand those materials differently from their first recipient. Each requires its own examination. A national survey cannot do that work on the family's behalf, and the family's experience cannot establish a national pattern in return.</w:t>
      </w:r>
    </w:p>
    <w:p>
      <w:pPr>
        <w:widowControl/>
        <w:spacing w:after="40" w:line="320"/>
        <w:ind w:firstLine="260"/>
      </w:pPr>
      <w:r>
        <w:t xml:space="preserve">My Christian conviction does not remove this limit. If truth matters to the faith I profess, evidence which frustrates my argument still matters. I have no theological exemption from giving an opposing explanation a fair hearing. Neither the usefulness of a claim nor the sincerity with which I hold it makes it true.</w:t>
      </w:r>
    </w:p>
    <w:p>
      <w:pPr>
        <w:widowControl/>
        <w:spacing w:after="40" w:line="320"/>
        <w:ind w:firstLine="260"/>
      </w:pPr>
      <w:r>
        <w:t xml:space="preserve">The figures have given us things worth knowing. They have not shown that Norway has ceased to hand on an inheritance, that families alone created its trust, or that prosperity is covering a moral failure. The question I still want to ask must therefore be stated in my own name. It cannot arrive disguised as the last line of a statistical table.</w:t>
      </w:r>
    </w:p>
    <w:p>
      <w:pPr>
        <w:pStyle w:val="Heading2"/>
        <w:keepNext/>
        <w:pageBreakBefore/>
        <w:spacing w:after="400" w:before="0"/>
      </w:pPr>
      <w:bookmarkStart w:name="kap-20" w:id="1"/>
      <w:r>
        <w:t xml:space="preserve">20. The Inference I Cannot Prove</w:t>
      </w:r>
      <w:bookmarkEnd w:id="1"/>
    </w:p>
    <w:p>
      <w:pPr>
        <w:widowControl/>
        <w:spacing w:after="40" w:line="320"/>
        <w:ind w:firstLine="0"/>
      </w:pPr>
      <w:r>
        <w:t xml:space="preserve">My concern is that a prosperous society may continue to possess goods it has inherited while finding it harder to name and deliberately sustain some of the relationships and practices through which they are learned. I cannot establish that this is happening in Norway. I want to investigate the possibility because the ability to enjoy a good does not, by itself, explain how it reaches another generation.</w:t>
      </w:r>
      <w:r>
        <w:t xml:space="preserve"> This is an inference, not a finding.</w:t>
      </w:r>
    </w:p>
    <w:p>
      <w:pPr>
        <w:widowControl/>
        <w:spacing w:after="40" w:line="320"/>
        <w:ind w:firstLine="260"/>
      </w:pPr>
      <w:r>
        <w:t xml:space="preserve">The strongest objection is that I may be overlooking the places where the work is already being done. Schools, friends, workplaces and public institutions may sustain and renew moral commitments without describing them in Christian terms. Present-day kindness need not be the remnant of an older faith whose reserves are running out. It may be taught and practised by people with a different account of why it matters. If that is so, my concern could mistake a change of language and setting for a failure of inheritance. The objection is a possible explanation of Norway, not an inconvenience to be acknowledged before I return to my concern.</w:t>
      </w:r>
    </w:p>
    <w:p>
      <w:pPr>
        <w:widowControl/>
        <w:spacing w:after="40" w:line="320"/>
        <w:ind w:firstLine="260"/>
      </w:pPr>
      <w:r>
        <w:t xml:space="preserve">I therefore cannot begin with a verdict that the country has forgotten. Even the word forgotten assumes that I know what people once understood and what they now lack. The evidence so far does not give me that comparison. What I can examine is the responsibility of those who believe they have received something worth carrying forward. That question includes me before it becomes a question I put to anyone else.</w:t>
      </w:r>
    </w:p>
    <w:p>
      <w:pPr>
        <w:widowControl/>
        <w:spacing w:after="40" w:line="320"/>
        <w:ind w:firstLine="260"/>
      </w:pPr>
      <w:r>
        <w:t xml:space="preserve">In the Solbak Årnes family, the Jewish history gives this work a definite subject. I want later generations to know these people by name, follow the family relationships and check the accounts for themselves. Their history belongs within Norwegian life. That purpose does not require a finding that Norway is failing. It would remain necessary in a Norway which was doing everything well.</w:t>
      </w:r>
    </w:p>
    <w:p>
      <w:pPr>
        <w:widowControl/>
        <w:spacing w:after="40" w:line="320"/>
        <w:ind w:firstLine="260"/>
      </w:pPr>
      <w:r>
        <w:t xml:space="preserve">Nor is the book the beginning of the belonging it describes. Its task is to make an account available. The people in the account had lives before I could explain their place in it. Where a document changes what I can responsibly say, the writing must change. Where testimony reaches the limit of a witness's knowledge, I need to preserve the limit rather than make the witness speak more confidently for my convenience.</w:t>
      </w:r>
    </w:p>
    <w:p>
      <w:pPr>
        <w:widowControl/>
        <w:spacing w:after="40" w:line="320"/>
        <w:ind w:firstLine="260"/>
      </w:pPr>
      <w:r>
        <w:t xml:space="preserve">There are things I hope this work will allow a later reader to do. Follow a relationship back to its source. Distinguish a remembered experience from a conclusion drawn afterwards. Recognise the person behind a name in a record. These are modest tests of a family history. They are also demanding enough without making the family stand for the moral condition of a country.</w:t>
      </w:r>
    </w:p>
    <w:p>
      <w:pPr>
        <w:widowControl/>
        <w:spacing w:after="40" w:line="320"/>
        <w:ind w:firstLine="260"/>
      </w:pPr>
      <w:r>
        <w:t xml:space="preserve">Knowing the account would not oblige that reader to share every judgement in it. I do not want faithfulness to the family to mean agreement with its author. An inheritance which can be examined must allow questions about what has been omitted and what has been overstated. The opportunity to ask those questions is part of what I hope to pass on.</w:t>
      </w:r>
    </w:p>
    <w:p>
      <w:pPr>
        <w:widowControl/>
        <w:spacing w:after="40" w:line="320"/>
        <w:ind w:firstLine="260"/>
      </w:pPr>
      <w:r>
        <w:t xml:space="preserve">This is where the distinction between receiving and agreeing becomes useful. Someone may owe another person a truthful account without owing that person assent. A reader may recognise a relationship and still reject conduct within it. I need a language of obligation capable of making those distinctions. Otherwise, honour becomes a demand for silence, and the wish to preserve a family history becomes a reason to protect its errors.</w:t>
      </w:r>
    </w:p>
    <w:p>
      <w:pPr>
        <w:widowControl/>
        <w:spacing w:after="40" w:line="320"/>
        <w:ind w:firstLine="260"/>
      </w:pPr>
      <w:r>
        <w:t xml:space="preserve">My own Christian faith gives me an account of responsibility before God. It does not authorise me to assign that faith to Jewish relatives, or to make their belonging depend on my theology. I can say what I believe Christ asks of me. I cannot use that statement to decide what another person must have believed, or to rewrite a life so that it arrives at my conclusions.</w:t>
      </w:r>
    </w:p>
    <w:p>
      <w:pPr>
        <w:widowControl/>
        <w:spacing w:after="40" w:line="320"/>
        <w:ind w:firstLine="260"/>
      </w:pPr>
      <w:r>
        <w:t xml:space="preserve">For me, the religious question also goes beyond the usefulness of religion to society. I do not profess faith in Christ merely because Christianity might help produce trustworthy citizens. If a secular institution teaches someone to act justly, I have reason to recognise the good done there. My confession is that Christ is Lord. It is not a statistical proposition about which population behaves best, and it cannot be established by finding faults in Norway.</w:t>
      </w:r>
    </w:p>
    <w:p>
      <w:pPr>
        <w:widowControl/>
        <w:spacing w:after="40" w:line="320"/>
        <w:ind w:firstLine="260"/>
      </w:pPr>
      <w:r>
        <w:t xml:space="preserve">That confession subjects my preferred account of family to judgement too. I cannot make the preservation of an arrangement the measure of everything good. Truth and accountability remain obligations inside a family. Protection from harm may require distance. A claim about enduring belonging gives no one unrestricted access to another person's life, and reconciliation cannot be demanded as the price of being allowed to belong.</w:t>
      </w:r>
    </w:p>
    <w:p>
      <w:pPr>
        <w:widowControl/>
        <w:spacing w:after="40" w:line="320"/>
        <w:ind w:firstLine="260"/>
      </w:pPr>
      <w:r>
        <w:t xml:space="preserve">The concern about transmission must survive these qualifications if it is worth retaining. I want to ask what people are learning from us without assuming that everything once handed down deserves another generation. Some practices may need correction. Some accounts need an answer from the people they have excluded. To preserve an inheritance responsibly is to accept that its examination may cost me something I wanted to defend.</w:t>
      </w:r>
    </w:p>
    <w:p>
      <w:pPr>
        <w:widowControl/>
        <w:spacing w:after="40" w:line="320"/>
        <w:ind w:firstLine="260"/>
      </w:pPr>
      <w:r>
        <w:t xml:space="preserve">The danger runs in the other direction as well. Once I have admitted that a tradition can carry harm, I may become reluctant to name anything in it as a gift. That would leave the account no more truthful. I need to describe what was given with enough care that gratitude does not require acquittal, and criticism does not require forgetting the giver.</w:t>
      </w:r>
    </w:p>
    <w:p>
      <w:pPr>
        <w:widowControl/>
        <w:spacing w:after="40" w:line="320"/>
        <w:ind w:firstLine="260"/>
      </w:pPr>
      <w:r>
        <w:t xml:space="preserve">This does not yield a programme for arranging every Norwegian household. The responsibilities I am trying to name cannot be read directly from a floor plan. A shared address may make some forms of care possible; it does not tell me whether that care is given. Distance may make a responsibility harder to fulfil without making the relation imaginary. Those are questions about particular people and what they owe one another, not an invitation to declare every arrangement equivalent.</w:t>
      </w:r>
    </w:p>
    <w:p>
      <w:pPr>
        <w:widowControl/>
        <w:spacing w:after="40" w:line="320"/>
        <w:ind w:firstLine="260"/>
      </w:pPr>
      <w:r>
        <w:t xml:space="preserve">The word family has to carry more than a picture of people who lived together at one time. It must also allow me to speak about people separated by generations, whose lives I know through someone else's account. It must distinguish a relation from a claim to control. Before I ask whether the family is handing on an inheritance, I need to be more exact about what I am defending when I use its name.</w:t>
      </w:r>
    </w:p>
    <w:p>
      <w:pPr>
        <w:pStyle w:val="Heading1"/>
        <w:keepNext/>
        <w:pageBreakBefore/>
        <w:spacing w:after="400" w:before="0"/>
      </w:pPr>
      <w:r>
        <w:t xml:space="preserve">Part III. What We Did with the Inheritance</w:t>
      </w:r>
    </w:p>
    <w:p>
      <w:pPr>
        <w:pStyle w:val="Heading2"/>
        <w:keepNext/>
        <w:spacing w:after="400" w:before="0"/>
      </w:pPr>
      <w:bookmarkStart w:name="kap-21" w:id="1"/>
      <w:r>
        <w:t xml:space="preserve">21. The Family Is Not a House</w:t>
      </w:r>
      <w:bookmarkEnd w:id="1"/>
    </w:p>
    <w:p>
      <w:pPr>
        <w:widowControl/>
        <w:spacing w:after="40" w:line="320"/>
        <w:ind w:firstLine="0"/>
      </w:pPr>
      <w:r>
        <w:t xml:space="preserve">Statistics Norway can count a person living alone as a family. Its definition also allows a family to contain at most two consecutive generations and one couple, resident in the same dwelling. A household may contain more than one such family. These rules make it possible to count how people live together. They are not a description of every relationship the people have.</w:t>
      </w:r>
      <w:r>
        <w:rPr>
          <w:vertAlign w:val="superscript"/>
        </w:rPr>
        <w:t xml:space="preserve">1</w:t>
      </w:r>
    </w:p>
    <w:p>
      <w:pPr>
        <w:widowControl/>
        <w:spacing w:after="40" w:line="320"/>
        <w:ind w:firstLine="260"/>
      </w:pPr>
      <w:r>
        <w:t xml:space="preserve">Three generations sharing a home therefore cannot all fall within one statistical family. The restriction belongs to the category. Those limits say nothing about the obligations between generations. When an adult child establishes another household, a change in classification cannot answer whether a relationship has been cared for or neglected.</w:t>
      </w:r>
    </w:p>
    <w:p>
      <w:pPr>
        <w:widowControl/>
        <w:spacing w:after="40" w:line="320"/>
        <w:ind w:firstLine="260"/>
      </w:pPr>
      <w:r>
        <w:t xml:space="preserve">The family I am trying to describe in this book extends beyond those classifications. It includes relations between generations who never occupied one house, and people whose connection I can know only through a record or someone else's account. A history confined to the present household would have no adequate place for them.</w:t>
      </w:r>
    </w:p>
    <w:p>
      <w:pPr>
        <w:widowControl/>
        <w:spacing w:after="40" w:line="320"/>
        <w:ind w:firstLine="260"/>
      </w:pPr>
      <w:r>
        <w:t xml:space="preserve">On the photographed family drawing, Eliah and Rachel Grossman appear above Hava, also named Yeva Back. Victor and Valentin appear beneath her; Michael is shown beneath Valentin. Those names occupy four generations. The drawing records the relationships economically, without giving a house to each generation or showing all the moves between them. It is an undated family document, with part of its right side covered by another sheet.</w:t>
      </w:r>
      <w:r>
        <w:rPr>
          <w:vertAlign w:val="superscript"/>
        </w:rPr>
        <w:t xml:space="preserve">2</w:t>
      </w:r>
    </w:p>
    <w:p>
      <w:pPr>
        <w:widowControl/>
        <w:spacing w:after="40" w:line="320"/>
        <w:ind w:firstLine="260"/>
      </w:pPr>
      <w:r>
        <w:t xml:space="preserve">The chart is useful because it preserves connections. It is insufficient as an account of what happened within them. It cannot say who gave comfort, who disappointed whom, or what somebody understood about being Jewish. Those questions need other evidence. A line on the page permits further enquiry; it does not supply the lives on either side of it.</w:t>
      </w:r>
    </w:p>
    <w:p>
      <w:pPr>
        <w:widowControl/>
        <w:spacing w:after="40" w:line="320"/>
        <w:ind w:firstLine="260"/>
      </w:pPr>
      <w:r>
        <w:t xml:space="preserve">For the Solbak Årnes history, that distinction keeps ancestry from becoming a substitute for attention. The relationships give the enquiry its shape, but their existence does not make every explanation offered by a relative accurate.</w:t>
      </w:r>
    </w:p>
    <w:p>
      <w:pPr>
        <w:widowControl/>
        <w:spacing w:after="40" w:line="320"/>
        <w:ind w:firstLine="260"/>
      </w:pPr>
      <w:r>
        <w:t xml:space="preserve">Nor can descent carry the whole meaning of family. Adoption is already included in the child category used by Statistics Norway.</w:t>
      </w:r>
      <w:r>
        <w:rPr>
          <w:vertAlign w:val="superscript"/>
        </w:rPr>
        <w:t xml:space="preserve">1</w:t>
      </w:r>
      <w:r>
        <w:t xml:space="preserve"> More fundamentally, I do not understand belonging as a hierarchy in which a biological relation is automatically more real than a relation formed through adoption. A genealogy can be valuable without becoming a measure of human worth or the sole authority on who belongs.</w:t>
      </w:r>
    </w:p>
    <w:p>
      <w:pPr>
        <w:widowControl/>
        <w:spacing w:after="40" w:line="320"/>
        <w:ind w:firstLine="260"/>
      </w:pPr>
      <w:r>
        <w:t xml:space="preserve">My working understanding of family is a set of enduring relations in which people have responsibilities towards one another, including responsibilities across generations. This is the relational and theological understanding I am defending. It is not a conclusion drawn from a household table. It requires an account of the responsibilities involved, the limits upon them, and the ways they can be fulfilled or betrayed.</w:t>
      </w:r>
    </w:p>
    <w:p>
      <w:pPr>
        <w:widowControl/>
        <w:spacing w:after="40" w:line="320"/>
        <w:ind w:firstLine="260"/>
      </w:pPr>
      <w:r>
        <w:t xml:space="preserve">I use covenant to name a commitment whose claim does not disappear whenever keeping it becomes inconvenient. The word matters because I want to distinguish obligation from preference. It also places demands upon the person invoking it. If I call a relation enduring, I must be willing to ask what my conduct owes to it. I cannot make permanence a demand addressed only to somebody else.</w:t>
      </w:r>
    </w:p>
    <w:p>
      <w:pPr>
        <w:widowControl/>
        <w:spacing w:after="40" w:line="320"/>
        <w:ind w:firstLine="260"/>
      </w:pPr>
      <w:r>
        <w:t xml:space="preserve">That gives covenant a different use from a claim to possession. A family relation gives no right to decide what another person believes, how they live or whether they visit. Care may need to be given in a form the giver did not choose. Sometimes the necessary action is to respect a boundary. Calling a family permanent cannot turn access into an unlimited entitlement.</w:t>
      </w:r>
    </w:p>
    <w:p>
      <w:pPr>
        <w:widowControl/>
        <w:spacing w:after="40" w:line="320"/>
        <w:ind w:firstLine="260"/>
      </w:pPr>
      <w:r>
        <w:t xml:space="preserve">There is work to be done even where agreement is impossible. A person can correct an account, acknowledge harm or accept responsibility without securing the response hoped for. I understand those as obligations which do not wait for a guarantee of reconciliation.</w:t>
      </w:r>
    </w:p>
    <w:p>
      <w:pPr>
        <w:widowControl/>
        <w:spacing w:after="40" w:line="320"/>
        <w:ind w:firstLine="260"/>
      </w:pPr>
      <w:r>
        <w:t xml:space="preserve">For a Christian account of family, responsibility before God must include those limits. Christ is Lord over the family as well as over its critics. A family cannot make itself the highest authority merely by appealing to its continuity. The test of its claims includes truthfulness, care for the vulnerable and the willingness to repent. Preserving the family's good name is not a substitute for any of them.</w:t>
      </w:r>
    </w:p>
    <w:p>
      <w:pPr>
        <w:widowControl/>
        <w:spacing w:after="40" w:line="320"/>
        <w:ind w:firstLine="260"/>
      </w:pPr>
      <w:r>
        <w:t xml:space="preserve">These responsibilities also explain why a family cannot be understood wholly apart from the institutions around it. A teacher, a congregation or a neighbour may offer knowledge and care which relatives cannot provide. Their contribution need not be treated as an intrusion into a self-sufficient home. I can defend a family's particular responsibilities while recognising the help through which it may become more able to fulfil them.</w:t>
      </w:r>
    </w:p>
    <w:p>
      <w:pPr>
        <w:widowControl/>
        <w:spacing w:after="40" w:line="320"/>
        <w:ind w:firstLine="260"/>
      </w:pPr>
      <w:r>
        <w:t xml:space="preserve">The distinction becomes practical in a history such as this one. A relative may have preserved an account, another person may translate it, and a reader may detect a mistake. The work depends on more people than the current household contains. Their different roles should remain visible, so that gratitude to one person does not erase another's contribution or turn all of them into a single voice.</w:t>
      </w:r>
    </w:p>
    <w:p>
      <w:pPr>
        <w:widowControl/>
        <w:spacing w:after="40" w:line="320"/>
        <w:ind w:firstLine="260"/>
      </w:pPr>
      <w:r>
        <w:t xml:space="preserve">The physical home still matters. A shared room allows kinds of attention that distance may make difficult. A place can carry memories which a written account will never fully convey. Gaining a home or losing one can matter greatly to a family. So can the work of caring for it. Those meanings must be established in their own histories.</w:t>
      </w:r>
    </w:p>
    <w:p>
      <w:pPr>
        <w:widowControl/>
        <w:spacing w:after="40" w:line="320"/>
        <w:ind w:firstLine="260"/>
      </w:pPr>
      <w:r>
        <w:t xml:space="preserve">The danger is that, after making this distinction, I quietly return to one familiar picture and treat it as the definition after all. I can say that family reaches across generations and still imagine that its proper form is settled by a particular arrangement of paid work, domestic work and residence. That would leave a historical assumption doing the work of a theological argument.</w:t>
      </w:r>
    </w:p>
    <w:p>
      <w:pPr>
        <w:widowControl/>
        <w:spacing w:after="40" w:line="320"/>
        <w:ind w:firstLine="260"/>
      </w:pPr>
      <w:r>
        <w:t xml:space="preserve">The picture needs a date. Before I defend it as an order to which Norway should return, I need to ask when it was possible, whose work sustained it, and which people it leaves outside the frame.</w:t>
      </w:r>
    </w:p>
    <w:p>
      <w:pPr>
        <w:pStyle w:val="Heading2"/>
        <w:keepNext/>
        <w:pageBreakBefore/>
        <w:spacing w:after="400" w:before="0"/>
      </w:pPr>
      <w:bookmarkStart w:name="kap-22" w:id="1"/>
      <w:r>
        <w:t xml:space="preserve">22. The Mid-Century Picture</w:t>
      </w:r>
      <w:bookmarkEnd w:id="1"/>
    </w:p>
    <w:p>
      <w:pPr>
        <w:widowControl/>
        <w:spacing w:after="40" w:line="320"/>
        <w:ind w:firstLine="0"/>
      </w:pPr>
      <w:r>
        <w:t xml:space="preserve">There is a date hidden inside some defences of the traditional family. A father earns the wage, a mother keeps the home, and their children grow up together under one roof. The arrangement can be described without saying when or where it was possible. It then becomes easy to mistake familiarity for antiquity, or to ask a theological argument to defend something that first needs a history.</w:t>
      </w:r>
    </w:p>
    <w:p>
      <w:pPr>
        <w:widowControl/>
        <w:spacing w:after="40" w:line="320"/>
        <w:ind w:firstLine="260"/>
      </w:pPr>
      <w:r>
        <w:t xml:space="preserve">I need to be exact about what I want to preserve. Faithfulness between generations does not tell me who should receive a wage, where the work should happen or how many relatives should share a dwelling. Those arrangements matter, but their moral value cannot be settled by calling them traditional. The people who lived within them deserve more attention than that word usually gives them.</w:t>
      </w:r>
    </w:p>
    <w:p>
      <w:pPr>
        <w:widowControl/>
        <w:spacing w:after="40" w:line="320"/>
        <w:ind w:firstLine="260"/>
      </w:pPr>
      <w:r>
        <w:t xml:space="preserve">The Norwegian census of 1801 offers an earlier frame. In the National Archives' account of its organisation, households could include relatives, servants and lodgers. Rural entries followed farms; urban entries followed streets. Names, ages, relationships, marital status and occupations helped describe the people recorded. Parish priests formed part of the machinery of collection, assisted by clerks and schoolteachers.</w:t>
      </w:r>
      <w:r>
        <w:rPr>
          <w:vertAlign w:val="superscript"/>
        </w:rPr>
        <w:t xml:space="preserve">1</w:t>
      </w:r>
      <w:r>
        <w:t xml:space="preserve"> This was a way of recording a population in which home, work and the parish could meet. It does not establish that the resulting homes were harmonious.</w:t>
      </w:r>
    </w:p>
    <w:p>
      <w:pPr>
        <w:widowControl/>
        <w:spacing w:after="40" w:line="320"/>
        <w:ind w:firstLine="260"/>
      </w:pPr>
      <w:r>
        <w:t xml:space="preserve">Nor does the possibility of a larger household tell us what its members experienced. A servant and a child could live under the same roof without holding the same place in it. I cannot infer affection from the fact of residence. I would need evidence of the particular relationship before making the shared address into an argument about belonging.</w:t>
      </w:r>
    </w:p>
    <w:p>
      <w:pPr>
        <w:widowControl/>
        <w:spacing w:after="40" w:line="320"/>
        <w:ind w:firstLine="260"/>
      </w:pPr>
      <w:r>
        <w:t xml:space="preserve">Even the census taken in 1960 used a household definition wider than a couple and their children. People who lived and kept house together could form a private household, including servants and boarders who received at least their dinner there. A lodger who provided their own dinner could count as a separate household. The report distinguished this unit from a family nucleus. Its example of a married couple, two unmarried children and the husband's mother contained five household members but only four people in the nucleus.</w:t>
      </w:r>
      <w:r>
        <w:rPr>
          <w:vertAlign w:val="superscript"/>
        </w:rPr>
        <w:t xml:space="preserve">2</w:t>
      </w:r>
    </w:p>
    <w:p>
      <w:pPr>
        <w:widowControl/>
        <w:spacing w:after="40" w:line="320"/>
        <w:ind w:firstLine="260"/>
      </w:pPr>
      <w:r>
        <w:t xml:space="preserve">These are definitions, not a count of how common each arrangement was. Their value here is narrower: the official categories themselves kept household and family nucleus apart. A grandmother could belong to the former without being included in the latter. Recovering that distinction prevents a statistical term from deciding in advance which relationships deserve to be remembered.</w:t>
      </w:r>
    </w:p>
    <w:p>
      <w:pPr>
        <w:widowControl/>
        <w:spacing w:after="40" w:line="320"/>
        <w:ind w:firstLine="260"/>
      </w:pPr>
      <w:r>
        <w:t xml:space="preserve">The familiar post-war picture has a more specific history. Writing in 2011, Statistics Norway researchers Ragni Hege Kitterød and Marit Rønsen located the high period of the male-breadwinner and female-homemaker arrangement in the 1950s and 1960s. They also summarised Hilde Danielsen's interviews with women who had been housewives in the 1950s. Some interviewees had undertaken paid work while identifying strongly as housewives; their accounts initially gave that work little space.</w:t>
      </w:r>
      <w:r>
        <w:rPr>
          <w:vertAlign w:val="superscript"/>
        </w:rPr>
        <w:t xml:space="preserve">3</w:t>
      </w:r>
      <w:r>
        <w:t xml:space="preserve"> An identity could be sincerely held while still giving an incomplete account of how the household was supported.</w:t>
      </w:r>
    </w:p>
    <w:p>
      <w:pPr>
        <w:widowControl/>
        <w:spacing w:after="40" w:line="320"/>
        <w:ind w:firstLine="260"/>
      </w:pPr>
      <w:r>
        <w:t xml:space="preserve">That observation requires care in both directions. Calling somebody a housewife must not erase her paid work. Discovering that paid work must not make the care she gave at home disappear. Neither correction supplies a verdict on whether she should have organised her life differently. It does require a history that can describe what she did before using her as an example of an ideal.</w:t>
      </w:r>
    </w:p>
    <w:p>
      <w:pPr>
        <w:widowControl/>
        <w:spacing w:after="40" w:line="320"/>
        <w:ind w:firstLine="260"/>
      </w:pPr>
      <w:r>
        <w:t>The same demand arises in my family's Jewish history. Arie Back describes Yeva opening a home restaurant after her husband Pavel's railway employment ended. In his account, Yeva cooked the food and served it, then washed up. Pavel bought supplies in the markets and helped serve. Arie also recalls visiting while the business was operating. This reaches me through a Norwegian translation of his family account.</w:t>
      </w:r>
      <w:r>
        <w:rPr>
          <w:vertAlign w:val="superscript"/>
        </w:rPr>
        <w:t xml:space="preserve">4</w:t>
      </w:r>
      <w:r>
        <w:t xml:space="preserve"> I am not describing a scene I witnessed, and the account cannot stand for Norwegian households. It does give Yeva's domestic work an economic setting which the word housewife alone would miss.</w:t>
      </w:r>
    </w:p>
    <w:p>
      <w:pPr>
        <w:widowControl/>
        <w:spacing w:after="40" w:line="320"/>
        <w:ind w:firstLine="260"/>
      </w:pPr>
      <w:r>
        <w:t xml:space="preserve">Her place in this book cannot be limited to the line connecting her to Valentin and Michael. That line matters to the Solbak Årnes family's history. The account of her work asks for a different kind of attention: someone had to prepare the food from which the household earned money. A history concerned with descent can overlook that work even while remembering the person who performed it.</w:t>
      </w:r>
    </w:p>
    <w:p>
      <w:pPr>
        <w:widowControl/>
        <w:spacing w:after="40" w:line="320"/>
        <w:ind w:firstLine="260"/>
      </w:pPr>
      <w:r>
        <w:t xml:space="preserve">Here, domestic work helped earn the household's income. Yeva and Pavel's different tasks belonged to the same undertaking.</w:t>
      </w:r>
    </w:p>
    <w:p>
      <w:pPr>
        <w:widowControl/>
        <w:spacing w:after="40" w:line="320"/>
        <w:ind w:firstLine="260"/>
      </w:pPr>
      <w:r>
        <w:t xml:space="preserve">This is one reason the Norwegian frame of my upbringing must remain open to the family history that preceded it. I cannot fit every generation into a Norwegian post-war arrangement and then treat the result as continuity. The Jewish history brings other places and circumstances into the enquiry. Keeping them visible is part of taking the inheritance seriously, rather than selecting only the parts that resemble the country in which I grew up.</w:t>
      </w:r>
    </w:p>
    <w:p>
      <w:pPr>
        <w:widowControl/>
        <w:spacing w:after="40" w:line="320"/>
        <w:ind w:firstLine="260"/>
      </w:pPr>
      <w:r>
        <w:t xml:space="preserve">Nor do I want the correction to become contempt for the mid-century home. A particular arrangement may have supported faithful marriages, patient care and time with children. Those goods should be described where there is evidence for them. They do not become less valuable because the arrangement was historically situated. The error comes when its virtues are assumed for every home of that form, or when its form becomes a condition of recognising virtue elsewhere.</w:t>
      </w:r>
    </w:p>
    <w:p>
      <w:pPr>
        <w:widowControl/>
        <w:spacing w:after="40" w:line="320"/>
        <w:ind w:firstLine="260"/>
      </w:pPr>
      <w:r>
        <w:t xml:space="preserve">My Christian claim concerns the responsibilities people bear within their relations. A household diagram cannot make people truthful or faithful, or ensure that they care for those who need protection. People have to meet those responsibilities under the conditions in which they actually live. An appeal to creation cannot spare me the work of finding out what those conditions are. It cannot make one division of wages and housework sacred merely because I find it familiar.</w:t>
      </w:r>
    </w:p>
    <w:p>
      <w:pPr>
        <w:widowControl/>
        <w:spacing w:after="40" w:line="320"/>
        <w:ind w:firstLine="260"/>
      </w:pPr>
      <w:r>
        <w:t xml:space="preserve">This leaves a demanding question for any proposed return. Which good is being sought, and what would make it possible now? More time with children is a different proposal from requiring every mother to leave paid work. Supporting a father in the care of his children requires attention to what he does, as well as to where he lives. The proposal needs to name its good clearly enough that its consequences can be examined.</w:t>
      </w:r>
    </w:p>
    <w:p>
      <w:pPr>
        <w:widowControl/>
        <w:spacing w:after="40" w:line="320"/>
        <w:ind w:firstLine="260"/>
      </w:pPr>
      <w:r>
        <w:t xml:space="preserve">Mother, father and parent therefore need separate consideration. They can name actual people and responsibilities. They can also be made to carry claims which the speaker has not established. Once the mid-century picture ceases to settle the argument in advance, I have to explain when each word is necessary and what evidence warrants it.</w:t>
      </w:r>
    </w:p>
    <w:p>
      <w:pPr>
        <w:pStyle w:val="Heading2"/>
        <w:keepNext/>
        <w:pageBreakBefore/>
        <w:spacing w:after="400" w:before="0"/>
      </w:pPr>
      <w:bookmarkStart w:name="kap-23" w:id="1"/>
      <w:r>
        <w:t xml:space="preserve">23. Mothers, Fathers, Parents</w:t>
      </w:r>
      <w:bookmarkEnd w:id="1"/>
    </w:p>
    <w:p>
      <w:pPr>
        <w:widowControl/>
        <w:spacing w:after="40" w:line="320"/>
        <w:ind w:firstLine="0"/>
      </w:pPr>
      <w:r>
        <w:t xml:space="preserve">If I write that a father should listen to his child, I should ask what changes when I replace father with parent. Often the obligation remains exactly the same. Keeping the narrower word may still be right if I am addressing a particular man or describing a relationship that a source actually examined. It is less defensible if the word is carrying a claim of male importance that the sentence has not earned.</w:t>
      </w:r>
    </w:p>
    <w:p>
      <w:pPr>
        <w:widowControl/>
        <w:spacing w:after="40" w:line="320"/>
        <w:ind w:firstLine="260"/>
      </w:pPr>
      <w:r>
        <w:t xml:space="preserve">Where I mean a responsibility borne by either parent, I can say so. Where a source studied fathers, I should preserve that fact. Where I describe a mother, replacing her with a generic parent may remove something essential to the account. Accuracy requires choosing the word that identifies the person or finding, then resisting the temptation to make it do more.</w:t>
      </w:r>
    </w:p>
    <w:p>
      <w:pPr>
        <w:widowControl/>
        <w:spacing w:after="40" w:line="320"/>
        <w:ind w:firstLine="260"/>
      </w:pPr>
      <w:r>
        <w:t xml:space="preserve">A 2008 review by Anna Sarkadi and colleagues examined 24 publications from 16 longitudinal studies, covering about 22,300 individual datasets from infancy to young adulthood. Fourteen publications came from the United States and seven from the United Kingdom. Biological fathers and father figures were included. The authors found support for active, regular interaction with children across selected developmental outcomes. They did not establish a uniquely effective kind of interaction.</w:t>
      </w:r>
    </w:p>
    <w:p>
      <w:pPr>
        <w:widowControl/>
        <w:spacing w:after="40" w:line="320"/>
        <w:ind w:firstLine="260"/>
      </w:pPr>
      <w:r>
        <w:t xml:space="preserve">Eighteen publications controlled for socioeconomic status; sixteen of those reported positive findings, often confined to subgroups. Different measures and possible confounding limited the conclusions.</w:t>
      </w:r>
      <w:r>
        <w:rPr>
          <w:vertAlign w:val="superscript"/>
        </w:rPr>
        <w:t xml:space="preserve">1</w:t>
      </w:r>
      <w:r>
        <w:t xml:space="preserve"> This supports taking fathers' involvement seriously. It does not rank fathers above mothers or turn every instance of paternal presence into a benefit.</w:t>
      </w:r>
    </w:p>
    <w:p>
      <w:pPr>
        <w:widowControl/>
        <w:spacing w:after="40" w:line="320"/>
        <w:ind w:firstLine="260"/>
      </w:pPr>
      <w:r>
        <w:t xml:space="preserve">I do not need that ranking in order to address a father directly. He can be responsible for the care he gives without being told that nobody else can give good care. The ordinary demand is already considerable: to attend to the child in front of him, know something of the child's life and accept that a response may require him to change what he is doing. Exclusivity would add prestige to the role. It would not make him more answerable for how he fulfils it.</w:t>
      </w:r>
    </w:p>
    <w:p>
      <w:pPr>
        <w:widowControl/>
        <w:spacing w:after="40" w:line="320"/>
        <w:ind w:firstLine="260"/>
      </w:pPr>
      <w:r>
        <w:t xml:space="preserve">The comparison with mothers must also survive findings that do not favour fathers. Audrey-Ann Deneault, Natasha Cabrera and Jean-François Bureau's 2022 meta-analysis covered 93 studies, primarily from North America and Europe, involving partnered mothers and fathers and 10,980 child–father pairs. Children were aged three to 180 months. The published abstract reported slightly higher average observed maternal sensitivity, with a small difference of d = −0.27. The difference was not statistically significant in the European samples.</w:t>
      </w:r>
      <w:r>
        <w:rPr>
          <w:vertAlign w:val="superscript"/>
        </w:rPr>
        <w:t xml:space="preserve">2</w:t>
      </w:r>
      <w:r>
        <w:t xml:space="preserve"> That subgroup finding does not prove equivalence, and neither result identifies what any particular mother or father will do.</w:t>
      </w:r>
    </w:p>
    <w:p>
      <w:pPr>
        <w:widowControl/>
        <w:spacing w:after="40" w:line="320"/>
        <w:ind w:firstLine="260"/>
      </w:pPr>
      <w:r>
        <w:t xml:space="preserve">A mother should not have to wait for a favourable comparison to have her work taken seriously. Nor should a finding about observed sensitivity become a command that she alone must provide sensitive care. An average is a description of observations within a defined body of research. Turning it into a permanent assignment of duties requires an argument the average itself cannot supply.</w:t>
      </w:r>
    </w:p>
    <w:p>
      <w:pPr>
        <w:widowControl/>
        <w:spacing w:after="40" w:line="320"/>
        <w:ind w:firstLine="260"/>
      </w:pPr>
      <w:r>
        <w:t xml:space="preserve">The distinction matters to this family history. Yeva is a named person whose work and relationships belong to the account in their own right. If she appeared only to establish the next male generation, a book about inheritance would reproduce a selective memory while claiming to repair one. The same attention must apply wherever the surviving material allows a woman's life to be described. Acknowledging that requirement does not justify inventing the parts the sources leave out.</w:t>
      </w:r>
    </w:p>
    <w:p>
      <w:pPr>
        <w:widowControl/>
        <w:spacing w:after="40" w:line="320"/>
        <w:ind w:firstLine="260"/>
      </w:pPr>
      <w:r>
        <w:t xml:space="preserve">Religious transmission requires another comparison. Brian Conway, Bram Spruyt and José Pereira Coutinho's 2023 study used ISSP 2018 responses from about 9,300 people with at least one Catholic parent, in Austria, Croatia, the Czech Republic, France, Germany, Hungary, Italy, Lithuania, Slovakia, Slovenia, Spain and Switzerland. Norway was excluded. In their second model, recalled paternal church attendance had stronger positive associations than maternal attendance with respondents' religious self-perception, prayer, church attendance and belief in God. Both parents' attendance mattered.</w:t>
      </w:r>
    </w:p>
    <w:p>
      <w:pPr>
        <w:widowControl/>
        <w:spacing w:after="40" w:line="320"/>
        <w:ind w:firstLine="260"/>
      </w:pPr>
      <w:r>
        <w:t xml:space="preserve">These were cross-sectional, retrospective reports, not a test establishing which parent's conduct caused the outcomes.</w:t>
      </w:r>
      <w:r>
        <w:rPr>
          <w:vertAlign w:val="superscript"/>
        </w:rPr>
        <w:t xml:space="preserve">3</w:t>
      </w:r>
      <w:r>
        <w:t xml:space="preserve"> The finding gives a reason to retain father in an account of this particular comparison. It cannot establish paternal religious priority for Norway or for all families.</w:t>
      </w:r>
    </w:p>
    <w:p>
      <w:pPr>
        <w:widowControl/>
        <w:spacing w:after="40" w:line="320"/>
        <w:ind w:firstLine="260"/>
      </w:pPr>
      <w:r>
        <w:t xml:space="preserve">It certainly cannot tell me what Jewish belonging means in the Solbak Årnes family. Catholic religious practice and a family's Jewish history are not interchangeable objects of study. A measure of church attendance cannot decide the legitimacy of an ancestry, the meaning of a preserved account or what a relative believed. I must keep the research question distinct from the family question even when both concern something being passed between generations.</w:t>
      </w:r>
    </w:p>
    <w:p>
      <w:pPr>
        <w:widowControl/>
        <w:spacing w:after="40" w:line="320"/>
        <w:ind w:firstLine="260"/>
      </w:pPr>
      <w:r>
        <w:t xml:space="preserve">My Christian commitments introduce responsibilities for me. They do not give me authority to turn a relative's Jewish life into evidence for a Christian destination. The inheritance deserves to be known in the terms the sources support. Where I offer a Christian reading of my own obligations towards it, that reading must remain mine. A mother or father in the genealogy cannot be made to speak it on my behalf.</w:t>
      </w:r>
    </w:p>
    <w:p>
      <w:pPr>
        <w:widowControl/>
        <w:spacing w:after="40" w:line="320"/>
        <w:ind w:firstLine="260"/>
      </w:pPr>
      <w:r>
        <w:t xml:space="preserve">The reciprocal turning I am defending also prevents responsibility from running in only one direction. A father may have something to teach and something to hear. A child may receive an inheritance and later need to correct the account in which it was presented. Neither position guarantees wisdom. If turning becomes a demand that the younger person simply submit, I have removed the older person's duty to respond.</w:t>
      </w:r>
    </w:p>
    <w:p>
      <w:pPr>
        <w:widowControl/>
        <w:spacing w:after="40" w:line="320"/>
        <w:ind w:firstLine="260"/>
      </w:pPr>
      <w:r>
        <w:t xml:space="preserve">That duty remains even when the desired relationship cannot be restored. A parent can acknowledge what happened, correct a false claim and respect necessary distance. These actions have value without securing renewed access. I cannot praise paternal constancy in terms that make the child's protection seem like disloyalty, or use a mother's devotion to place the cost of reconciliation upon her alone.</w:t>
      </w:r>
    </w:p>
    <w:p>
      <w:pPr>
        <w:widowControl/>
        <w:spacing w:after="40" w:line="320"/>
        <w:ind w:firstLine="260"/>
      </w:pPr>
      <w:r>
        <w:t xml:space="preserve">These words let a history name who acted and let an argument identify whom it addresses. They become less useful when they offer reassurance before the relationship has been examined. Mother and father can identify two people living in the same house; neither word tells us whether their child is safe there.</w:t>
      </w:r>
    </w:p>
    <w:p>
      <w:pPr>
        <w:widowControl/>
        <w:spacing w:after="40" w:line="320"/>
        <w:ind w:firstLine="260"/>
      </w:pPr>
      <w:r>
        <w:t xml:space="preserve">That is the test a defence of enduring family must now face. It must be willing to hear an account from within a home whose outward form gives no warning of what the person remembers. Otherwise the form will be protected precisely where the person needed protection.</w:t>
      </w:r>
    </w:p>
    <w:p>
      <w:pPr>
        <w:pStyle w:val="Heading2"/>
        <w:keepNext/>
        <w:pageBreakBefore/>
        <w:spacing w:after="400" w:before="0"/>
      </w:pPr>
      <w:bookmarkStart w:name="kap-24" w:id="1"/>
      <w:r>
        <w:t xml:space="preserve">24. An Intact Home That Was Not Safe</w:t>
      </w:r>
      <w:bookmarkEnd w:id="1"/>
    </w:p>
    <w:p>
      <w:pPr>
        <w:widowControl/>
        <w:spacing w:after="40" w:line="320"/>
        <w:ind w:firstLine="0"/>
      </w:pPr>
      <w:r>
        <w:t xml:space="preserve">James Mill wrote Greek words on cards for his son to learn. John Stuart Mill remembered the cards. He did not remember beginning Greek; he had been told that he was three.</w:t>
      </w:r>
      <w:r>
        <w:rPr>
          <w:vertAlign w:val="superscript"/>
        </w:rPr>
        <w:t xml:space="preserve">1</w:t>
      </w:r>
    </w:p>
    <w:p>
      <w:pPr>
        <w:widowControl/>
        <w:spacing w:after="40" w:line="320"/>
        <w:ind w:firstLine="260"/>
      </w:pPr>
      <w:r>
        <w:t xml:space="preserve">The distinction appears in his own account. He could have presented the age as an extraordinary memory. Instead, he separated what he remembered from what somebody had told him. It is an appropriate beginning for a book in which I have asked family memories to carry so much.</w:t>
      </w:r>
    </w:p>
    <w:p>
      <w:pPr>
        <w:widowControl/>
        <w:spacing w:after="40" w:line="320"/>
        <w:ind w:firstLine="260"/>
      </w:pPr>
      <w:r>
        <w:t xml:space="preserve">Father and son worked at the same table. James was writing. John was preparing lessons. The boy did not yet know Latin and could not make use of a Greek–Latin dictionary, so each unfamiliar word sent him back to his father. Mill remembered an impatient man tolerating repeated interruptions while producing his own books. The work of educating the child occupied a substantial part of the father's day.</w:t>
      </w:r>
    </w:p>
    <w:p>
      <w:pPr>
        <w:widowControl/>
        <w:spacing w:after="40" w:line="320"/>
        <w:ind w:firstLine="260"/>
      </w:pPr>
      <w:r>
        <w:t xml:space="preserve">This was a father present in his son's life. He supported a large family through writing before obtaining employment at the India House in 1819. The son's account recognises the labour involved. James's determination did not leave much unused time for either of them.</w:t>
      </w:r>
    </w:p>
    <w:p>
      <w:pPr>
        <w:widowControl/>
        <w:spacing w:after="40" w:line="320"/>
        <w:ind w:firstLine="260"/>
      </w:pPr>
      <w:r>
        <w:t xml:space="preserve">Learning also took place during walks. John would tell his father about what he had read, using notes made on slips of paper. History interested him. The father required explanations to be returned in the boy's own words. Later, in political economy, written accounts had to be rewritten until they were clear enough. Mill considered the method capable of producing a thinker, and believed it had done so in him.</w:t>
      </w:r>
    </w:p>
    <w:p>
      <w:pPr>
        <w:widowControl/>
        <w:spacing w:after="40" w:line="320"/>
        <w:ind w:firstLine="260"/>
      </w:pPr>
      <w:r>
        <w:t xml:space="preserve">His account also records demands beyond what he could manage. In mathematics he sometimes lacked the earlier knowledge needed to solve a problem, and his inability displeased his father. The adult narrator could identify that mismatch without dismissing the whole education. James had given him abilities he valued. He had also expected things the child could not yet do.</w:t>
      </w:r>
    </w:p>
    <w:p>
      <w:pPr>
        <w:widowControl/>
        <w:spacing w:after="40" w:line="320"/>
        <w:ind w:firstLine="260"/>
      </w:pPr>
      <w:r>
        <w:t xml:space="preserve">When John began Latin, a younger sister learnt from him and repeated the lesson to their father. More siblings followed. He disliked this preparatory teaching, for he was held responsible for their lessons almost as fully as for his own. He acknowledged that teaching had helped him retain and explain what he learnt. He also judged the arrangement poorly as an education for the younger children and as a relationship between them.</w:t>
      </w:r>
    </w:p>
    <w:p>
      <w:pPr>
        <w:widowControl/>
        <w:spacing w:after="40" w:line="320"/>
        <w:ind w:firstLine="260"/>
      </w:pPr>
      <w:r>
        <w:t xml:space="preserve">There is no clean division here between a gift and a cost. The same practice could give him a capacity and place him under a burden. A list of accomplishments would record the capacity. It would tell us less about the burden unless the person who carried it was allowed to speak.</w:t>
      </w:r>
    </w:p>
    <w:p>
      <w:pPr>
        <w:widowControl/>
        <w:spacing w:after="40" w:line="320"/>
        <w:ind w:firstLine="260"/>
      </w:pPr>
      <w:r>
        <w:t xml:space="preserve">In the next chapter of his autobiography, Mill named what he found deficient in his father's relation to the children: tenderness. He thought James had possessed more feeling than he showed. He pitied a father who worked so hard for his children while fear of him obstructed their affection.</w:t>
      </w:r>
      <w:r>
        <w:rPr>
          <w:vertAlign w:val="superscript"/>
        </w:rPr>
        <w:t xml:space="preserve">2</w:t>
      </w:r>
    </w:p>
    <w:p>
      <w:pPr>
        <w:widowControl/>
        <w:spacing w:after="40" w:line="320"/>
        <w:ind w:firstLine="260"/>
      </w:pPr>
      <w:r>
        <w:t xml:space="preserve">The younger children, he said, came to love their father tenderly. He could not say as much of himself, though he had remained devoted to him. Even the children in this one family could not be made to stand for one another. A later relationship did not cancel the earlier son's account.</w:t>
      </w:r>
    </w:p>
    <w:p>
      <w:pPr>
        <w:widowControl/>
        <w:spacing w:after="40" w:line="320"/>
        <w:ind w:firstLine="260"/>
      </w:pPr>
      <w:r>
        <w:t xml:space="preserve">Then comes the sentence which a writer using Mill as an accusation might prefer to omit. His father's severity, he wrote, had not prevented a happy childhood.</w:t>
      </w:r>
    </w:p>
    <w:p>
      <w:pPr>
        <w:widowControl/>
        <w:spacing w:after="40" w:line="320"/>
        <w:ind w:firstLine="260"/>
      </w:pPr>
      <w:r>
        <w:t xml:space="preserve">I have to keep it.</w:t>
      </w:r>
    </w:p>
    <w:p>
      <w:pPr>
        <w:widowControl/>
        <w:spacing w:after="40" w:line="320"/>
        <w:ind w:firstLine="260"/>
      </w:pPr>
      <w:r>
        <w:t xml:space="preserve">Mill left open whether his father's severity had helped his education more than it had harmed it. He continued to defend discipline, including a place for fear, in terms many readers now will reject. He welcomed the decline of brutal teaching but disliked the idea that learning should require only what could be made agreeable. The grown son was making his own argument about education, not offering himself as a witness for every later objection to paternal authority.</w:t>
      </w:r>
    </w:p>
    <w:p>
      <w:pPr>
        <w:widowControl/>
        <w:spacing w:after="40" w:line="320"/>
        <w:ind w:firstLine="260"/>
      </w:pPr>
      <w:r>
        <w:t xml:space="preserve">His limit was specific. When fear became strong enough to prevent love, confidence and frank communication with those who ought to be trusted, the benefits of an education had to be reduced by the harm done. He could value what he had received while saying that something in the receiving had gone wrong.</w:t>
      </w:r>
    </w:p>
    <w:p>
      <w:pPr>
        <w:widowControl/>
        <w:spacing w:after="40" w:line="320"/>
        <w:ind w:firstLine="260"/>
      </w:pPr>
      <w:r>
        <w:t xml:space="preserve">That is the failure of safety which concerns me here: the difficulty of speaking freely to the person upon whom one depends. It should not be confused with a claim that every part of Mill's childhood was miserable, or with a retrospective diagnosis. His own refusal of a simple verdict is part of the evidence.</w:t>
      </w:r>
    </w:p>
    <w:p>
      <w:pPr>
        <w:widowControl/>
        <w:spacing w:after="40" w:line="320"/>
        <w:ind w:firstLine="260"/>
      </w:pPr>
      <w:r>
        <w:t xml:space="preserve">Nor is his account a complete view of the household. It gives the son considerable space to describe his father. It gives us much less from the other members of the family. I cannot supply his mother's thoughts, or assume that the other children experienced the same demands in the same way. An autobiography is a person's account, even when its subject becomes famous enough to be treated as a case study.</w:t>
      </w:r>
    </w:p>
    <w:p>
      <w:pPr>
        <w:widowControl/>
        <w:spacing w:after="40" w:line="320"/>
        <w:ind w:firstLine="260"/>
      </w:pPr>
      <w:r>
        <w:t xml:space="preserve">The case does show why presence alone cannot finish an argument for fathers. James Mill worked at the same table and taught his son. Important things were handed on. The son's later achievement did not answer every question about how that happened. If we count only the successful transmission, we may overlook the relationship through which it passed.</w:t>
      </w:r>
    </w:p>
    <w:p>
      <w:pPr>
        <w:widowControl/>
        <w:spacing w:after="40" w:line="320"/>
        <w:ind w:firstLine="260"/>
      </w:pPr>
      <w:r>
        <w:t xml:space="preserve">This applies uncomfortably to my own preferences. I have written about the pleasure of being taught by Hilmar. It would be easy to turn that pleasure into an argument for bringing back a style of authority which I associate with him. But my memory is of a particular person. I have no right to lend my feeling of safety to every father who asks to be obeyed.</w:t>
      </w:r>
    </w:p>
    <w:p>
      <w:pPr>
        <w:widowControl/>
        <w:spacing w:after="40" w:line="320"/>
        <w:ind w:firstLine="260"/>
      </w:pPr>
      <w:r>
        <w:t xml:space="preserve">A person who was afraid at home should not have to make the household appear broken before the fear is taken seriously. Nor should someone who remembers happiness be told that the painful part cannot have mattered. Gratitude and criticism may belong to the same truthful account. The adult child's success cannot be used to require either gratitude or silence.</w:t>
      </w:r>
    </w:p>
    <w:p>
      <w:pPr>
        <w:widowControl/>
        <w:spacing w:after="40" w:line="320"/>
        <w:ind w:firstLine="260"/>
      </w:pPr>
      <w:r>
        <w:t xml:space="preserve">Mill is also an awkward witness for a Christian writer. He described growing up without religious belief, rather than later discarding a faith he had once held. His father's objections to religion included moral objections to what he understood Christianity to teach.</w:t>
      </w:r>
      <w:r>
        <w:rPr>
          <w:vertAlign w:val="superscript"/>
        </w:rPr>
        <w:t xml:space="preserve">3</w:t>
      </w:r>
      <w:r>
        <w:t xml:space="preserve"> I will not make the son's powers evidence that a Christian household had secretly been forming him, or make the difficulty with tenderness a consequence of unbelief. The autobiography establishes neither claim.</w:t>
      </w:r>
    </w:p>
    <w:p>
      <w:pPr>
        <w:widowControl/>
        <w:spacing w:after="40" w:line="320"/>
        <w:ind w:firstLine="260"/>
      </w:pPr>
      <w:r>
        <w:t xml:space="preserve">My Christian judgement begins with the authority I am prepared to grant a father, including myself. If Christ stands above the family, a father's wish to be honoured cannot decide whether his conduct is honourable. The child's account must be heard even when it interrupts a story of sacrifice. Work done for a child matters. It cannot purchase an exemption from listening to that child.</w:t>
      </w:r>
    </w:p>
    <w:p>
      <w:pPr>
        <w:widowControl/>
        <w:spacing w:after="40" w:line="320"/>
        <w:ind w:firstLine="260"/>
      </w:pPr>
      <w:r>
        <w:t xml:space="preserve">We can acknowledge the effort at the table and still ask whether the boy could speak there. Mill made room for both in his account. I need the same room in mine before extending any claim from a family to a country.</w:t>
      </w:r>
      <w:r>
        <w:t xml:space="preserve"> Mill is the mildest case I could have chosen: fear without violence, and a son who still called his childhood happy. I chose him for that reason, so that the claim could be tested where it is hardest to make. The harder cases, of violence and of entrapment, follow in chapter 26.</w:t>
      </w:r>
    </w:p>
    <w:p>
      <w:pPr>
        <w:widowControl/>
        <w:spacing w:after="40" w:line="320"/>
        <w:ind w:firstLine="260"/>
      </w:pPr>
      <w:r>
        <w:t xml:space="preserve">Norway has its own histories of authority exercised for people's supposed good. The next witnesses will not be drawn from an English philosopher's childhood. They belong to the history of the country this book is asking us to love truthfully.</w:t>
      </w:r>
    </w:p>
    <w:p>
      <w:pPr>
        <w:pStyle w:val="Heading2"/>
        <w:keepNext/>
        <w:pageBreakBefore/>
        <w:spacing w:after="400" w:before="0"/>
      </w:pPr>
      <w:bookmarkStart w:name="kap-25" w:id="1"/>
      <w:r>
        <w:t xml:space="preserve">25. The People Norway Made Smaller</w:t>
      </w:r>
      <w:bookmarkEnd w:id="1"/>
    </w:p>
    <w:p>
      <w:pPr>
        <w:widowControl/>
        <w:spacing w:after="40" w:line="320"/>
        <w:ind w:firstLine="0"/>
      </w:pPr>
      <w:r>
        <w:t xml:space="preserve">In 1851, the Storting established Finnefondet to finance Norwegianisation. The fund lasted until 1921. The Storting's later historical account describes the aim in designated transition districts: pupils were to move from using Sámi, Kven or Finnish in daily life to using Norwegian. The districts changed over time.</w:t>
      </w:r>
      <w:r>
        <w:rPr>
          <w:vertAlign w:val="superscript"/>
        </w:rPr>
        <w:t xml:space="preserve">1</w:t>
      </w:r>
      <w:r>
        <w:t xml:space="preserve"> The desired result concerned what a child would carry out of school and into ordinary life.</w:t>
      </w:r>
    </w:p>
    <w:p>
      <w:pPr>
        <w:widowControl/>
        <w:spacing w:after="40" w:line="320"/>
        <w:ind w:firstLine="260"/>
      </w:pPr>
      <w:r>
        <w:t xml:space="preserve">Learning an additional language can enlarge a person's opportunities. Making the replacement of a home language a policy objective is a different undertaking. It brings the relationship between school and family into direct question. A school may teach a child something the parents do not know; that fact alone is no injury to the family. Here, however, the stated ambition reached the language of everyday belonging.</w:t>
      </w:r>
    </w:p>
    <w:p>
      <w:pPr>
        <w:widowControl/>
        <w:spacing w:after="40" w:line="320"/>
        <w:ind w:firstLine="260"/>
      </w:pPr>
      <w:r>
        <w:t xml:space="preserve">The policy also involved Christian teaching. The 1898 instruction known as the Wexelsen-plakaten made Norwegian the regular language of instruction in every subject, including Christianity, in the transition districts. Sámi and Kven remained permissible as auxiliary languages. In 1936, the Storting retained only Sámi in that auxiliary role.</w:t>
      </w:r>
      <w:r>
        <w:rPr>
          <w:vertAlign w:val="superscript"/>
        </w:rPr>
        <w:t xml:space="preserve">1</w:t>
      </w:r>
      <w:r>
        <w:t xml:space="preserve"> These were changing rules, not one unvarying prohibition, and their wording cannot describe every teacher's conduct.</w:t>
      </w:r>
    </w:p>
    <w:p>
      <w:pPr>
        <w:widowControl/>
        <w:spacing w:after="40" w:line="320"/>
        <w:ind w:firstLine="260"/>
      </w:pPr>
      <w:r>
        <w:t xml:space="preserve">For my argument, the inclusion of Christianity is consequential. I am asking what people receive through a Christian inheritance. I therefore have to examine circumstances in which teaching Christianity was organised around the replacement of another inheritance. The identity of the subject does not settle the goodness of the means. Calling the instruction Christian cannot exempt the language policy from scrutiny.</w:t>
      </w:r>
    </w:p>
    <w:p>
      <w:pPr>
        <w:widowControl/>
        <w:spacing w:after="40" w:line="320"/>
        <w:ind w:firstLine="260"/>
      </w:pPr>
      <w:r>
        <w:t xml:space="preserve">Nor can I resolve the problem by imagining that a child ought to have chosen between faith and the language of home. That choice is not mine to prescribe. If my defence of Christian formation requires the family to surrender the terms in which it knows itself, the defence has become a demand for conformity. It has ceased to ask whether the person can understand what is taught and answer freely.</w:t>
      </w:r>
    </w:p>
    <w:p>
      <w:pPr>
        <w:widowControl/>
        <w:spacing w:after="40" w:line="320"/>
        <w:ind w:firstLine="260"/>
      </w:pPr>
      <w:r>
        <w:t xml:space="preserve">The difference between the treatment of Sámi and Kven also prevents the convenient phrase minorities from carrying the whole history. The people were not interchangeable, and neither were the policies directed towards them. Naming the distinction is part of identifying responsibility. A general expression of regret would allow me to move on without learning what actually changed for whom.</w:t>
      </w:r>
    </w:p>
    <w:p>
      <w:pPr>
        <w:widowControl/>
        <w:spacing w:after="40" w:line="320"/>
        <w:ind w:firstLine="260"/>
      </w:pPr>
      <w:r>
        <w:t xml:space="preserve">The treatment of the taterne/romanifolket requires another institutional account. The 2015 official inquiry identifies the private organisation later called Norsk misjon blant hjemløse as a central agent of assimilation. Founded in 1897, it received state funding. A government resolution in 1907 assigned it responsibility for settlement and associated relief, with state reimbursement. The inquiry describes a policy aimed at ending the group's travelling way of life and making it socially and culturally like the majority. The agreement remained in force until 1986, although methods and intensity changed.</w:t>
      </w:r>
      <w:r>
        <w:rPr>
          <w:vertAlign w:val="superscript"/>
        </w:rPr>
        <w:t xml:space="preserve">2</w:t>
      </w:r>
    </w:p>
    <w:p>
      <w:pPr>
        <w:widowControl/>
        <w:spacing w:after="40" w:line="320"/>
        <w:ind w:firstLine="260"/>
      </w:pPr>
      <w:r>
        <w:t xml:space="preserve">Here, the work of becoming like the majority could be presented as help. That places a burden on any defence of benevolent institutions. A person may need food or a place to live. Providing either, or offering instruction, does not by itself answer whether the recipient is being allowed to remain a member of a people. Assistance can meet a real need while the conditions attached to it attack something the recipient has reason to preserve. The presence of a need does not settle the justice of every condition.</w:t>
      </w:r>
    </w:p>
    <w:p>
      <w:pPr>
        <w:widowControl/>
        <w:spacing w:after="40" w:line="320"/>
        <w:ind w:firstLine="260"/>
      </w:pPr>
      <w:r>
        <w:t xml:space="preserve">Responsibility also cannot be divided neatly between a secular state and a religious conscience standing outside it. The inquiry records a private organisation led by ordained Church of Norway clergy and supported through public powers and money.</w:t>
      </w:r>
      <w:r>
        <w:rPr>
          <w:vertAlign w:val="superscript"/>
        </w:rPr>
        <w:t xml:space="preserve">2</w:t>
      </w:r>
      <w:r>
        <w:t xml:space="preserve"> The organisation was not identical with the whole Church of Norway.</w:t>
      </w:r>
    </w:p>
    <w:p>
      <w:pPr>
        <w:widowControl/>
        <w:spacing w:after="40" w:line="320"/>
        <w:ind w:firstLine="260"/>
      </w:pPr>
      <w:r>
        <w:t xml:space="preserve">A Christian institution can sincerely understand itself as doing good and still need to answer for the account of the person upon which its work depends. If it first defines a way of life as a problem to be removed, its subsequent care may be measured against the removal of that life. The question then reaches beyond whether its staff worked hard or whether some recipients were grateful. It concerns what the institution was authorised to make of the people entrusted to it.</w:t>
      </w:r>
    </w:p>
    <w:p>
      <w:pPr>
        <w:widowControl/>
        <w:spacing w:after="40" w:line="320"/>
        <w:ind w:firstLine="260"/>
      </w:pPr>
      <w:r>
        <w:t xml:space="preserve">These histories impose a cost on the argument I would prefer to make. I cannot invoke an older national coherence as though coherence itself told me whose life was sustained by it. The continuity I value may have been made easier for some people while the continuity of others was treated as an obstacle. To describe the nation as an inheritance, I must include the institutions that made those decisions and the people required to live with them.</w:t>
      </w:r>
    </w:p>
    <w:p>
      <w:pPr>
        <w:widowControl/>
        <w:spacing w:after="40" w:line="320"/>
        <w:ind w:firstLine="260"/>
      </w:pPr>
      <w:r>
        <w:t xml:space="preserve">That does not permit a verdict against every Norwegian family or congregation. Neither do I need to declare every familiar practice suspect before valuing what was handed down well. The more difficult task is to identify the good without using it to acquit the surrounding order. An act of care remains worth remembering. It does not establish that the authority under which it occurred should be restored in full.</w:t>
      </w:r>
    </w:p>
    <w:p>
      <w:pPr>
        <w:widowControl/>
        <w:spacing w:after="40" w:line="320"/>
        <w:ind w:firstLine="260"/>
      </w:pPr>
      <w:r>
        <w:t xml:space="preserve">The Solbak Årnes family's Jewish history makes this a present responsibility for the book. I want our history to be known without requiring it to resemble an approved picture of Norwegian belonging. That purpose would be contradicted by a national argument which allowed the majority alone to decide what others may carry forward. The principle has to govern my account of Norway, including where I speak without the authority of a family witness.</w:t>
      </w:r>
    </w:p>
    <w:p>
      <w:pPr>
        <w:widowControl/>
        <w:spacing w:after="40" w:line="320"/>
        <w:ind w:firstLine="260"/>
      </w:pPr>
      <w:r>
        <w:t xml:space="preserve">Their experience does not become mine because I have an interest in Jewish inheritance. The records considered here do not explain what happened in my family, and they give me no authority to speak as a Sámi, Kven or Romani witness. They do establish subjects that a history of Norwegian transmission cannot honestly leave outside. I can take responsibility for how I use those records without claiming the suffering they describe as part of my own biography.</w:t>
      </w:r>
    </w:p>
    <w:p>
      <w:pPr>
        <w:widowControl/>
        <w:spacing w:after="40" w:line="320"/>
        <w:ind w:firstLine="260"/>
      </w:pPr>
      <w:r>
        <w:t xml:space="preserve">This also changes what I can ask of a future Norway. The purpose cannot simply be to make the country better at reproducing an inherited form. A country can become effective at transmitting a mistaken judgement about its neighbours. The question includes whose knowledge is admitted, whose continuity is respected and whether a person can object without being told that the objection disqualifies them from belonging.</w:t>
      </w:r>
    </w:p>
    <w:p>
      <w:pPr>
        <w:widowControl/>
        <w:spacing w:after="40" w:line="320"/>
        <w:ind w:firstLine="260"/>
      </w:pPr>
      <w:r>
        <w:t xml:space="preserve">There will still be legitimate limits upon conduct. Respect for a culture cannot excuse harm to a person within it. But a judgement about harmful conduct needs evidence of that conduct; the person's membership of a group cannot supply the missing evidence. I must preserve that distinction when defending a family as firmly as when criticising a public institution. Otherwise belonging becomes either a reason to excuse anything or a reason to suspect everything.</w:t>
      </w:r>
    </w:p>
    <w:p>
      <w:pPr>
        <w:widowControl/>
        <w:spacing w:after="40" w:line="320"/>
        <w:ind w:firstLine="260"/>
      </w:pPr>
      <w:r>
        <w:t xml:space="preserve">The historical work therefore changes the meaning of preservation. Some inherited practices should be continued. Others need to be named accurately so that they are not continued under more attractive descriptions. Both tasks require memory. Forgetting an institution's coercion would be a failure of transmission, just as forgetting a relative's patient work would be, though the obligations created by the two memories are different.</w:t>
      </w:r>
    </w:p>
    <w:p>
      <w:pPr>
        <w:widowControl/>
        <w:spacing w:after="40" w:line="320"/>
        <w:ind w:firstLine="260"/>
      </w:pPr>
      <w:r>
        <w:t xml:space="preserve">Public instructions and funded organisations leave records that can be examined. The authority exercised inside a home or an institution may be harder for the person subject to it to challenge. A book that recognises coercion in national policy must also be willing to consider what remained unreported within structures praised for their permanence.</w:t>
      </w:r>
    </w:p>
    <w:p>
      <w:pPr>
        <w:pStyle w:val="Heading2"/>
        <w:keepNext/>
        <w:pageBreakBefore/>
        <w:spacing w:after="400" w:before="0"/>
      </w:pPr>
      <w:bookmarkStart w:name="kap-26" w:id="1"/>
      <w:r>
        <w:t xml:space="preserve">26. Behind the Closed Door</w:t>
      </w:r>
      <w:bookmarkEnd w:id="1"/>
    </w:p>
    <w:p>
      <w:pPr>
        <w:widowControl/>
        <w:spacing w:after="40" w:line="320"/>
        <w:ind w:firstLine="0"/>
      </w:pPr>
      <w:r>
        <w:t xml:space="preserve">An inspection can record clean rooms without discovering whether the children in them are safe. The Norwegian inquiry into children's institutions in 1945–1980 found that visits were often announced, that inspectors and institutional leaders could know one another, and that reports gave little space to direct contact with children. More attention could go to the accounts or the state of the premises, including hygiene.</w:t>
      </w:r>
      <w:r>
        <w:rPr>
          <w:vertAlign w:val="superscript"/>
        </w:rPr>
        <w:t xml:space="preserve">1</w:t>
      </w:r>
    </w:p>
    <w:p>
      <w:pPr>
        <w:widowControl/>
        <w:spacing w:after="40" w:line="320"/>
        <w:ind w:firstLine="260"/>
      </w:pPr>
      <w:r>
        <w:t xml:space="preserve">This was a failure within an arrangement intended to protect. It matters that the arrangement existed. Rules and responsible offices gave adults duties against which their conduct could be judged. Their existence also created a danger if outsiders treated the presence of supervision as proof that supervision worked. A child needed someone capable of hearing an account that contradicted the institution's account of itself.</w:t>
      </w:r>
    </w:p>
    <w:p>
      <w:pPr>
        <w:widowControl/>
        <w:spacing w:after="40" w:line="320"/>
        <w:ind w:firstLine="260"/>
      </w:pPr>
      <w:r>
        <w:t xml:space="preserve">The inquiry drew on contemporary inspections, archives and retrospective testimony. It concluded that neglect and physical and sexual abuse had occurred in many institutions, while recording differences between institutions and uncertainty about prevalence. Self-selected compensation material could establish occurrence without supplying a representative rate. Much of the physical punishment identified was already unlawful at the time.</w:t>
      </w:r>
      <w:r>
        <w:rPr>
          <w:vertAlign w:val="superscript"/>
        </w:rPr>
        <w:t xml:space="preserve">1</w:t>
      </w:r>
    </w:p>
    <w:p>
      <w:pPr>
        <w:widowControl/>
        <w:spacing w:after="40" w:line="320"/>
        <w:ind w:firstLine="260"/>
      </w:pPr>
      <w:r>
        <w:t xml:space="preserve">Historical context therefore cannot do all the work sometimes asked of it. Understanding the standards of an earlier period is necessary before judging conduct. Where conduct violated standards already in force, however, the question is partly why those standards failed to govern. We do not need to imagine ourselves morally superior to everyone who came before us in order to recognise a duty that was neglected then.</w:t>
      </w:r>
    </w:p>
    <w:p>
      <w:pPr>
        <w:widowControl/>
        <w:spacing w:after="40" w:line="320"/>
        <w:ind w:firstLine="260"/>
      </w:pPr>
      <w:r>
        <w:t xml:space="preserve">Nor should a record of conscientious work be discarded. The inquiry also found evidence of staff commitment, and of inspections that exposed unacceptable conditions.</w:t>
      </w:r>
      <w:r>
        <w:rPr>
          <w:vertAlign w:val="superscript"/>
        </w:rPr>
        <w:t xml:space="preserve">1</w:t>
      </w:r>
      <w:r>
        <w:t xml:space="preserve"> Such evidence prevents a false verdict against every person involved. It cannot acquit an institution of a particular child's injury. Care given to one person and harm done to another both belong in the account; neither makes the other disappear.</w:t>
      </w:r>
    </w:p>
    <w:p>
      <w:pPr>
        <w:widowControl/>
        <w:spacing w:after="40" w:line="320"/>
        <w:ind w:firstLine="260"/>
      </w:pPr>
      <w:r>
        <w:t xml:space="preserve">I have argued for enduring relationships because a person needs more than a succession of transactions. An enduring arrangement must remain answerable for what it endures in doing. Length of service may be admirable. It cannot replace examination of the service. Familiarity may help someone notice a change, but it can also make an accusation harder to accept.</w:t>
      </w:r>
    </w:p>
    <w:p>
      <w:pPr>
        <w:widowControl/>
        <w:spacing w:after="40" w:line="320"/>
        <w:ind w:firstLine="260"/>
      </w:pPr>
      <w:r>
        <w:t xml:space="preserve">The authority to challenge should not depend on an injured person first becoming someone else: older, more articulate, less dependent, or more convenient to believe. A child cannot be required to match an institution's command of its records before being heard. That does not abolish the need to investigate an allegation. It makes investigation possible without granting the existing authority a presumption that its reputation settles the facts.</w:t>
      </w:r>
    </w:p>
    <w:p>
      <w:pPr>
        <w:widowControl/>
        <w:spacing w:after="40" w:line="320"/>
        <w:ind w:firstLine="260"/>
      </w:pPr>
      <w:r>
        <w:t>Belonging could create another kind of exposure. A government white paper in 2004 considered the experience of krigsbarn, defined there as children born in 1940–1946 to Norwegian mothers and to fathers who were soldiers of the German occupying power. Drawing on research, organisations and individual accounts, it recorded reports of bullying by adults as well as children, including accounts involving teachers, health personnel and clergy. It also recognised the burden of feeling compelled to conceal that identity.</w:t>
      </w:r>
      <w:r>
        <w:rPr>
          <w:vertAlign w:val="superscript"/>
        </w:rPr>
        <w:t xml:space="preserve">2</w:t>
      </w:r>
    </w:p>
    <w:p>
      <w:pPr>
        <w:widowControl/>
        <w:spacing w:after="40" w:line="320"/>
        <w:ind w:firstLine="260"/>
      </w:pPr>
      <w:r>
        <w:t xml:space="preserve">These are reported experiences considered by the government, not a claim that every child had the same upbringing or that every account had been independently established. A child could be treated as an answerable representative of a history the child had not chosen and could not have directed. Condemnation of the occupying power offered no justification for making descent itself an offence.</w:t>
      </w:r>
    </w:p>
    <w:p>
      <w:pPr>
        <w:widowControl/>
        <w:spacing w:after="40" w:line="320"/>
        <w:ind w:firstLine="260"/>
      </w:pPr>
      <w:r>
        <w:t xml:space="preserve">A national memory can honour resistance and still have to examine what was done in the name of the victorious nation afterwards. Pride in a justified cause does not settle the justice of its later uses. If belonging is made conditional on an acceptable parentage, the child is asked to answer a charge for which no conduct could provide an adequate defence. The family's name becomes evidence before the person has spoken.</w:t>
      </w:r>
    </w:p>
    <w:p>
      <w:pPr>
        <w:widowControl/>
        <w:spacing w:after="40" w:line="320"/>
        <w:ind w:firstLine="260"/>
      </w:pPr>
      <w:r>
        <w:t xml:space="preserve">I must not enlist these children as witnesses to my family's experience. Their history is not an alternative account of Jewish life in Norway. It tests a rule that this book has reason to defend: knowledge of descent creates obligations to tell the truth, not permission to assign inherited guilt. The same rule must hold when another family's history makes me uncomfortable.</w:t>
      </w:r>
    </w:p>
    <w:p>
      <w:pPr>
        <w:widowControl/>
        <w:spacing w:after="40" w:line="320"/>
        <w:ind w:firstLine="260"/>
      </w:pPr>
      <w:r>
        <w:t xml:space="preserve">The home presents a different problem. A person may have the right to leave and still lack the means to establish a safe life elsewhere. The official inquiry into violence against women in close relationships, published in 2003, identified economic and social insecurity as possible barriers to leaving. Separation could remove income or maintenance while adding housing costs and other expenses. The inquiry also acknowledged limited systematic Norwegian knowledge about how social services met these needs.</w:t>
      </w:r>
      <w:r>
        <w:rPr>
          <w:vertAlign w:val="superscript"/>
        </w:rPr>
        <w:t xml:space="preserve">3</w:t>
      </w:r>
    </w:p>
    <w:p>
      <w:pPr>
        <w:widowControl/>
        <w:spacing w:after="40" w:line="320"/>
        <w:ind w:firstLine="260"/>
      </w:pPr>
      <w:r>
        <w:t xml:space="preserve">That dated assessment supplies no verdict on every marriage, and it cannot describe every woman's circumstances. It does give substance to the difference between permitting an exit and making an exit possible. An account of family permanence that ignores money may mistake constrained endurance for a freely renewed commitment. The fact that someone remained does not tell us what leaving would have cost, or what resources were available.</w:t>
      </w:r>
    </w:p>
    <w:p>
      <w:pPr>
        <w:widowControl/>
        <w:spacing w:after="40" w:line="320"/>
        <w:ind w:firstLine="260"/>
      </w:pPr>
      <w:r>
        <w:t xml:space="preserve">A defence of the family should be able to support practical help for a person leaving violence without treating that help as an attack on family life. Otherwise the institution receives protection precisely where the person does not. I cannot ask a reader to accept a language of covenant which makes their safety evidence of disloyalty. Continuing a relationship is not the only way a person can take its moral seriousness into account.</w:t>
      </w:r>
    </w:p>
    <w:p>
      <w:pPr>
        <w:widowControl/>
        <w:spacing w:after="40" w:line="320"/>
        <w:ind w:firstLine="260"/>
      </w:pPr>
      <w:r>
        <w:t xml:space="preserve">This is not a general instruction to leave whenever a relationship becomes difficult. Difficulty and danger require different judgements. The point is that the ideal of endurance cannot make those judgements unnecessary. Nor does leaving settle every subsequent obligation. It changes the conditions under which obligations can be considered, and it may be what permits them to be considered without immediate coercion.</w:t>
      </w:r>
    </w:p>
    <w:p>
      <w:pPr>
        <w:widowControl/>
        <w:spacing w:after="40" w:line="320"/>
        <w:ind w:firstLine="260"/>
      </w:pPr>
      <w:r>
        <w:t xml:space="preserve">The histories in this chapter expose different failures. Oversight could become too remote from a child's life. Public hostility could attach to parentage. Economic dependence could obstruct escape from violence. A single explanation would conceal the differences. What joins them for this argument is the inadequacy of judging an arrangement only by the fact that it has survived or by the respect accorded to its name.</w:t>
      </w:r>
    </w:p>
    <w:p>
      <w:pPr>
        <w:widowControl/>
        <w:spacing w:after="40" w:line="320"/>
        <w:ind w:firstLine="260"/>
      </w:pPr>
      <w:r>
        <w:t xml:space="preserve">Norway's past contains care that deserves gratitude and harm that requires an account. I do not have to choose which of those facts the whole past will be made to represent. I do have to refuse a defence of continuity that can hear only the people continuity served well. A closed door may protect a family's privacy. It must not become the reason nobody can answer for what happens behind it.</w:t>
      </w:r>
    </w:p>
    <w:p>
      <w:pPr>
        <w:widowControl/>
        <w:spacing w:after="40" w:line="320"/>
        <w:ind w:firstLine="260"/>
      </w:pPr>
      <w:r>
        <w:t xml:space="preserve">The church cannot stand outside this examination as though its task were only to instruct other institutions. Its own authority, its teaching and the occasions on which it failed to speak belong in the record.</w:t>
      </w:r>
    </w:p>
    <w:p>
      <w:pPr>
        <w:pStyle w:val="Heading2"/>
        <w:keepNext/>
        <w:pageBreakBefore/>
        <w:spacing w:after="400" w:before="0"/>
      </w:pPr>
      <w:bookmarkStart w:name="kap-27" w:id="1"/>
      <w:r>
        <w:t xml:space="preserve">27. What the Church Did</w:t>
      </w:r>
      <w:bookmarkEnd w:id="1"/>
    </w:p>
    <w:p>
      <w:pPr>
        <w:widowControl/>
        <w:spacing w:after="40" w:line="320"/>
        <w:ind w:firstLine="0"/>
      </w:pPr>
      <w:r>
        <w:t>In October 2012, the Church of Norway's bishops acknowledged that the church had failed Jews during the occupation, and that its protest had come too late. Their statement recalled silence when Jewish identity papers were marked with a J in January 1942 and when Quisling restored the constitutional exclusion of Jews that March. It also recorded a church protest on 10 November.</w:t>
      </w:r>
      <w:r>
        <w:rPr>
          <w:vertAlign w:val="superscript"/>
        </w:rPr>
        <w:t xml:space="preserve">1</w:t>
      </w:r>
    </w:p>
    <w:p>
      <w:pPr>
        <w:widowControl/>
        <w:spacing w:after="40" w:line="320"/>
        <w:ind w:firstLine="260"/>
      </w:pPr>
      <w:r>
        <w:t>The order matters. A later protest belongs in the history, but cannot take the place of an earlier one that was not made. Neither can a later acknowledgement repair the lost opportunity to act. I am writing about an inheritance in which the ability to speak, and the decision to withhold speech, have to be considered together.</w:t>
      </w:r>
    </w:p>
    <w:p>
      <w:pPr>
        <w:widowControl/>
        <w:spacing w:after="40" w:line="320"/>
        <w:ind w:firstLine="260"/>
      </w:pPr>
      <w:r>
        <w:t xml:space="preserve">The bishops' account was not one of universal Christian passivity. It recalled opposition in 1941 to proposed racial restrictions on marriage and assistance given by clergy and members of congregations. Alongside those acts, it described a proposed protest against the restored exclusion clause being dropped from a church declaration for tactical reasons.</w:t>
      </w:r>
      <w:r>
        <w:rPr>
          <w:vertAlign w:val="superscript"/>
        </w:rPr>
        <w:t xml:space="preserve">1</w:t>
      </w:r>
      <w:r>
        <w:t xml:space="preserve"> That leaves a harder history than either unqualified institutional heroism or the accusation that nobody acted.</w:t>
      </w:r>
    </w:p>
    <w:p>
      <w:pPr>
        <w:widowControl/>
        <w:spacing w:after="40" w:line="320"/>
        <w:ind w:firstLine="260"/>
      </w:pPr>
      <w:r>
        <w:t xml:space="preserve">An institution can be brave in defending a principle on one occasion and fail to defend the people endangered on another. Its courage does not become unreal because it failed. The failure does not become smaller because the courage was real. If I ask the reader to value the church as a bearer of memory, I must allow its memory to preserve that distinction.</w:t>
      </w:r>
    </w:p>
    <w:p>
      <w:pPr>
        <w:widowControl/>
        <w:spacing w:after="40" w:line="320"/>
        <w:ind w:firstLine="260"/>
      </w:pPr>
      <w:r>
        <w:t xml:space="preserve">The difficulty reaches the book's own account of Norwegian and Jewish belonging. A national church could contest the occupier while still failing to oppose a measure directed against Jewish presence in Norway. The lives threatened by that measure were not a supplementary concern, to be added once the church's own position was secure. A defence of human worth that leaves some people waiting outside has failed at the point where they needed it.</w:t>
      </w:r>
    </w:p>
    <w:p>
      <w:pPr>
        <w:widowControl/>
        <w:spacing w:after="40" w:line="320"/>
        <w:ind w:firstLine="260"/>
      </w:pPr>
      <w:r>
        <w:t xml:space="preserve">The church's public teaching also requires examination. A 2024 report commissioned by the Bishops' Conference and the Council on Ecumenical and International Relations considered the prayer For Israel in earlier altar books. Its account of the 1889 and 1920 orders describes a prayer presenting Israel's dispersal as divine punishment for unbelief and asking for recognition of Christ. The report identifies anti-Judaism and replacement theology in that language.</w:t>
      </w:r>
      <w:r>
        <w:rPr>
          <w:vertAlign w:val="superscript"/>
        </w:rPr>
        <w:t xml:space="preserve">2</w:t>
      </w:r>
    </w:p>
    <w:p>
      <w:pPr>
        <w:widowControl/>
        <w:spacing w:after="40" w:line="320"/>
        <w:ind w:firstLine="260"/>
      </w:pPr>
      <w:r>
        <w:t xml:space="preserve">This was language made available for worship. The report explicitly says that its frequency of use is unknown. I cannot turn an authorised text into a claim that every congregation prayed it, or that anyone in my family heard it. Nor do the report's authors treat the liturgy as unchanging. They describe revisions in 1977, including the return of Old Testament readings, and later developments in the orders of service.</w:t>
      </w:r>
      <w:r>
        <w:rPr>
          <w:vertAlign w:val="superscript"/>
        </w:rPr>
        <w:t xml:space="preserve">2</w:t>
      </w:r>
    </w:p>
    <w:p>
      <w:pPr>
        <w:widowControl/>
        <w:spacing w:after="40" w:line="320"/>
        <w:ind w:firstLine="260"/>
      </w:pPr>
      <w:r>
        <w:t xml:space="preserve">The distinction between provision and practice limits what can be claimed, but it does not remove the responsibility for provision. Authorised words offer a congregation a way of seeing its neighbours. Where those words explain a people's suffering through their supposed religious failure, the teaching itself needs to be judged. Counting how often it was spoken would answer a different question about its reach.</w:t>
      </w:r>
    </w:p>
    <w:p>
      <w:pPr>
        <w:widowControl/>
        <w:spacing w:after="40" w:line="320"/>
        <w:ind w:firstLine="260"/>
      </w:pPr>
      <w:r>
        <w:t xml:space="preserve">A church I ask people to take seriously must also answer for the serious meanings it has authorised. A prayer can be part of the inheritance that requires correction. Its liturgical setting does not make correction an act of disloyalty.</w:t>
      </w:r>
    </w:p>
    <w:p>
      <w:pPr>
        <w:widowControl/>
        <w:spacing w:after="40" w:line="320"/>
        <w:ind w:firstLine="260"/>
      </w:pPr>
      <w:r>
        <w:t xml:space="preserve">There is a temptation here to separate Christianity from every Christian institution whenever the record becomes difficult. The distinction is necessary; no church office possesses Christ. But if I use the distinction only to exclude failures, while retaining every act of service as evidence for Christianity, I have arranged an argument that cannot lose. The people who encountered the institution did not encounter my later distinction. They encountered what was taught and done under its name.</w:t>
      </w:r>
    </w:p>
    <w:p>
      <w:pPr>
        <w:widowControl/>
        <w:spacing w:after="40" w:line="320"/>
        <w:ind w:firstLine="260"/>
      </w:pPr>
      <w:r>
        <w:t xml:space="preserve">Acknowledgment can also be mistaken for recovered authority. An institution says that it failed, and the statement is then presented as the answer to the failure. Confession is necessary where there is wrong to confess. It cannot appoint the injured person to the task of completing the institution's restoration by offering reassurance. Their refusal to do so would not make the confession less obligatory.</w:t>
      </w:r>
    </w:p>
    <w:p>
      <w:pPr>
        <w:widowControl/>
        <w:spacing w:after="40" w:line="320"/>
        <w:ind w:firstLine="260"/>
      </w:pPr>
      <w:r>
        <w:t xml:space="preserve">For the Solbak Årnes family, this has a direct consequence. Our Jewish history is not made legitimate by a church's willingness to recognise it. Nor does my Christian commitment confer the legitimacy that an earlier Christian teaching withheld. This book must keep faith with the particular people in the family record, rather than turn them into evidence of the church's eventual generosity.</w:t>
      </w:r>
    </w:p>
    <w:p>
      <w:pPr>
        <w:widowControl/>
        <w:spacing w:after="40" w:line="320"/>
        <w:ind w:firstLine="260"/>
      </w:pPr>
      <w:r>
        <w:t xml:space="preserve">I want our children to know the names, relationships and histories that are theirs to receive. That purpose does not authorise me to supply a Jewish ancestor with a Christian conviction that the sources do not record. It does not permit me to treat Jewish belonging as an unfinished condition awaiting my explanation. A Christian account of my own responsibilities must leave those ancestors their own lives.</w:t>
      </w:r>
    </w:p>
    <w:p>
      <w:pPr>
        <w:widowControl/>
        <w:spacing w:after="40" w:line="320"/>
        <w:ind w:firstLine="260"/>
      </w:pPr>
      <w:r>
        <w:t xml:space="preserve">The correction also reaches my preference for a more confident church. Confidence is not an adequate answer to a record of misused authority. Greater certainty could make a failure more forceful. What deserves recovery must be judged by what it asks people to believe and how it treats the people placed under its influence. The institution cannot establish that standard merely by invoking the length of its history.</w:t>
      </w:r>
    </w:p>
    <w:p>
      <w:pPr>
        <w:widowControl/>
        <w:spacing w:after="40" w:line="320"/>
        <w:ind w:firstLine="260"/>
      </w:pPr>
      <w:r>
        <w:t xml:space="preserve">Some church authority, in that moral sense, was forfeited. I cannot describe every loss of confidence as something secular society took away. Where teaching or silence injured people, the church supplied grounds for distrust. That judgement does not tell me how much of Norway's religious change it explains. It does prevent me from treating all such change as an outside attack on an innocent bearer of truth.</w:t>
      </w:r>
    </w:p>
    <w:p>
      <w:pPr>
        <w:widowControl/>
        <w:spacing w:after="40" w:line="320"/>
        <w:ind w:firstLine="260"/>
      </w:pPr>
      <w:r>
        <w:t xml:space="preserve">I still have to say what I believe is worth receiving through Christianity. The question cannot be answered by returning the church to an imagined moment before it needed to account for itself. Its teaching must be considered with this history in view. Its continuing ceremonies then raise a further question: what responsibilities continue after the ceremony is over, and who undertakes them?</w:t>
      </w:r>
    </w:p>
    <w:p>
      <w:pPr>
        <w:pStyle w:val="Heading2"/>
        <w:keepNext/>
        <w:pageBreakBefore/>
        <w:spacing w:after="400" w:before="0"/>
      </w:pPr>
      <w:bookmarkStart w:name="kap-28" w:id="1"/>
      <w:r>
        <w:t xml:space="preserve">28. After the Ceremony</w:t>
      </w:r>
      <w:bookmarkEnd w:id="1"/>
    </w:p>
    <w:p>
      <w:pPr>
        <w:widowControl/>
        <w:spacing w:after="40" w:line="320"/>
        <w:ind w:firstLine="0"/>
      </w:pPr>
      <w:r>
        <w:t xml:space="preserve">The Church of Norway describes confirmation preparation as usually lasting six to eight months. Its invitation includes conversation about what Christian faith can mean in life.</w:t>
      </w:r>
      <w:r>
        <w:rPr>
          <w:vertAlign w:val="superscript"/>
        </w:rPr>
        <w:t xml:space="preserve">1</w:t>
      </w:r>
      <w:r>
        <w:t xml:space="preserve"> A criticism that sees only the final ceremony has already missed part of what the institution offers. The service is not the whole provision, and the provision cannot be dismissed because its lasting effects are difficult to count.</w:t>
      </w:r>
    </w:p>
    <w:p>
      <w:pPr>
        <w:widowControl/>
        <w:spacing w:after="40" w:line="320"/>
        <w:ind w:firstLine="260"/>
      </w:pPr>
      <w:r>
        <w:t xml:space="preserve">I cannot write as though churches had abandoned teaching and now merely opened their doors for appointed occasions. Nor can I decide that a participant who returns infrequently has received nothing. A person may remember a teaching or continue to question it. A new practice may also escape someone counting attendance.</w:t>
      </w:r>
    </w:p>
    <w:p>
      <w:pPr>
        <w:widowControl/>
        <w:spacing w:after="40" w:line="320"/>
        <w:ind w:firstLine="260"/>
      </w:pPr>
      <w:r>
        <w:t xml:space="preserve">The question that remains is what it means to undertake formation. Instruction can introduce a person to a belief. It can explain the words a congregation uses and make room for questions about them. Participation offers another kind of knowledge: what it is like to pray with others, to listen, or to return. None of this makes a person's response predictable. If formation meant producing an approved response, the person being taught would become a result to be secured.</w:t>
      </w:r>
    </w:p>
    <w:p>
      <w:pPr>
        <w:widowControl/>
        <w:spacing w:after="40" w:line="320"/>
        <w:ind w:firstLine="260"/>
      </w:pPr>
      <w:r>
        <w:t xml:space="preserve">I am concerned with the obligations that make receiving and answering possible. They fall on adults and institutions before anyone can know what the recipient will make of them. Offering instruction well remains a duty even when it does not yield the response the teacher hoped for. Respecting that freedom does not require pretending that the teacher has nothing particular to offer.</w:t>
      </w:r>
    </w:p>
    <w:p>
      <w:pPr>
        <w:widowControl/>
        <w:spacing w:after="40" w:line="320"/>
        <w:ind w:firstLine="260"/>
      </w:pPr>
      <w:r>
        <w:t xml:space="preserve">The church's own description of baptism gives a small, concrete account of shared responsibility. Alongside the charge to parents and godparents, it describes how, in many places, the congregation is asked to welcome the person baptised.</w:t>
      </w:r>
      <w:r>
        <w:rPr>
          <w:vertAlign w:val="superscript"/>
        </w:rPr>
        <w:t xml:space="preserve">2</w:t>
      </w:r>
      <w:r>
        <w:t xml:space="preserve"> The continuation is not assigned to a household alone. A family is situated among other people who have been addressed too.</w:t>
      </w:r>
    </w:p>
    <w:p>
      <w:pPr>
        <w:widowControl/>
        <w:spacing w:after="40" w:line="320"/>
        <w:ind w:firstLine="260"/>
      </w:pPr>
      <w:r>
        <w:t xml:space="preserve">That matters to a book which gives the family a primary role. Primary cannot mean sufficient under every circumstance. A parent may need to learn what they are being asked to teach. A godparent may need a relationship with the child that extends beyond holding an honorary title. A congregation's welcome needs some possible form in the life of a person who is not already at ease there. These are questions about responsibilities, not evidence that every person charged with them has failed.</w:t>
      </w:r>
    </w:p>
    <w:p>
      <w:pPr>
        <w:widowControl/>
        <w:spacing w:after="40" w:line="320"/>
        <w:ind w:firstLine="260"/>
      </w:pPr>
      <w:r>
        <w:t xml:space="preserve">They also change the direction of criticism. It is easier to lament what children no longer know than to consider what adults have undertaken to explain. An institution can require familiarity with its language while providing few opportunities to acquire it. A household can value an inheritance without knowing how to make it intelligible. Where that happens, the child's uncertainty is not a sufficient account of the failure.</w:t>
      </w:r>
    </w:p>
    <w:p>
      <w:pPr>
        <w:widowControl/>
        <w:spacing w:after="40" w:line="320"/>
        <w:ind w:firstLine="260"/>
      </w:pPr>
      <w:r>
        <w:t xml:space="preserve">I suspect that an inheritance can remain publicly recognisable while the work of receiving and carrying it becomes harder to name. A familiar ceremony may reassure the adults that something continues, without settling who will undertake the continuing responsibility. My concern is that recognition could come to substitute for that work. I cannot establish that this describes Norway as a whole.</w:t>
      </w:r>
    </w:p>
    <w:p>
      <w:pPr>
        <w:widowControl/>
        <w:spacing w:after="40" w:line="320"/>
        <w:ind w:firstLine="260"/>
      </w:pPr>
      <w:r>
        <w:t xml:space="preserve">The stronger objection is that the work may continue in forms I have failed to recognise. Teaching and congregational life already exist, while schools, friends and other associations can help people acquire moral habits without reproducing a parent's religious language. The absence of a measure suited to my question is no evidence that these forms are inadequate. The inheritance may have changed more than it has weakened, and part of the change may deserve gratitude.</w:t>
      </w:r>
    </w:p>
    <w:p>
      <w:pPr>
        <w:widowControl/>
        <w:spacing w:after="40" w:line="320"/>
        <w:ind w:firstLine="260"/>
      </w:pPr>
      <w:r>
        <w:t xml:space="preserve">I cannot answer that objection by making the word formation religious property. Someone who does not share my faith can teach generosity and keep a demanding promise. I can still state the Christian faith I want to understand and hand on. Its truth is a different claim from the assertion that people without it lack a moral life. Confusing the two would ask other people's conduct to settle a theological question it cannot settle.</w:t>
      </w:r>
    </w:p>
    <w:p>
      <w:pPr>
        <w:widowControl/>
        <w:spacing w:after="40" w:line="320"/>
        <w:ind w:firstLine="260"/>
      </w:pPr>
      <w:r>
        <w:t xml:space="preserve">The history of the church also prevents formation from becoming an automatic term of approval. A person can be taught something that ought to be corrected. Repetition can establish a practice without establishing its goodness. After examining what the church taught about Jews, I cannot simply call for stronger transmission and leave its content unexamined. Accuracy about what is being handed on belongs to the duty itself.</w:t>
      </w:r>
    </w:p>
    <w:p>
      <w:pPr>
        <w:widowControl/>
        <w:spacing w:after="40" w:line="320"/>
        <w:ind w:firstLine="260"/>
      </w:pPr>
      <w:r>
        <w:t xml:space="preserve">For the Solbak Årnes family, that duty includes learning our Jewish history in its own terms. Recovering a relationship between named people is one task; deciding how to speak about them is another. Neither gives me the right to make those people conform to the religious account I might find easiest to tell. Our family record must remain capable of correcting my account of us.</w:t>
      </w:r>
    </w:p>
    <w:p>
      <w:pPr>
        <w:widowControl/>
        <w:spacing w:after="40" w:line="320"/>
        <w:ind w:firstLine="260"/>
      </w:pPr>
      <w:r>
        <w:t xml:space="preserve">Knowing a name can begin a responsibility without completing it. I want the people who come after us to have access to what can be known, including the distinction between a document and a relative's testimony. What they understand or choose cannot be written into their lives in advance. A book can give them an account to examine. It cannot become their memory of a person they did not know.</w:t>
      </w:r>
    </w:p>
    <w:p>
      <w:pPr>
        <w:widowControl/>
        <w:spacing w:after="40" w:line="320"/>
        <w:ind w:firstLine="260"/>
      </w:pPr>
      <w:r>
        <w:t xml:space="preserve">This is why ceremony and continuing practice should not be placed in competition. A ceremony may give a duty public words and witnesses. The later practice can answer those words in circumstances the ceremony could not anticipate. Neither is made worthless by needing something it cannot supply alone. I should ask what each offers before announcing that one has replaced the other.</w:t>
      </w:r>
    </w:p>
    <w:p>
      <w:pPr>
        <w:widowControl/>
        <w:spacing w:after="40" w:line="320"/>
        <w:ind w:firstLine="260"/>
      </w:pPr>
      <w:r>
        <w:t xml:space="preserve">If I want words of inheritance to lead to responsibility, I have to examine what I ask my own words to do. A national or sacred language can help me name a duty. It can also arrange the people around me into roles before I have listened to them. If I ask the church to examine its language, I have to examine mine.</w:t>
      </w:r>
    </w:p>
    <w:p>
      <w:pPr>
        <w:pStyle w:val="Heading2"/>
        <w:keepNext/>
        <w:pageBreakBefore/>
        <w:spacing w:after="400" w:before="0"/>
      </w:pPr>
      <w:bookmarkStart w:name="kap-29" w:id="1"/>
      <w:r>
        <w:t xml:space="preserve">29. The Machine That Cast Us</w:t>
      </w:r>
      <w:bookmarkEnd w:id="1"/>
    </w:p>
    <w:p>
      <w:pPr>
        <w:widowControl/>
        <w:spacing w:after="40" w:line="320"/>
        <w:ind w:firstLine="0"/>
      </w:pPr>
      <w:r>
        <w:t>I have used the image of a lion when writing about myself, and the image of a king. Beside the ruined church in 2024, I had a film figure in mind as well, and I wore the coat to match. Nobody gave me those descriptions. I chose them, at a time when my life had lost its ordinary order and I wanted something that would hold it in place.</w:t>
      </w:r>
      <w:r>
        <w:rPr>
          <w:vertAlign w:val="superscript"/>
        </w:rPr>
        <w:t>1</w:t>
      </w:r>
    </w:p>
    <w:p>
      <w:pPr>
        <w:widowControl/>
        <w:spacing w:after="40" w:line="320"/>
        <w:ind w:firstLine="0"/>
      </w:pPr>
      <w:r>
        <w:t>That is what a myth does for a man in that condition. It assigns roles. The man in the coat becomes the one who stands up again. The absence becomes a trial he is passing through. The people around him become a cast, with parts they did not audition for. Disorder is easier to carry once it has been given parts. I did that, and I did it before I had examined whether any of the roles were true.</w:t>
      </w:r>
    </w:p>
    <w:p>
      <w:pPr>
        <w:widowControl/>
        <w:spacing w:after="40" w:line="320"/>
        <w:ind w:firstLine="0"/>
      </w:pPr>
      <w:r>
        <w:t>The rowing chant I call RO is the artefact. In the author's note I describe it as my creative work and declare my interest in how it is received. The cry at the ruins I have described, in the prologue, as a prayer. Both descriptions are mine, and they do not sit easily together. A prayer is addressed to God and asks nothing of an audience. A piece of work asks to be heard. The drum, the coat and the cry appear in both, and I have labelled the same material each way depending on whom I was speaking to. I did not see the contradiction until I set the two labels beside each other for this book.</w:t>
      </w:r>
    </w:p>
    <w:p>
      <w:pPr>
        <w:widowControl/>
        <w:spacing w:after="40" w:line="320"/>
        <w:ind w:firstLine="0"/>
      </w:pPr>
      <w:r>
        <w:t>I set this down before I describe anybody else's celebration, because the machinery is mine. A man who has cast himself as a lion is not a neutral witness to a crowd. What follows is a public scene that I enjoyed and wanted to join. I watched it as someone who had already done in private a version of what I am about to describe other people doing in public, and who had already learned how quickly a role can be mistaken for the truth about a person.</w:t>
      </w:r>
      <w:r>
        <w:t xml:space="preserve"> The prayer at the ruins was addressed to Christ. The chant on the grass was addressed to a crowd. Keeping those two apart is the discipline of this chapter.</w:t>
      </w:r>
    </w:p>
    <w:p>
      <w:pPr>
        <w:widowControl/>
        <w:spacing w:after="40" w:line="320"/>
        <w:ind w:firstLine="0"/>
      </w:pPr>
      <w:r>
        <w:t xml:space="preserve">Haaland is standing. Behind him, his teammates sit on the grass, their knees raised, boots pointing towards the camera. A red drum rests on its metal stand. The AFP photograph was taken after Norway beat Brazil 2–1 on 5 July 2026. Haaland had led the celebration at the drum. In the picture, the match has given way to a different arrangement of bodies.</w:t>
      </w:r>
      <w:r>
        <w:rPr>
          <w:vertAlign w:val="superscript"/>
        </w:rPr>
        <w:t>2</w:t>
      </w:r>
    </w:p>
    <w:p>
      <w:pPr>
        <w:widowControl/>
        <w:spacing w:after="40" w:line="320"/>
        <w:ind w:firstLine="260"/>
      </w:pPr>
      <w:r>
        <w:t xml:space="preserve">There are no oars.</w:t>
      </w:r>
    </w:p>
    <w:p>
      <w:pPr>
        <w:widowControl/>
        <w:spacing w:after="40" w:line="320"/>
        <w:ind w:firstLine="260"/>
      </w:pPr>
      <w:r>
        <w:t xml:space="preserve">The movement supplies them. Arms reach forward and pull back. The people taking part follow the beat and call out "Ro", the Norwegian command to row. FIFA's account of the celebration credits Ole Frøystad with the chant.</w:t>
      </w:r>
      <w:r>
        <w:rPr>
          <w:vertAlign w:val="superscript"/>
        </w:rPr>
        <w:t>3</w:t>
      </w:r>
      <w:r>
        <w:t xml:space="preserve"> The action is easy to recognise. A person can understand what to do before learning the names of the people beside him.</w:t>
      </w:r>
    </w:p>
    <w:p>
      <w:pPr>
        <w:widowControl/>
        <w:spacing w:after="40" w:line="320"/>
        <w:ind w:firstLine="260"/>
      </w:pPr>
      <w:r>
        <w:t xml:space="preserve">I was on the other side of a screen.</w:t>
      </w:r>
      <w:r>
        <w:rPr>
          <w:vertAlign w:val="superscript"/>
        </w:rPr>
        <w:t>4</w:t>
      </w:r>
      <w:r>
        <w:t xml:space="preserve"> That distance belongs in the account. I could see a public celebration without being entitled to tell the reader what it felt like inside any one of those bodies. The men on the grass had just won a football match. Happiness at that result is a sufficient reason for their happiness. They did not owe my book a second explanation.</w:t>
      </w:r>
    </w:p>
    <w:p>
      <w:pPr>
        <w:widowControl/>
        <w:spacing w:after="40" w:line="320"/>
        <w:ind w:firstLine="260"/>
      </w:pPr>
      <w:r>
        <w:t xml:space="preserve">Still, I wanted to stay with the image.</w:t>
      </w:r>
    </w:p>
    <w:p>
      <w:pPr>
        <w:widowControl/>
        <w:spacing w:after="40" w:line="320"/>
        <w:ind w:firstLine="260"/>
      </w:pPr>
      <w:r>
        <w:t xml:space="preserve">The players had spent the match performing work the spectators could not perform for them. Now the distinction between skilled player and watching supporter had narrowed. Neither needed the other's footballing ability to make the same gesture. A spectator could follow the movement simply by watching. A shared action had become available without a long introduction.</w:t>
      </w:r>
    </w:p>
    <w:p>
      <w:pPr>
        <w:widowControl/>
        <w:spacing w:after="40" w:line="320"/>
        <w:ind w:firstLine="260"/>
      </w:pPr>
      <w:r>
        <w:t xml:space="preserve">This was part of its appeal to me. So much of the inheritance I have been trying to recover requires someone to stop and explain. A name must be placed beside another name. An object has to be held correctly. A word needs a speaker who knows what it meant at home. Here, the shape of the action could pass from one person to another in seconds.</w:t>
      </w:r>
    </w:p>
    <w:p>
      <w:pPr>
        <w:widowControl/>
        <w:spacing w:after="40" w:line="320"/>
        <w:ind w:firstLine="260"/>
      </w:pPr>
      <w:r>
        <w:t xml:space="preserve">It would be easy to mistake that speed for depth. A gesture can be learned quickly because it asks little at first. Its accessibility is useful. It also tells us very little about what the participants will ask of one another when the occasion is over. The person beside you may be a friend, a stranger, or someone you would not otherwise choose to spend time with. For the length of the movement, the differences need not be settled.</w:t>
      </w:r>
    </w:p>
    <w:p>
      <w:pPr>
        <w:widowControl/>
        <w:spacing w:after="40" w:line="320"/>
        <w:ind w:firstLine="260"/>
      </w:pPr>
      <w:r>
        <w:t xml:space="preserve">I do not want to write that off as empty.</w:t>
      </w:r>
    </w:p>
    <w:p>
      <w:pPr>
        <w:widowControl/>
        <w:spacing w:after="40" w:line="320"/>
        <w:ind w:firstLine="260"/>
      </w:pPr>
      <w:r>
        <w:t xml:space="preserve">There is pleasure in being able to join something without submitting a full account of yourself. Nobody taking up the motion needs first to agree with my argument about Norway. Nor must they have grown up in my family. I can value a shared act whose participants would reject much of what I believe. That is one reason the scene deserves more room than a quick reference followed by a warning about crowds.</w:t>
      </w:r>
    </w:p>
    <w:p>
      <w:pPr>
        <w:widowControl/>
        <w:spacing w:after="40" w:line="320"/>
        <w:ind w:firstLine="260"/>
      </w:pPr>
      <w:r>
        <w:t xml:space="preserve">My grandfathers enter my response to it, but they do not explain everybody else's. Rowing already had a place in my memory because Hilmar had taken me with him. The public gesture could therefore call up something particular for me. It could remind another person of a match, a friend, a song, or nothing beyond the pleasure of joining in. My association remains mine. I cannot count the arms and multiply my childhood by their number.</w:t>
      </w:r>
    </w:p>
    <w:p>
      <w:pPr>
        <w:widowControl/>
        <w:spacing w:after="40" w:line="320"/>
        <w:ind w:firstLine="260"/>
      </w:pPr>
      <w:r>
        <w:t xml:space="preserve">The temptation becomes stronger when the movement is given an old name. "Viking Row" can make a recent supporter practice sound as though it had been waiting in the body for centuries. The name is part of the performance. It does not establish the ancestry of the people performing it.</w:t>
      </w:r>
    </w:p>
    <w:p>
      <w:pPr>
        <w:widowControl/>
        <w:spacing w:after="40" w:line="320"/>
        <w:ind w:firstLine="260"/>
      </w:pPr>
      <w:r>
        <w:t xml:space="preserve">No family tree is visible in that photograph. We cannot tell which grandparents spoke Norwegian, which arrived from elsewhere, or who has reason to feel uneasy when Norwegian belonging is described through blood alone. The picture contains people, not answers to those questions. It would be a strange use of a welcoming gesture to turn it into a test that some of its participants could not pass.</w:t>
      </w:r>
    </w:p>
    <w:p>
      <w:pPr>
        <w:widowControl/>
        <w:spacing w:after="40" w:line="320"/>
        <w:ind w:firstLine="260"/>
      </w:pPr>
      <w:r>
        <w:t xml:space="preserve">The Norwegian word does give the action a particular home. Translating it does not require pretending that every place is interchangeable. It is possible to love the sound because it belongs to one's country and still make room for a visitor to learn it. Particularity becomes something that can be shared. It need not be guarded by demanding that the newcomer already possess it.</w:t>
      </w:r>
    </w:p>
    <w:p>
      <w:pPr>
        <w:widowControl/>
        <w:spacing w:after="40" w:line="320"/>
        <w:ind w:firstLine="260"/>
      </w:pPr>
      <w:r>
        <w:t xml:space="preserve">The screen mattered too. It carried the celebration to somebody who was absent from the stadium. The same kind of device that can take me away from the person beside me could also show me a country doing something together. My account of screens has to allow both uses. I would falsify this experience if I made the image disappear merely because it complicates an argument about attention.</w:t>
      </w:r>
    </w:p>
    <w:p>
      <w:pPr>
        <w:widowControl/>
        <w:spacing w:after="40" w:line="320"/>
        <w:ind w:firstLine="260"/>
      </w:pPr>
      <w:r>
        <w:t xml:space="preserve">Yet the view through a screen can remove the awkward parts of belonging. It is easier to love a country in a short image than to live patiently with the people who make it up. On a screen, I can leave before anyone asks anything of me. I can replay the movement without helping to organise it or staying to clear up. The fact that I am moved is real. It is also a small fact about me.</w:t>
      </w:r>
    </w:p>
    <w:p>
      <w:pPr>
        <w:widowControl/>
        <w:spacing w:after="40" w:line="320"/>
        <w:ind w:firstLine="260"/>
      </w:pPr>
      <w:r>
        <w:t xml:space="preserve">Writing about the celebration adds another layer. I select the moment, decide where to begin, and give it a place among the stories of my family. That power is easy to overlook when the image seems to arrive already full of meaning. The chapter remains my arrangement. A spectator has become an author and is trying to persuade other people to see something.</w:t>
      </w:r>
    </w:p>
    <w:p>
      <w:pPr>
        <w:widowControl/>
        <w:spacing w:after="40" w:line="320"/>
        <w:ind w:firstLine="260"/>
      </w:pPr>
      <w:r>
        <w:t xml:space="preserve">I have to be answerable for the persuasion.</w:t>
      </w:r>
    </w:p>
    <w:p>
      <w:pPr>
        <w:widowControl/>
        <w:spacing w:after="40" w:line="320"/>
        <w:ind w:firstLine="260"/>
      </w:pPr>
      <w:r>
        <w:t xml:space="preserve">One way of becoming less answerable would be to call the event an awakening. Then disagreement could be treated as a failure to hear what the crowd had already revealed. Another would be to say the scene meant nothing at all, as if the absence of a national revelation cancelled an ordinary pleasure. Both readings would let me avoid the less impressive work of describing what was there and considering what I made of it.</w:t>
      </w:r>
    </w:p>
    <w:p>
      <w:pPr>
        <w:widowControl/>
        <w:spacing w:after="40" w:line="320"/>
        <w:ind w:firstLine="260"/>
      </w:pPr>
      <w:r>
        <w:t xml:space="preserve">The picture cannot tell me whether a father went home and listened to his child, or whether somebody lonely found lasting company. Those things would require their own accounts.</w:t>
      </w:r>
    </w:p>
    <w:p>
      <w:pPr>
        <w:widowControl/>
        <w:spacing w:after="40" w:line="320"/>
        <w:ind w:firstLine="260"/>
      </w:pPr>
      <w:r>
        <w:t xml:space="preserve">The distinction allows the scene to keep its joy. I do not need it to repair a household in order to welcome it. I can be grateful that people made something others wanted to join. Gratitude is a better starting point than conscripting them into a story they have not agreed to tell.</w:t>
      </w:r>
    </w:p>
    <w:p>
      <w:pPr>
        <w:widowControl/>
        <w:spacing w:after="40" w:line="320"/>
        <w:ind w:firstLine="260"/>
      </w:pPr>
      <w:r>
        <w:t xml:space="preserve">The photograph holds the men in place. Beyond its edges, their lives continue. The question for me is what I do after looking at it, when there is no common beat to tell me when to move.</w:t>
      </w:r>
    </w:p>
    <w:p>
      <w:pPr>
        <w:pStyle w:val="Heading2"/>
        <w:keepNext/>
        <w:pageBreakBefore/>
        <w:spacing w:after="400" w:before="0"/>
      </w:pPr>
      <w:bookmarkStart w:name="kap-30" w:id="1"/>
      <w:r>
        <w:t>30. The Word That Attached Itself</w:t>
      </w:r>
      <w:bookmarkEnd w:id="1"/>
    </w:p>
    <w:p>
      <w:pPr>
        <w:widowControl/>
        <w:spacing w:after="40" w:line="320"/>
        <w:ind w:firstLine="260"/>
      </w:pPr>
      <w:r>
        <w:t xml:space="preserve">A description can also arrive from outside a person's life. It can reach strangers before they learn much else about him. In my family, one of those descriptions attached itself to Valentin Back, Michael's father. The word was informer. It has a documentary history that can be examined, and the papers do not all assign him the same role.</w:t>
      </w:r>
      <w:r>
        <w:t xml:space="preserve"> Valentin Back was my great-grandfather. That gives me an interest in lifting the word from his name, and what follows should be read with that interest in view.</w:t>
      </w:r>
    </w:p>
    <w:p>
      <w:pPr>
        <w:widowControl/>
        <w:spacing w:after="40" w:line="320"/>
        <w:ind w:firstLine="260"/>
      </w:pPr>
      <w:r>
        <w:t xml:space="preserve">On 23 June 1939, L'Événement-Journal in Québec printed a short item under the heading «Juif américain tué». An American Jew killed. The name in the text was "Paul Valentine Bach."</w:t>
      </w:r>
    </w:p>
    <w:p>
      <w:pPr>
        <w:widowControl/>
        <w:spacing w:after="40" w:line="320"/>
        <w:ind w:firstLine="260"/>
      </w:pPr>
      <w:r>
        <w:t xml:space="preserve">The column was brief. In its few lines a reader met a birthplace in Russia, an American naturalisation, ties to New York, a killing near Kiryat Motzkin in Palestine, and an accusation: that the man had testified against Revisionists. Biographical assertion and accusation stood in the same type, at the same size, with nothing on the page to mark which was which. The item was a United Press wire report, one printing among several of the same dispatch in the same international news cycle, and it was published on 23 June. The role it assigned him was already in print, an ocean and most of a continent from where he was killed. The item does not show how its claims had been checked. </w:t>
      </w:r>
      <w:r>
        <w:rPr>
          <w:vertAlign w:val="superscript"/>
        </w:rPr>
        <w:t>1</w:t>
      </w:r>
    </w:p>
    <w:p>
      <w:pPr>
        <w:widowControl/>
        <w:spacing w:after="40" w:line="320"/>
        <w:ind w:firstLine="260"/>
      </w:pPr>
      <w:r>
        <w:t xml:space="preserve">Even the name had shifted. The Québec paper printed Paul Valentine Bach; documents written while he was alive call him Valentine Back. The surname differs by a consonant, and the newspaper adds Paul. Neither spelling alone establishes that every biographical detail belongs to the same man.</w:t>
      </w:r>
    </w:p>
    <w:p>
      <w:pPr>
        <w:widowControl/>
        <w:spacing w:after="40" w:line="320"/>
        <w:ind w:firstLine="260"/>
      </w:pPr>
      <w:r>
        <w:t xml:space="preserve">The question is how the informer label was assigned and carried forward. The case file records Back's role as an interpreter and his summons for the defence. It does not settle every allegation about his life.</w:t>
      </w:r>
    </w:p>
    <w:p>
      <w:pPr>
        <w:widowControl/>
        <w:spacing w:after="40" w:line="320"/>
        <w:ind w:firstLine="260"/>
      </w:pPr>
      <w:r>
        <w:t xml:space="preserve">The surviving material includes both the published accusation and a defence file that assigns the roles differently. They can be compared.</w:t>
      </w:r>
    </w:p>
    <w:p>
      <w:pPr>
        <w:widowControl/>
        <w:spacing w:after="40" w:line="320"/>
        <w:ind w:firstLine="260"/>
      </w:pPr>
      <w:r>
        <w:t xml:space="preserve">Much of the chronology comes from the papers of Max Seligman, the advocate who led the defence. They run from 1938 into years of later petitions in his client's cause. The account of the arrest and proceedings below follows that defence record.</w:t>
      </w:r>
      <w:r>
        <w:rPr>
          <w:vertAlign w:val="superscript"/>
        </w:rPr>
        <w:t>2</w:t>
      </w:r>
    </w:p>
    <w:p>
      <w:pPr>
        <w:widowControl/>
        <w:spacing w:after="40" w:line="320"/>
        <w:ind w:firstLine="260"/>
      </w:pPr>
      <w:r>
        <w:t xml:space="preserve">Yaakov Kotick was arrested on 20 August 1938, in a weapons case. The operation was aimed at a man the file names only by surname: Tondowsky. No first name appears in the controlled material, and none is supplied here.</w:t>
      </w:r>
    </w:p>
    <w:p>
      <w:pPr>
        <w:widowControl/>
        <w:spacing w:after="40" w:line="320"/>
        <w:ind w:firstLine="260"/>
      </w:pPr>
      <w:r>
        <w:t xml:space="preserve">A sheet dated 12 September records that a prisoner in the Jaffa lock-up wanted to see Seligman at once and had something to tell him. The note gives only Kotic, without a first name or case number. Probably Yaakov Kotick; the note itself does not settle it. </w:t>
      </w:r>
      <w:r>
        <w:rPr>
          <w:vertAlign w:val="superscript"/>
        </w:rPr>
        <w:t>3</w:t>
      </w:r>
    </w:p>
    <w:p>
      <w:pPr>
        <w:widowControl/>
        <w:spacing w:after="40" w:line="320"/>
        <w:ind w:firstLine="260"/>
      </w:pPr>
      <w:r>
        <w:t xml:space="preserve">Between 18 and 26 September, Valentin Back was entered and summoned as a witness for the defence. First the prisoner's request, then Back's name on the defence list: the sequence is documented. What joined them, if anything did, is not.</w:t>
      </w:r>
    </w:p>
    <w:p>
      <w:pPr>
        <w:widowControl/>
        <w:spacing w:after="40" w:line="320"/>
        <w:ind w:firstLine="260"/>
      </w:pPr>
      <w:r>
        <w:t xml:space="preserve">According to the file, Back came to the advocate himself. In its pages he appears as a supernumerary constable attached to the CID, the criminal investigation department in Haifa, who had served as an interpreter; it records him saying that Kotick was an innocent victim, and that he offered to say so in court.</w:t>
      </w:r>
    </w:p>
    <w:p>
      <w:pPr>
        <w:widowControl/>
        <w:spacing w:after="40" w:line="320"/>
        <w:ind w:firstLine="260"/>
      </w:pPr>
      <w:r>
        <w:t xml:space="preserve">In the material examined here, Back's offer to testify survives through Seligman's account. No statement in Back's own hand has been identified. The other accounts come from news agencies, later institutions and a mayor seeking clemency. Each had a purpose that must be considered when weighing it.</w:t>
      </w:r>
    </w:p>
    <w:p>
      <w:pPr>
        <w:widowControl/>
        <w:spacing w:after="40" w:line="320"/>
        <w:ind w:firstLine="260"/>
      </w:pPr>
      <w:r>
        <w:t xml:space="preserve">The witness list is a formal procedural document. It names Valentin Back among those summoned for the defence. It does not establish everything he said or whether it was true. It does establish which side requested his evidence.</w:t>
      </w:r>
      <w:r>
        <w:rPr>
          <w:vertAlign w:val="superscript"/>
        </w:rPr>
        <w:t>4</w:t>
      </w:r>
    </w:p>
    <w:p>
      <w:pPr>
        <w:widowControl/>
        <w:spacing w:after="40" w:line="320"/>
        <w:ind w:firstLine="260"/>
      </w:pPr>
      <w:r>
        <w:t xml:space="preserve">The appeal draft, dated 3 October 1938, distinguishes "the informer", Michael Elagine, from "Supernumerary Back". Elagine is identified as the source of the police information in this operation. This is the defence's account, written to save a client under sentence of death. It does not establish that Back never gave information to police in some other matter.</w:t>
      </w:r>
    </w:p>
    <w:p>
      <w:pPr>
        <w:widowControl/>
        <w:spacing w:after="40" w:line="320"/>
        <w:ind w:firstLine="260"/>
      </w:pPr>
      <w:r>
        <w:t xml:space="preserve">Two more details, same file, same weeks.</w:t>
      </w:r>
    </w:p>
    <w:p>
      <w:pPr>
        <w:widowControl/>
        <w:spacing w:after="40" w:line="320"/>
        <w:ind w:firstLine="260"/>
      </w:pPr>
      <w:r>
        <w:t xml:space="preserve">On 26 September, Seligman wrote that he had received information that Back had lost his job after the summons was requested. The sequence is his information, and it is dated. The causal link is his reading; no personnel record in the material confirms or contradicts it, and it stands as the advocate's. </w:t>
      </w:r>
      <w:r>
        <w:rPr>
          <w:vertAlign w:val="superscript"/>
        </w:rPr>
        <w:t>5</w:t>
      </w:r>
    </w:p>
    <w:p>
      <w:pPr>
        <w:widowControl/>
        <w:spacing w:after="40" w:line="320"/>
        <w:ind w:firstLine="260"/>
      </w:pPr>
      <w:r>
        <w:t xml:space="preserve">A separate document, dated 20 September, reports Back employed by the 2nd Battalion, The King's Own Royal Regiment, at Sarafand. No British personnel record has corroborated that employment in this work. The regimental museum does place the battalion at Sarafand that September; it does not identify Back there.</w:t>
      </w:r>
      <w:r>
        <w:rPr>
          <w:vertAlign w:val="superscript"/>
        </w:rPr>
        <w:t>6</w:t>
      </w:r>
    </w:p>
    <w:p>
      <w:pPr>
        <w:widowControl/>
        <w:spacing w:after="40" w:line="320"/>
        <w:ind w:firstLine="260"/>
      </w:pPr>
      <w:r>
        <w:t xml:space="preserve">Three British publications have been searched: the transcribed battalion medal roll, the battalion's printed operational notes and the police administrative report for 1938. None supplied a matching name from the case.</w:t>
      </w:r>
      <w:r>
        <w:rPr>
          <w:vertAlign w:val="superscript"/>
        </w:rPr>
        <w:t>7</w:t>
      </w:r>
      <w:r>
        <w:t xml:space="preserve"> Their coverage has not been shown to include every kind of employment Back might have held. His absence cannot settle whether he served as an enlisted soldier or a locally employed interpreter.</w:t>
      </w:r>
    </w:p>
    <w:p>
      <w:pPr>
        <w:widowControl/>
        <w:spacing w:after="40" w:line="320"/>
        <w:ind w:firstLine="260"/>
      </w:pPr>
      <w:r>
        <w:t>According to an appeal draft dated 3 October 1938, a military court had sentenced Yaakov Kotick to death under the Defence Regulations.</w:t>
      </w:r>
      <w:r>
        <w:rPr>
          <w:vertAlign w:val="superscript"/>
        </w:rPr>
        <w:t>8</w:t>
      </w:r>
    </w:p>
    <w:p>
      <w:pPr>
        <w:widowControl/>
        <w:spacing w:after="40" w:line="320"/>
        <w:ind w:firstLine="260"/>
      </w:pPr>
      <w:r>
        <w:t xml:space="preserve">What became of the sentence has not been verified against the contemporary decision in this work. The British files that could establish the official sequence are named at the end of this chapter. None has been read.</w:t>
      </w:r>
    </w:p>
    <w:p>
      <w:pPr>
        <w:widowControl/>
        <w:spacing w:after="40" w:line="320"/>
        <w:ind w:firstLine="260"/>
      </w:pPr>
      <w:r>
        <w:t xml:space="preserve">Contemporary newspapers described Valentin Back as an informer. The Québec item is the one read for this book; a Tel Aviv paper of the same date has been located but not read. Later institutional biographies repeated the identification, and it passed into reference material. </w:t>
      </w:r>
      <w:r>
        <w:rPr>
          <w:vertAlign w:val="superscript"/>
        </w:rPr>
        <w:t>9</w:t>
      </w:r>
    </w:p>
    <w:p>
      <w:pPr>
        <w:widowControl/>
        <w:spacing w:after="40" w:line="320"/>
        <w:ind w:firstLine="260"/>
      </w:pPr>
      <w:r>
        <w:t xml:space="preserve">The Québec item belongs to a United Press dispatch printed under different mastheads. How many other reports came from the same or related dispatches has not yet been mapped. The Davar item dated 23 June has been located but not read in this work. Multiple printings show how widely an account circulated; they do not provide that many independent confirmations.</w:t>
      </w:r>
    </w:p>
    <w:p>
      <w:pPr>
        <w:widowControl/>
        <w:spacing w:after="40" w:line="320"/>
        <w:ind w:firstLine="260"/>
      </w:pPr>
      <w:r>
        <w:t xml:space="preserve">One feature of the record should be stated plainly. The formal witness-list document examined here lists Back as a witness for the defence. In the later accounts he appears on the prosecution's side. The distance between the list and the accounts is a fact of the record; how it arose, in which links and on what basis, is not documented.</w:t>
      </w:r>
    </w:p>
    <w:p>
      <w:pPr>
        <w:widowControl/>
        <w:spacing w:after="40" w:line="320"/>
        <w:ind w:firstLine="260"/>
      </w:pPr>
      <w:r>
        <w:t xml:space="preserve">By 23 June 1939, Valentin Back had been found shot dead. Contemporary reports placed the killing near Kiryat Motzkin. The Israeli memorial record gives the date of death as 22 June. </w:t>
      </w:r>
      <w:r>
        <w:rPr>
          <w:vertAlign w:val="superscript"/>
        </w:rPr>
        <w:t>10</w:t>
      </w:r>
    </w:p>
    <w:p>
      <w:pPr>
        <w:widowControl/>
        <w:spacing w:after="40" w:line="320"/>
        <w:ind w:firstLine="260"/>
      </w:pPr>
      <w:r>
        <w:t xml:space="preserve">The British operations file covering those weeks is catalogued but unread. Later memorial accounts name an organisation and propose a motive; this work has not checked either against a contemporary investigative record. That Back was killed because he was considered an informer remains an inference. The killing cannot establish whether the accusation was true.</w:t>
      </w:r>
      <w:r>
        <w:rPr>
          <w:vertAlign w:val="superscript"/>
        </w:rPr>
        <w:t>10</w:t>
      </w:r>
    </w:p>
    <w:p>
      <w:pPr>
        <w:widowControl/>
        <w:spacing w:after="40" w:line="320"/>
        <w:ind w:firstLine="260"/>
      </w:pPr>
      <w:r>
        <w:t xml:space="preserve">On 9 November 1942, four years after the trial and more than three years after the killing, Israel Rokach, mayor of Tel Aviv, wrote to the High Commissioner seeking clemency. His four-page letter survives in Seligman's file. Rokach said he had examined the case and spoken with people who knew Kotick. He identified Eliegin, a variant of the file's Elagine, as the source of the police information. He described a trap aimed at Tondowsky into which Kotick had fallen.</w:t>
      </w:r>
      <w:r>
        <w:rPr>
          <w:vertAlign w:val="superscript"/>
        </w:rPr>
        <w:t>11</w:t>
      </w:r>
    </w:p>
    <w:p>
      <w:pPr>
        <w:widowControl/>
        <w:spacing w:after="40" w:line="320"/>
        <w:ind w:firstLine="260"/>
      </w:pPr>
      <w:r>
        <w:t xml:space="preserve">Rokach wrote from outside the defence office, but that does not establish independent corroboration. The controlled material does not identify his interlocutors. Accounts written to save the same man may rely on the same information.</w:t>
      </w:r>
    </w:p>
    <w:p>
      <w:pPr>
        <w:widowControl/>
        <w:spacing w:after="40" w:line="320"/>
        <w:ind w:firstLine="260"/>
      </w:pPr>
      <w:r>
        <w:t xml:space="preserve">There are reasons for caution. The defence file and the mayor's letter both served Kotick's cause. Back was attached to the branch that received the informer's reports. He was later killed. None of those facts identifies him as the informer in this operation.</w:t>
      </w:r>
    </w:p>
    <w:p>
      <w:pPr>
        <w:widowControl/>
        <w:spacing w:after="40" w:line="320"/>
        <w:ind w:firstLine="260"/>
      </w:pPr>
      <w:r>
        <w:t>The shared advocacy purpose requires attribution; it does not make the documents false. The formal witness list places Back on the defence side, while the appeal identifies Elagine as the informer. Those findings complicate the account of this operation. They cannot provide a verdict on everything Back may have done, and an incomplete personnel search cannot supply one.</w:t>
      </w:r>
    </w:p>
    <w:p>
      <w:pPr>
        <w:widowControl/>
        <w:spacing w:after="40" w:line="320"/>
        <w:ind w:firstLine="260"/>
      </w:pPr>
      <w:r>
        <w:t xml:space="preserve">The press corpus must therefore be counted in two ways: as publications and, where dependence can be established, as distinct reports. A widely reprinted dispatch records the reach of an accusation. Its circulation does not establish its truth.</w:t>
      </w:r>
    </w:p>
    <w:p>
      <w:pPr>
        <w:widowControl/>
        <w:spacing w:after="40" w:line="320"/>
        <w:ind w:firstLine="260"/>
      </w:pPr>
      <w:r>
        <w:t xml:space="preserve">One later claim can be tested against the dates.</w:t>
      </w:r>
    </w:p>
    <w:p>
      <w:pPr>
        <w:widowControl/>
        <w:spacing w:after="40" w:line="320"/>
        <w:ind w:firstLine="260"/>
      </w:pPr>
      <w:r>
        <w:t xml:space="preserve">A Lehi Heritage Association biography says that Valentin Back was killed "immediately" after Kotick's death sentence.</w:t>
      </w:r>
      <w:r>
        <w:rPr>
          <w:vertAlign w:val="superscript"/>
        </w:rPr>
        <w:t>12</w:t>
      </w:r>
      <w:r>
        <w:t xml:space="preserve"> The sentence had been passed by 3 October 1938; the killing followed in late June 1939, more than eight months later.</w:t>
      </w:r>
    </w:p>
    <w:p>
      <w:pPr>
        <w:widowControl/>
        <w:spacing w:after="40" w:line="320"/>
        <w:ind w:firstLine="260"/>
      </w:pPr>
      <w:r>
        <w:t xml:space="preserve">Taken as elapsed time, "immediately" is wrong. That judgement concerns the published word. If it was intended to express a causal connection, a calendar cannot disprove it; the material examined here does not establish that connection. Why the later biography compressed the interval is unknown.</w:t>
      </w:r>
    </w:p>
    <w:p>
      <w:pPr>
        <w:widowControl/>
        <w:spacing w:after="40" w:line="320"/>
        <w:ind w:firstLine="260"/>
      </w:pPr>
      <w:r>
        <w:t xml:space="preserve">One more voice belongs in the record, kept apart from the newspapers and the memorial texts: the convicted man's own.</w:t>
      </w:r>
    </w:p>
    <w:p>
      <w:pPr>
        <w:widowControl/>
        <w:spacing w:after="40" w:line="320"/>
        <w:ind w:firstLine="260"/>
      </w:pPr>
      <w:r>
        <w:t xml:space="preserve">At some point before mid-July 1992, Yaakov Kotick sat down with an interviewer from a university oral-history project. One excerpt of the recording has been checked in this work: a page of the transcript, a short stretch of the tape. On it, Kotick speaks of "an agent for the British" and of "pure informing." He does not name the agent. Valentin Back is not named in the preserved excerpt. </w:t>
      </w:r>
      <w:r>
        <w:rPr>
          <w:vertAlign w:val="superscript"/>
        </w:rPr>
        <w:t>13</w:t>
      </w:r>
    </w:p>
    <w:p>
      <w:pPr>
        <w:widowControl/>
        <w:spacing w:after="40" w:line="320"/>
        <w:ind w:firstLine="260"/>
      </w:pPr>
      <w:r>
        <w:t xml:space="preserve">The excerpt does not name Back. The rest of the interview has not been reviewed here, and the testimony was given decades after the arrest. The absence of his name in this passage cannot tell us what Kotick said elsewhere or whom he suspected.</w:t>
      </w:r>
    </w:p>
    <w:p>
      <w:pPr>
        <w:widowControl/>
        <w:spacing w:after="40" w:line="320"/>
        <w:ind w:firstLine="260"/>
      </w:pPr>
      <w:r>
        <w:t xml:space="preserve">Last, what has not been read.</w:t>
      </w:r>
    </w:p>
    <w:p>
      <w:pPr>
        <w:widowControl/>
        <w:spacing w:after="40" w:line="320"/>
        <w:ind w:firstLine="260"/>
      </w:pPr>
      <w:r>
        <w:t xml:space="preserve">The three name-negative British publications have limited bearing on the central question. A local interpreter or a civilian prisoner might fall outside their coverage.</w:t>
      </w:r>
      <w:r>
        <w:rPr>
          <w:vertAlign w:val="superscript"/>
        </w:rPr>
        <w:t>14</w:t>
      </w:r>
      <w:r>
        <w:t xml:space="preserve"> The files most likely to address the case itself remain unread.</w:t>
      </w:r>
    </w:p>
    <w:p>
      <w:pPr>
        <w:widowControl/>
        <w:spacing w:after="40" w:line="320"/>
        <w:ind w:firstLine="260"/>
      </w:pPr>
      <w:r>
        <w:t xml:space="preserve">The case-bearing files are another matter, and the catalogues describe them. There is an operations file for the months of the arrest and the trial. There are bulletins of the criminal investigation department for 1938, the branch the file attaches Back to. There is a file on the Jewish supernumerary constables, the category the file assigns him. There is a second operations file for the weeks of the killing. And there are returns of the capital sentences passed by the military courts. All are identified and catalogue-checked. None has been opened.</w:t>
      </w:r>
    </w:p>
    <w:p>
      <w:pPr>
        <w:widowControl/>
        <w:spacing w:after="40" w:line="320"/>
        <w:ind w:firstLine="260"/>
      </w:pPr>
      <w:r>
        <w:t xml:space="preserve">By 23 June 1939, the accusation was in print in Québec. The case-bearing British files are now identified in catalogues, but their contents have not been checked for this account. The published story and the work needed to test it have proceeded at very different rates.</w:t>
      </w:r>
    </w:p>
    <w:p>
      <w:pPr>
        <w:widowControl/>
        <w:spacing w:after="40" w:line="320"/>
        <w:ind w:firstLine="260"/>
      </w:pPr>
      <w:r>
        <w:t xml:space="preserve">This account is limited by that gap. Any later examination of the British files must be weighed against the evidence used here, with the account corrected where the new evidence requires it.</w:t>
      </w:r>
      <w:r>
        <w:rPr>
          <w:vertAlign w:val="superscript"/>
        </w:rPr>
        <w:t>15</w:t>
      </w:r>
    </w:p>
    <w:p>
      <w:pPr>
        <w:widowControl/>
        <w:spacing w:after="40" w:line="320"/>
        <w:ind w:firstLine="260"/>
      </w:pPr>
      <w:r>
        <w:t xml:space="preserve">The returns of capital sentences passed in Palestine in 1938 and 1939 are held at The National Archives at Kew, under reference CO 733/402/14. The catalogue card has been read. The file has not.</w:t>
      </w:r>
    </w:p>
    <w:p>
      <w:pPr>
        <w:widowControl/>
        <w:spacing w:after="40" w:line="320"/>
        <w:ind w:firstLine="260"/>
      </w:pPr>
      <w:r>
        <w:t>The distinction matters when I look again at the public image of Norway in the previous chapter. A shared movement can be seen and described. The people taking part still have lives and convictions that the image cannot tell us.</w:t>
      </w:r>
    </w:p>
    <w:p>
      <w:pPr>
        <w:pStyle w:val="Heading1"/>
        <w:keepNext/>
        <w:pageBreakBefore/>
        <w:spacing w:after="400" w:before="0"/>
      </w:pPr>
      <w:r>
        <w:t xml:space="preserve">Part IV. The Turning</w:t>
      </w:r>
    </w:p>
    <w:p>
      <w:pPr>
        <w:pStyle w:val="Heading2"/>
        <w:keepNext/>
        <w:spacing w:after="400" w:before="0"/>
      </w:pPr>
      <w:bookmarkStart w:name="kap-31" w:id="1"/>
      <w:r>
        <w:t xml:space="preserve">31. Who Gets to Say We</w:t>
      </w:r>
      <w:bookmarkEnd w:id="1"/>
    </w:p>
    <w:p>
      <w:pPr>
        <w:widowControl/>
        <w:spacing w:after="40" w:line="320"/>
        <w:ind w:firstLine="0"/>
      </w:pPr>
      <w:r>
        <w:t xml:space="preserve">Arie Back remembered waking at six to the smell of his grandmother's coffee. Yeva had been up earlier, sometimes from five, preparing breakfast for him and his sister Elisheva. She often made their lunch too. Feeding the children brought her into conflict with the boy who would later write about her. He disliked some of the heavy Russian dishes. In his recollection, she took his refusal as a personal insult.</w:t>
      </w:r>
      <w:r>
        <w:rPr>
          <w:vertAlign w:val="superscript"/>
        </w:rPr>
        <w:t xml:space="preserve">1</w:t>
      </w:r>
    </w:p>
    <w:p>
      <w:pPr>
        <w:widowControl/>
        <w:spacing w:after="40" w:line="320"/>
        <w:ind w:firstLine="260"/>
      </w:pPr>
      <w:r>
        <w:t xml:space="preserve">There was also the dog. His parents liked having it in the house. Yeva did not. Arie remembered her ordering it out in Russian when she came into his room and found it there. Years later, he could describe her temper more readily than he could account for her childhood. Yet he also remembered her reading during the afternoon rest, almost always with a book. The woman in his account had several claims on his memory.</w:t>
      </w:r>
    </w:p>
    <w:p>
      <w:pPr>
        <w:widowControl/>
        <w:spacing w:after="40" w:line="320"/>
        <w:ind w:firstLine="260"/>
      </w:pPr>
      <w:r>
        <w:t xml:space="preserve">Before setting them down, he spoke with Elisheva about almost every point. He knew that his quarrels with their grandmother might colour what he wrote. The qualification is his. A reader has both the memories and the witness's warning about the conditions in which they survived.</w:t>
      </w:r>
    </w:p>
    <w:p>
      <w:pPr>
        <w:widowControl/>
        <w:spacing w:after="40" w:line="320"/>
        <w:ind w:firstLine="260"/>
      </w:pPr>
      <w:r>
        <w:t xml:space="preserve">The names on the family drawing become less remote beside that kitchen. At the top of one sheet are Eliah and Rachel Grossman. Below them is Hava, with Yeva in brackets, followed by Back. Victor and Valentin appear beneath her; Michael appears beneath Valentin. A second sheet covers part of the drawing. No date or signature is visible in the photograph.</w:t>
      </w:r>
      <w:r>
        <w:rPr>
          <w:vertAlign w:val="superscript"/>
        </w:rPr>
        <w:t xml:space="preserve">2</w:t>
      </w:r>
    </w:p>
    <w:p>
      <w:pPr>
        <w:widowControl/>
        <w:spacing w:after="40" w:line="320"/>
        <w:ind w:firstLine="260"/>
      </w:pPr>
      <w:r>
        <w:t xml:space="preserve">Arie's writing supplies relationships that the lines represent. Victor, also called Vitia, was his father. Valentin, or Valia, was Michael's father. They were brothers, the sons of Yeva and Pavel. Arie and Michael shared grandparents. When Arie described his grandmother to Tor Hilmar Årnes in the family correspondence, he was preserving the life of a woman who belonged to Michael's history too.</w:t>
      </w:r>
      <w:r>
        <w:rPr>
          <w:vertAlign w:val="superscript"/>
        </w:rPr>
        <w:t xml:space="preserve">1</w:t>
      </w:r>
      <w:r>
        <w:rPr>
          <w:vertAlign w:val="superscript"/>
        </w:rPr>
        <w:t xml:space="preserve">, </w:t>
      </w:r>
      <w:r>
        <w:rPr>
          <w:vertAlign w:val="superscript"/>
        </w:rPr>
        <w:t xml:space="preserve">3</w:t>
      </w:r>
    </w:p>
    <w:p>
      <w:pPr>
        <w:widowControl/>
        <w:spacing w:after="40" w:line="320"/>
        <w:ind w:firstLine="260"/>
      </w:pPr>
      <w:r>
        <w:t xml:space="preserve">He also explained some of the names. Arie used both Yeva and Hava for his grandmother. Pavel's Hebrew name was Naftali; the official Russian name Arie found was Pantoleimon. Pavel, he said, preferred to be called Pavel. The long name in a document and the name used at home could point to one person.</w:t>
      </w:r>
      <w:r>
        <w:rPr>
          <w:vertAlign w:val="superscript"/>
        </w:rPr>
        <w:t xml:space="preserve">3</w:t>
      </w:r>
    </w:p>
    <w:p>
      <w:pPr>
        <w:widowControl/>
        <w:spacing w:after="40" w:line="320"/>
        <w:ind w:firstLine="260"/>
      </w:pPr>
      <w:r>
        <w:t xml:space="preserve">That does not make every similar name a match. It gives us this grandson's explanation of these names. It also preserves a preference. A man recorded under an official name could dislike it and ask to be called something else. The choice belongs to the man before it becomes a problem for the person searching an archive.</w:t>
      </w:r>
    </w:p>
    <w:p>
      <w:pPr>
        <w:widowControl/>
        <w:spacing w:after="40" w:line="320"/>
        <w:ind w:firstLine="260"/>
      </w:pPr>
      <w:r>
        <w:t xml:space="preserve">Arie knew about three of Yeva's brothers during his childhood: Vladimir, Meir and Issai, also called Charles. He described learning later about other branches that had remained in Russia. His knowledge of the family expanded through correspondence and documents. The people had not become relatives at the moment he learned about them. What changed was the reach of the account he could give.</w:t>
      </w:r>
      <w:r>
        <w:rPr>
          <w:vertAlign w:val="superscript"/>
        </w:rPr>
        <w:t xml:space="preserve">1</w:t>
      </w:r>
    </w:p>
    <w:p>
      <w:pPr>
        <w:widowControl/>
        <w:spacing w:after="40" w:line="320"/>
        <w:ind w:firstLine="260"/>
      </w:pPr>
      <w:r>
        <w:t xml:space="preserve">This is part of what I mean by recovering the Solbak Årnes family's Jewish history. The writing must be able to admit a person who was missing from an earlier account, and to change a detail when the evidence requires it. A correction does not cancel the relation. It may be one of the things required to treat the relation seriously.</w:t>
      </w:r>
    </w:p>
    <w:p>
      <w:pPr>
        <w:widowControl/>
        <w:spacing w:after="40" w:line="320"/>
        <w:ind w:firstLine="260"/>
      </w:pPr>
      <w:r>
        <w:t xml:space="preserve">Yeva's work needs room in that history. Arie describes the home restaurant she ran with Pavel after his railway employment ended. She cooked and served the food, then washed up. He bought supplies in the markets and helped serve the meals. The family accounts differ over the number of customers, but the division of labour is clear in the account of Yeva.</w:t>
      </w:r>
      <w:r>
        <w:rPr>
          <w:vertAlign w:val="superscript"/>
        </w:rPr>
        <w:t xml:space="preserve">1</w:t>
      </w:r>
      <w:r>
        <w:rPr>
          <w:vertAlign w:val="superscript"/>
        </w:rPr>
        <w:t xml:space="preserve">, </w:t>
      </w:r>
      <w:r>
        <w:rPr>
          <w:vertAlign w:val="superscript"/>
        </w:rPr>
        <w:t xml:space="preserve">3</w:t>
      </w:r>
    </w:p>
    <w:p>
      <w:pPr>
        <w:widowControl/>
        <w:spacing w:after="40" w:line="320"/>
        <w:ind w:firstLine="260"/>
      </w:pPr>
      <w:r>
        <w:t xml:space="preserve">Arie also remembered the household's heavy furniture and a thick tablecloth of artificial velvet. Pavel had taught him to build houses of cards on it. The cloth stayed in his memory because of something the two of them had done together. His mother supplied another explanation: she associated black and golden-brown cloths of that kind with Jewish upper-middle-class homes in Russia.</w:t>
      </w:r>
      <w:r>
        <w:rPr>
          <w:vertAlign w:val="superscript"/>
        </w:rPr>
        <w:t xml:space="preserve">3</w:t>
      </w:r>
    </w:p>
    <w:p>
      <w:pPr>
        <w:widowControl/>
        <w:spacing w:after="40" w:line="320"/>
        <w:ind w:firstLine="260"/>
      </w:pPr>
      <w:r>
        <w:t xml:space="preserve">Those are different kinds of knowledge. The boy knew the surface on which his grandfather showed him how to balance cards. His mother placed that furnishing in a wider household tradition. Her explanation gives the object another history without requiring the child to have understood it at the time. An inheritance can arrive before an explanation of it.</w:t>
      </w:r>
    </w:p>
    <w:p>
      <w:pPr>
        <w:widowControl/>
        <w:spacing w:after="40" w:line="320"/>
        <w:ind w:firstLine="260"/>
      </w:pPr>
      <w:r>
        <w:t xml:space="preserve">The restaurant asks something equally practical of a family history. Whose work kept the household going? A chart can name Yeva and Pavel with equal economy. Arie's account gives Yeva the cooking and washing, Pavel the markets and serving. The details make it harder to use the grandparents only as a pair of names through which a line of descent passes. They had meals to prepare and customers to feed.</w:t>
      </w:r>
    </w:p>
    <w:p>
      <w:pPr>
        <w:widowControl/>
        <w:spacing w:after="40" w:line="320"/>
        <w:ind w:firstLine="260"/>
      </w:pPr>
      <w:r>
        <w:t xml:space="preserve">A Norwegian account of our family needs this earlier household, but it also needs to know whose household it was. The coffee belongs to Arie's recollection. The card houses belong to his time with Pavel. They cannot become memories of my Norwegian childhood through a change of pronoun. They reach me as testimony from a relative, preserved in the family's papers.</w:t>
      </w:r>
    </w:p>
    <w:p>
      <w:pPr>
        <w:widowControl/>
        <w:spacing w:after="40" w:line="320"/>
        <w:ind w:firstLine="260"/>
      </w:pPr>
      <w:r>
        <w:t xml:space="preserve">Norwegian upbringing has its own particulars to answer for. Which names were spoken? What did a child learn about the people behind them? Who passed on a story, and who had to ask for it? Such questions require an account of a particular home. General statements about Norway cannot establish what a member of this family was told. Nor does descent alone tell us what was understood.</w:t>
      </w:r>
    </w:p>
    <w:p>
      <w:pPr>
        <w:widowControl/>
        <w:spacing w:after="40" w:line="320"/>
        <w:ind w:firstLine="260"/>
      </w:pPr>
      <w:r>
        <w:t xml:space="preserve">I want to be able to say </w:t>
      </w:r>
      <w:r>
        <w:rPr>
          <w:i/>
          <w:iCs/>
        </w:rPr>
        <w:t xml:space="preserve">we</w:t>
      </w:r>
      <w:r>
        <w:t xml:space="preserve"> without making the people inside the word interchangeable. Arie can have a childhood that Michael did not share in the same way. A later generation can receive a document instead of a memory. One relative can care about a practice that another does not keep. None of those differences needs to be concealed to make the family recognisable.</w:t>
      </w:r>
    </w:p>
    <w:p>
      <w:pPr>
        <w:widowControl/>
        <w:spacing w:after="40" w:line="320"/>
        <w:ind w:firstLine="260"/>
      </w:pPr>
      <w:r>
        <w:t xml:space="preserve">The difficulty grows when the word is used for a country. A family history offers reasons to resist a national account that requires everyone to have the same past. It does not settle every question of civic membership. The countries through which these names travelled, and the records in which they appear, have to be examined in their own settings. I cannot turn the Back papers into a general rule about who may call Norway home.</w:t>
      </w:r>
    </w:p>
    <w:p>
      <w:pPr>
        <w:widowControl/>
        <w:spacing w:after="40" w:line="320"/>
        <w:ind w:firstLine="260"/>
      </w:pPr>
      <w:r>
        <w:t xml:space="preserve">My Christian faith is part of the voice making this account. It gives me no warrant to rewrite Jewish relatives as Christians they did not say they were. Neither does it require me to put their Jewish history outside my own. I have to speak clearly enough that a reader can distinguish my confession from the lives I describe.</w:t>
      </w:r>
    </w:p>
    <w:p>
      <w:pPr>
        <w:widowControl/>
        <w:spacing w:after="40" w:line="320"/>
        <w:ind w:firstLine="260"/>
      </w:pPr>
      <w:r>
        <w:t xml:space="preserve">That is a demanding enough use of the family name. It commits the book to retaining people whose lives may resist the argument I am making. Yeva need not become an agreeable grandmother to remain in it. Arie's quarrels do not have to be erased, and his warning about his memory must stay beside them. The grandmother who made breakfast and the teenager who refused some of it can both be present.</w:t>
      </w:r>
    </w:p>
    <w:p>
      <w:pPr>
        <w:widowControl/>
        <w:spacing w:after="40" w:line="320"/>
        <w:ind w:firstLine="260"/>
      </w:pPr>
      <w:r>
        <w:t xml:space="preserve">The drawing establishes a place for them in the family's own account. The letter supplies the names they used; the remembered table gives Pavel something to do with his grandson. Those particulars can be handed on. A later child can know who taught Arie to build the card houses, even without ever having touched the cloth.</w:t>
      </w:r>
    </w:p>
    <w:p>
      <w:pPr>
        <w:pStyle w:val="Heading2"/>
        <w:keepNext/>
        <w:pageBreakBefore/>
        <w:spacing w:after="400" w:before="0"/>
      </w:pPr>
      <w:bookmarkStart w:name="kap-32" w:id="1"/>
      <w:r>
        <w:t xml:space="preserve">32. Blood, Practice and Witness</w:t>
      </w:r>
      <w:bookmarkEnd w:id="1"/>
    </w:p>
    <w:p>
      <w:pPr>
        <w:widowControl/>
        <w:spacing w:after="40" w:line="320"/>
        <w:ind w:firstLine="0"/>
      </w:pPr>
      <w:r>
        <w:t xml:space="preserve">Hilmar could take me fishing because I was his grandson. Being his grandson could not teach me to fish.</w:t>
      </w:r>
    </w:p>
    <w:p>
      <w:pPr>
        <w:widowControl/>
        <w:spacing w:after="40" w:line="320"/>
        <w:ind w:firstLine="260"/>
      </w:pPr>
      <w:r>
        <w:t xml:space="preserve">Both facts matter. The first names the relationship that made those hours available to me. The second names the work still required inside it. I would lose something by choosing between them. A family can give a child access to a practice without delivering competence along with the family name.</w:t>
      </w:r>
    </w:p>
    <w:p>
      <w:pPr>
        <w:widowControl/>
        <w:spacing w:after="40" w:line="320"/>
        <w:ind w:firstLine="260"/>
      </w:pPr>
      <w:r>
        <w:t xml:space="preserve">I have been wary of accounts that make a skill arrive automatically with ancestry. That caution becomes false if it leads me to treat ancestry as unimportant. I wanted to be in that boat with Hilmar. I have wanted to know more about his life because he is my grandfather. The relation helps explain why these particulars matter to me, even when a person outside the family could have taught me the same skill.</w:t>
      </w:r>
    </w:p>
    <w:p>
      <w:pPr>
        <w:widowControl/>
        <w:spacing w:after="40" w:line="320"/>
        <w:ind w:firstLine="260"/>
      </w:pPr>
      <w:r>
        <w:t xml:space="preserve">The same distinction protects my Jewish family history from a different mistake. I did not become Michael's grandson after reading enough documents or performing enough inherited practices. The relationship was there. The documents changed how much I knew about the people within it.</w:t>
      </w:r>
    </w:p>
    <w:p>
      <w:pPr>
        <w:widowControl/>
        <w:spacing w:after="40" w:line="320"/>
        <w:ind w:firstLine="260"/>
      </w:pPr>
      <w:r>
        <w:t>Arie's family account names Yeva as Michael's grandmother and his own. It identifies her brothers, including Meir and Vladimir Grossman, a name Arie's account spells Grosman. The family drawing places Hava, or Yeva, beneath Eliah and Rachel Grossman and places Michael beneath Valentin. These are direct statements of relationship in the family's own records. They deserve to be read as such.</w:t>
      </w:r>
      <w:r>
        <w:rPr>
          <w:vertAlign w:val="superscript"/>
        </w:rPr>
        <w:t xml:space="preserve">1</w:t>
      </w:r>
    </w:p>
    <w:p>
      <w:pPr>
        <w:widowControl/>
        <w:spacing w:after="40" w:line="320"/>
        <w:ind w:firstLine="260"/>
      </w:pPr>
      <w:r>
        <w:t xml:space="preserve">Their value does not depend on calling each of them a civil certificate. Arie's account and a drawing kept in the same family collection do not become several independent witnesses because they survive in several files. A gravestone can preserve a name and a patronymic without supplying every relationship on the drawing. Knowing what each object contributes makes the family account more usable.</w:t>
      </w:r>
    </w:p>
    <w:p>
      <w:pPr>
        <w:widowControl/>
        <w:spacing w:after="40" w:line="320"/>
        <w:ind w:firstLine="260"/>
      </w:pPr>
      <w:r>
        <w:t xml:space="preserve">There are dates we still have to handle carefully. A correction to a birth year need not abolish the person or the relationship. It asks us to correct the date. Likewise, a similar name in an unrelated record cannot be pressed into the family because the search needs another result. The object of the work is to find these people, including the facts that resist a tidy account of them.</w:t>
      </w:r>
    </w:p>
    <w:p>
      <w:pPr>
        <w:widowControl/>
        <w:spacing w:after="40" w:line="320"/>
        <w:ind w:firstLine="260"/>
      </w:pPr>
      <w:r>
        <w:t xml:space="preserve">Their practices were various. In Arie's recollection, Pavel taught him to build houses of cards; Yeva prepared meals and read books. In my own childhood, Hilmar repaired nets. Michael paid for language courses and helped prepare a letter. The family did not hand the same object unchanged from one generation to the next. Different people gave what they had, under different conditions, and later people had to decide what to do with it.</w:t>
      </w:r>
      <w:r>
        <w:rPr>
          <w:vertAlign w:val="superscript"/>
        </w:rPr>
        <w:t xml:space="preserve">1</w:t>
      </w:r>
      <w:r>
        <w:rPr>
          <w:vertAlign w:val="superscript"/>
        </w:rPr>
        <w:t xml:space="preserve">, </w:t>
      </w:r>
      <w:r>
        <w:rPr>
          <w:vertAlign w:val="superscript"/>
        </w:rPr>
        <w:t xml:space="preserve">2</w:t>
      </w:r>
    </w:p>
    <w:p>
      <w:pPr>
        <w:widowControl/>
        <w:spacing w:after="40" w:line="320"/>
        <w:ind w:firstLine="260"/>
      </w:pPr>
      <w:r>
        <w:t xml:space="preserve">Those acts are not equivalent. Feeding a household is work with an immediate demand. Teaching a child a game may have no purpose beyond the time together. Helping a teenager leave the country can increase the distance between him and the family that makes it possible. I want an account of inheritance broad enough to retain these differences. The word becomes less useful if everything inside it is made to illustrate the same lesson.</w:t>
      </w:r>
    </w:p>
    <w:p>
      <w:pPr>
        <w:widowControl/>
        <w:spacing w:after="40" w:line="320"/>
        <w:ind w:firstLine="260"/>
      </w:pPr>
      <w:r>
        <w:t xml:space="preserve">Michael's journeys are particularly resistant to a simple picture of keeping a child close. My grandfather spent money so that I could go away. The language courses led into a larger experience of living abroad. When I later read about his own childhood, I could recognise a connection between the countries without claiming that he had planned the connection as a lesson for me.</w:t>
      </w:r>
    </w:p>
    <w:p>
      <w:pPr>
        <w:widowControl/>
        <w:spacing w:after="40" w:line="320"/>
        <w:ind w:firstLine="260"/>
      </w:pPr>
      <w:r>
        <w:t xml:space="preserve">Witness adds another element. Gerda asked someone who knew the family to confirm their Jewish belonging. Michael wrote about me for people who did not know me. Arie set down memories for relatives who could not recover his childhood for themselves. Each act depended upon a person being able to say something that another person needed to hear.</w:t>
      </w:r>
      <w:r>
        <w:rPr>
          <w:vertAlign w:val="superscript"/>
        </w:rPr>
        <w:t xml:space="preserve">1</w:t>
      </w:r>
      <w:r>
        <w:rPr>
          <w:vertAlign w:val="superscript"/>
        </w:rPr>
        <w:t xml:space="preserve">, </w:t>
      </w:r>
      <w:r>
        <w:rPr>
          <w:vertAlign w:val="superscript"/>
        </w:rPr>
        <w:t xml:space="preserve">3</w:t>
      </w:r>
    </w:p>
    <w:p>
      <w:pPr>
        <w:widowControl/>
        <w:spacing w:after="40" w:line="320"/>
        <w:ind w:firstLine="260"/>
      </w:pPr>
      <w:r>
        <w:t xml:space="preserve">A witness can be mistaken. Affection can soften a memory. A recommendation has a purpose. I cannot remove those conditions without losing the people who produced the records. I can identify them, keep the uncertainties visible and ask whether another document helps. The alternative is not a family history without trust. It is trust attentive to what a particular person could know.</w:t>
      </w:r>
    </w:p>
    <w:p>
      <w:pPr>
        <w:widowControl/>
        <w:spacing w:after="40" w:line="320"/>
        <w:ind w:firstLine="260"/>
      </w:pPr>
      <w:r>
        <w:t xml:space="preserve">Tor is part of that history of keeping. The correspondence addressed to him carried Arie's account into our family's papers. The garment he made commemorated Hilmar's working life. My father helped preserve material about both sides of the family. The work now in front of me did not begin when I began to write a book.</w:t>
      </w:r>
      <w:r>
        <w:rPr>
          <w:vertAlign w:val="superscript"/>
        </w:rPr>
        <w:t xml:space="preserve">1</w:t>
      </w:r>
      <w:r>
        <w:rPr>
          <w:vertAlign w:val="superscript"/>
        </w:rPr>
        <w:t xml:space="preserve">, </w:t>
      </w:r>
      <w:r>
        <w:rPr>
          <w:vertAlign w:val="superscript"/>
        </w:rPr>
        <w:t xml:space="preserve">2</w:t>
      </w:r>
    </w:p>
    <w:p>
      <w:pPr>
        <w:widowControl/>
        <w:spacing w:after="40" w:line="320"/>
        <w:ind w:firstLine="260"/>
      </w:pPr>
      <w:r>
        <w:t xml:space="preserve">I want it to remain available after the book. A later member of the family should be able to find Gerda's letter, read what Arie actually said and distinguish either from my account of what it means. Agreement with me should not be the price of receiving the material.</w:t>
      </w:r>
    </w:p>
    <w:p>
      <w:pPr>
        <w:widowControl/>
        <w:spacing w:after="40" w:line="320"/>
        <w:ind w:firstLine="260"/>
      </w:pPr>
      <w:r>
        <w:t xml:space="preserve">That includes my Christian faith. I speak as the person who confesses it. My relatives do not acquire that confession through their place on the tree. Their Jewish lives remain their own, including where their convictions would differ from mine. Nor does my faith cancel the family to which I belong.</w:t>
      </w:r>
    </w:p>
    <w:p>
      <w:pPr>
        <w:widowControl/>
        <w:spacing w:after="40" w:line="320"/>
        <w:ind w:firstLine="260"/>
      </w:pPr>
      <w:r>
        <w:t>I am Jewish and Norwegian, by the descent the family's own papers record. In writing this history I am giving those words particulars. I am not asking a sequence of admired ancestors to guarantee my character. They cannot do that for me. What they can give me is knowledge of lives I have a reason to attend to, and examples of care I may answer with care of my own.</w:t>
      </w:r>
    </w:p>
    <w:p>
      <w:pPr>
        <w:widowControl/>
        <w:spacing w:after="40" w:line="320"/>
        <w:ind w:firstLine="260"/>
      </w:pPr>
      <w:r>
        <w:t xml:space="preserve">The family relationship can be named. The work can be learnt. The testimony can be kept and tested. None completes the others. A child may need all of them, and will still have a life to live that no ancestor can live on the child's behalf.</w:t>
      </w:r>
    </w:p>
    <w:p>
      <w:pPr>
        <w:pStyle w:val="Heading2"/>
        <w:keepNext/>
        <w:pageBreakBefore/>
        <w:spacing w:after="400" w:before="0"/>
      </w:pPr>
      <w:bookmarkStart w:name="kap-33" w:id="1"/>
      <w:r>
        <w:t xml:space="preserve">33. Norway Is Not the Kingdom</w:t>
      </w:r>
      <w:bookmarkEnd w:id="1"/>
    </w:p>
    <w:p>
      <w:pPr>
        <w:widowControl/>
        <w:spacing w:after="40" w:line="320"/>
        <w:ind w:firstLine="0"/>
      </w:pPr>
      <w:r>
        <w:t xml:space="preserve">Article 2 of the Norwegian Constitution begins with an inheritance. In the Storting's English translation, the sentence reads: "Our values will remain our Christian and humanist heritage." The next sentence commits the Constitution to democracy, the rule of law and human rights. The document puts a received history beside responsibilities for the present.</w:t>
      </w:r>
      <w:r>
        <w:rPr>
          <w:vertAlign w:val="superscript"/>
        </w:rPr>
        <w:t xml:space="preserve">1</w:t>
      </w:r>
    </w:p>
    <w:p>
      <w:pPr>
        <w:widowControl/>
        <w:spacing w:after="40" w:line="320"/>
        <w:ind w:firstLine="260"/>
      </w:pPr>
      <w:r>
        <w:t xml:space="preserve">The possessive is doing work. </w:t>
      </w:r>
      <w:r>
        <w:rPr>
          <w:i/>
          <w:iCs/>
        </w:rPr>
        <w:t xml:space="preserve">Our</w:t>
      </w:r>
      <w:r>
        <w:t xml:space="preserve"> belongs to a country whose inhabitants cannot be expected to give the same account of God. The sentence records a public inheritance without making every person who lives beneath it a Christian. Nor can the adjective confer Christian authority on everything the state does. A government has to answer for its actions after the word has been printed.</w:t>
      </w:r>
    </w:p>
    <w:p>
      <w:pPr>
        <w:widowControl/>
        <w:spacing w:after="40" w:line="320"/>
        <w:ind w:firstLine="260"/>
      </w:pPr>
      <w:r>
        <w:t>I want to keep that distance open. One reason Norway matters to this book is that it is the country in which the Solbak Årnes family's story must be told. Its institutions and habits enter the account through particular people: what they were taught, what they were permitted to do, what they passed on. A verdict on the country cannot substitute for those lives. Neither can gratitude for the country decide in advance which parts of them may be spoken about.</w:t>
      </w:r>
    </w:p>
    <w:p>
      <w:pPr>
        <w:widowControl/>
        <w:spacing w:after="40" w:line="320"/>
        <w:ind w:firstLine="260"/>
      </w:pPr>
      <w:r>
        <w:t xml:space="preserve">My family's Jewish history makes the constitutional word </w:t>
      </w:r>
      <w:r>
        <w:rPr>
          <w:i/>
          <w:iCs/>
        </w:rPr>
        <w:t xml:space="preserve">our</w:t>
      </w:r>
      <w:r>
        <w:t xml:space="preserve"> a serious question. The Grossman family drawing carries Hava, also named Yeva, into the Back line. Arie Back describes her household and names her descendants and brothers. He calls her his and Michael's grandmother. Those relationships reach beyond the national frame in which I am writing.</w:t>
      </w:r>
      <w:r>
        <w:rPr>
          <w:vertAlign w:val="superscript"/>
        </w:rPr>
        <w:t xml:space="preserve">2</w:t>
      </w:r>
      <w:r>
        <w:t xml:space="preserve"> They belong in the family's record.</w:t>
      </w:r>
    </w:p>
    <w:p>
      <w:pPr>
        <w:widowControl/>
        <w:spacing w:after="40" w:line="320"/>
        <w:ind w:firstLine="260"/>
      </w:pPr>
      <w:r>
        <w:t xml:space="preserve">I am writing as a Christian. That does not authorise me to complete the religious lives of the people on the drawing. A line connecting names cannot tell me how someone prayed, whether a practice survived a move, or what a child understood. Where a family witness remembers such things, the witness should be heard. Where the papers are silent, I have no memory to put in their place. My confession is mine to make. The people before me retain their own lives.</w:t>
      </w:r>
    </w:p>
    <w:p>
      <w:pPr>
        <w:widowControl/>
        <w:spacing w:after="40" w:line="320"/>
        <w:ind w:firstLine="260"/>
      </w:pPr>
      <w:r>
        <w:t xml:space="preserve">This distinction reaches into the Christian text itself. In Romans, Paul asks whether God has rejected his people. He answers by identifying himself as an Israelite, a descendant of Abraham, of the tribe of Benjamin. His answer includes the particular ancestry of the man writing it. Later in the chapter, he warns Gentile believers against boasting over the branches of an olive tree into which they have been grafted. The root supports them. They do not support the root.</w:t>
      </w:r>
      <w:r>
        <w:rPr>
          <w:vertAlign w:val="superscript"/>
        </w:rPr>
        <w:t xml:space="preserve">3</w:t>
      </w:r>
    </w:p>
    <w:p>
      <w:pPr>
        <w:widowControl/>
        <w:spacing w:after="40" w:line="320"/>
        <w:ind w:firstLine="260"/>
      </w:pPr>
      <w:r>
        <w:t xml:space="preserve">I cannot read that warning as permission to treat Jewish existence as a discarded first edition of my faith. Paul brings the Gentile reader under a warning against arrogance; he does not give that reader ownership of the people whose history he is discussing. The warning applies to me when I presume to settle somebody else's belonging.</w:t>
      </w:r>
    </w:p>
    <w:p>
      <w:pPr>
        <w:widowControl/>
        <w:spacing w:after="40" w:line="320"/>
        <w:ind w:firstLine="260"/>
      </w:pPr>
      <w:r>
        <w:t xml:space="preserve">Norwegian Christianity has to stand beneath that warning too. No constitutional phrase transfers the promises of Israel to Norway. No family discovery transfers them to me as a private possession. The ancestry in the family papers deserves attention on its own terms. Making it serve as a certificate of my spiritual importance would diminish the very people I say I want to recover.</w:t>
      </w:r>
    </w:p>
    <w:p>
      <w:pPr>
        <w:widowControl/>
        <w:spacing w:after="40" w:line="320"/>
        <w:ind w:firstLine="260"/>
      </w:pPr>
      <w:r>
        <w:t xml:space="preserve">There is another passage in which Paul names his ancestry. In Philippians he identifies himself with Israel and Benjamin before describing his standing in relation to Christ. Later he speaks of citizenship in heaven, from which believers await the Saviour.</w:t>
      </w:r>
      <w:r>
        <w:rPr>
          <w:vertAlign w:val="superscript"/>
        </w:rPr>
        <w:t xml:space="preserve">4</w:t>
      </w:r>
      <w:r>
        <w:t xml:space="preserve"> A Norwegian passport and my family tree cannot secure that citizenship. The tree tells me about relations between people. It cannot bear the burden of making me righteous.</w:t>
      </w:r>
    </w:p>
    <w:p>
      <w:pPr>
        <w:widowControl/>
        <w:spacing w:after="40" w:line="320"/>
        <w:ind w:firstLine="260"/>
      </w:pPr>
      <w:r>
        <w:t xml:space="preserve">These are claims I make within Christian faith. They cannot compel every member of my family to describe their identity as I describe mine. I want a family record that a relative can read without first agreeing with my theology. That reader must still be able to consult the documents and the names and relationships they record. Their survival should not depend on the reader approving the conclusions I draw elsewhere in this book.</w:t>
      </w:r>
    </w:p>
    <w:p>
      <w:pPr>
        <w:widowControl/>
        <w:spacing w:after="40" w:line="320"/>
        <w:ind w:firstLine="260"/>
      </w:pPr>
      <w:r>
        <w:t xml:space="preserve">This also sets a limit on what the word </w:t>
      </w:r>
      <w:r>
        <w:rPr>
          <w:i/>
          <w:iCs/>
        </w:rPr>
        <w:t xml:space="preserve">Christian</w:t>
      </w:r>
      <w:r>
        <w:t xml:space="preserve"> can do for Norway. A country may preserve churches, fund institutions and teach its history. People may find good reasons to value those arrangements. But the institutions still have ordinary tasks to perform, and ordinary people to answer to. Their religious history cannot exempt a harmful act from examination. Nor does an institution's failure cancel every good thing received through it.</w:t>
      </w:r>
    </w:p>
    <w:p>
      <w:pPr>
        <w:widowControl/>
        <w:spacing w:after="40" w:line="320"/>
        <w:ind w:firstLine="260"/>
      </w:pPr>
      <w:r>
        <w:t xml:space="preserve">It would be easier to give the country a single moral character. A beloved Norway could carry every defence; a condemned Norway could carry every accusation. Either account would spare me the labour of specifying who did what. This book needs the names, decisions and consequences that a national character can conceal. Where an institution protected someone, the protection belongs in the account. Where it failed someone, the failure does too. The adjective attached to the nation settles neither case.</w:t>
      </w:r>
    </w:p>
    <w:p>
      <w:pPr>
        <w:widowControl/>
        <w:spacing w:after="40" w:line="320"/>
        <w:ind w:firstLine="260"/>
      </w:pPr>
      <w:r>
        <w:t xml:space="preserve">In John's Gospel, the question of kingship is put to Jesus by Pilate. Jesus answers that his kingdom is not of this world; he speaks of the fight his servants would have made to prevent his arrest if it were.</w:t>
      </w:r>
      <w:r>
        <w:rPr>
          <w:vertAlign w:val="superscript"/>
        </w:rPr>
        <w:t xml:space="preserve">5</w:t>
      </w:r>
      <w:r>
        <w:t xml:space="preserve"> He is being questioned within the power of an earthly ruler. The passage does not supply a Norwegian programme of government. It does make it impossible for me simply to identify that ruler's power, or a state's power now, with the kingdom Jesus names.</w:t>
      </w:r>
    </w:p>
    <w:p>
      <w:pPr>
        <w:widowControl/>
        <w:spacing w:after="40" w:line="320"/>
        <w:ind w:firstLine="260"/>
      </w:pPr>
      <w:r>
        <w:t xml:space="preserve">That distinction does not require indifference to where I live. It leaves plenty to do here. A neighbour can need help; a child needs adults to keep an undertaking; a public decision can demand an answer from the people responsible for it. Such obligations do not become trivial because Norway lacks divine status. They become harder to evade when I cannot turn a practical failure into an argument about the nation's special destiny.</w:t>
      </w:r>
    </w:p>
    <w:p>
      <w:pPr>
        <w:widowControl/>
        <w:spacing w:after="40" w:line="320"/>
        <w:ind w:firstLine="260"/>
      </w:pPr>
      <w:r>
        <w:t xml:space="preserve">The same restraint must hold when the family account reaches Palestine. A relative's political position belongs to that relative, in a stated time and source. It cannot be extended through the branches until everyone acquires the same allegiance. Nor can our family story decide another people's belonging. The Christian claim that Christ is Lord places a demand on the person making it. Used to remove other people from the account, it would become a means of refusing that demand.</w:t>
      </w:r>
    </w:p>
    <w:p>
      <w:pPr>
        <w:widowControl/>
        <w:spacing w:after="40" w:line="320"/>
        <w:ind w:firstLine="260"/>
      </w:pPr>
      <w:r>
        <w:t xml:space="preserve">I want the Solbak Årnes family's Jewish history to have a place that does not depend on a Norwegian institution recognising it. I also want the account of Norwegian upbringing to remain particular enough that it cannot be replaced by a theory of Jewish inheritance. The family papers and the Norwegian lives answer different questions. One cannot fill the other's silences.</w:t>
      </w:r>
    </w:p>
    <w:p>
      <w:pPr>
        <w:widowControl/>
        <w:spacing w:after="40" w:line="320"/>
        <w:ind w:firstLine="260"/>
      </w:pPr>
      <w:r>
        <w:t xml:space="preserve">My Christian faith makes demands on me too. If Christ is Lord, my family cannot be the one institution excused from his judgement. I cannot demand an honest account from Norway and then make descent a defence against an honest account of us. The family name at the centre of this book is the name for which I am answerable.</w:t>
      </w:r>
    </w:p>
    <w:p>
      <w:pPr>
        <w:pStyle w:val="Heading2"/>
        <w:keepNext/>
        <w:pageBreakBefore/>
        <w:spacing w:after="400" w:before="0"/>
      </w:pPr>
      <w:bookmarkStart w:name="kap-34" w:id="1"/>
      <w:r>
        <w:t xml:space="preserve">34. The Family Under Judgement</w:t>
      </w:r>
      <w:bookmarkEnd w:id="1"/>
    </w:p>
    <w:p>
      <w:pPr>
        <w:widowControl/>
        <w:spacing w:after="40" w:line="320"/>
        <w:ind w:firstLine="0"/>
      </w:pPr>
      <w:r>
        <w:t xml:space="preserve">In Mark's Gospel, Jesus' mother and brothers arrive at a house and send for him. They stand outside; a crowd is sitting around him. When he is told that his family is looking for him, he asks who his mother and brothers are. Then he looks at the people around him and names those who do God's will as his brother, sister and mother.</w:t>
      </w:r>
      <w:r>
        <w:rPr>
          <w:vertAlign w:val="superscript"/>
        </w:rPr>
        <w:t xml:space="preserve">1</w:t>
      </w:r>
    </w:p>
    <w:p>
      <w:pPr>
        <w:widowControl/>
        <w:spacing w:after="40" w:line="320"/>
        <w:ind w:firstLine="260"/>
      </w:pPr>
      <w:r>
        <w:t xml:space="preserve">The ordinary relations remain visible in the account. Mark has just named them. Jesus refuses to let the summons from outside determine the limits of his household. People with no place in that immediate genealogy are addressed with family words. A Christian defence of the family has to reckon with this scene. The family cannot claim Jesus as its possession when he speaks beyond its boundary.</w:t>
      </w:r>
    </w:p>
    <w:p>
      <w:pPr>
        <w:widowControl/>
        <w:spacing w:after="40" w:line="320"/>
        <w:ind w:firstLine="260"/>
      </w:pPr>
      <w:r>
        <w:t xml:space="preserve">That puts a limit on the argument I am making. I value what one generation can give another. I want the work and the names to survive. But a Christian reason for valuing the family must also explain why Christ can judge it. Otherwise the theology adds an impressive title to whatever the family already wants to do.</w:t>
      </w:r>
    </w:p>
    <w:p>
      <w:pPr>
        <w:widowControl/>
        <w:spacing w:after="40" w:line="320"/>
        <w:ind w:firstLine="260"/>
      </w:pPr>
      <w:r>
        <w:t xml:space="preserve">A parent can receive the duty to care for a child without receiving ownership of the child's conscience. A spouse can make a binding promise without acquiring permission to harm the person to whom it was made. The relation gives the conduct somewhere to be examined. Its dignity makes betrayal within it more serious. It cannot be offered as the reason why the betrayal should go unexamined.</w:t>
      </w:r>
    </w:p>
    <w:p>
      <w:pPr>
        <w:widowControl/>
        <w:spacing w:after="40" w:line="320"/>
        <w:ind w:firstLine="260"/>
      </w:pPr>
      <w:r>
        <w:t xml:space="preserve">Ephesians places instructions to children and fathers close together. Children are told to obey their parents in the Lord and to honour father and mother. Fathers are then told not to provoke their children to anger, but to bring them up in the Lord's training and instruction.</w:t>
      </w:r>
      <w:r>
        <w:rPr>
          <w:vertAlign w:val="superscript"/>
        </w:rPr>
        <w:t xml:space="preserve">2</w:t>
      </w:r>
      <w:r>
        <w:t xml:space="preserve"> The father's authority arrives with an obligation addressed to him. He cannot read the child's command aloud and leave his own on the page.</w:t>
      </w:r>
    </w:p>
    <w:p>
      <w:pPr>
        <w:widowControl/>
        <w:spacing w:after="40" w:line="320"/>
        <w:ind w:firstLine="260"/>
      </w:pPr>
      <w:r>
        <w:t xml:space="preserve">I read that as a demand on the adult, including the adult writing about fathers. What is the child being asked to learn? What does the adult's conduct teach? The passage gives me no permission to measure the child's obedience while treating the father's anger as a private exemption. Instruction is itself a task for which a father is answerable. Calling it instruction does not establish that he has performed it well.</w:t>
      </w:r>
    </w:p>
    <w:p>
      <w:pPr>
        <w:widowControl/>
        <w:spacing w:after="40" w:line="320"/>
        <w:ind w:firstLine="260"/>
      </w:pPr>
      <w:r>
        <w:t xml:space="preserve">The question matters to a book about inheritance. We can preserve an object, repeat a name, and still fail a person who depends on us. Knowing the previous generation's history does not perform the next generation's duties. The account of Yeva's kitchen and Pavel's work deserves to be kept; the work required of me still has to be done.</w:t>
      </w:r>
      <w:r>
        <w:rPr>
          <w:vertAlign w:val="superscript"/>
        </w:rPr>
        <w:t xml:space="preserve">5</w:t>
      </w:r>
      <w:r>
        <w:t xml:space="preserve"> Their lives cannot furnish a substitute for it.</w:t>
      </w:r>
    </w:p>
    <w:p>
      <w:pPr>
        <w:widowControl/>
        <w:spacing w:after="40" w:line="320"/>
        <w:ind w:firstLine="260"/>
      </w:pPr>
      <w:r>
        <w:t xml:space="preserve">Marriage, too, is treated seriously in the text. In Mark 10, a question about divorce sends Jesus back to creation and the joining of husband and wife. He speaks against separating what God has joined. In the discussion that follows, his words about divorce and remarriage are severe.</w:t>
      </w:r>
      <w:r>
        <w:rPr>
          <w:vertAlign w:val="superscript"/>
        </w:rPr>
        <w:t xml:space="preserve">3</w:t>
      </w:r>
      <w:r>
        <w:t xml:space="preserve"> I cannot retain the language of commitment while quietly removing the demand it makes when keeping a promise becomes costly.</w:t>
      </w:r>
    </w:p>
    <w:p>
      <w:pPr>
        <w:widowControl/>
        <w:spacing w:after="40" w:line="320"/>
        <w:ind w:firstLine="260"/>
      </w:pPr>
      <w:r>
        <w:t xml:space="preserve">Nor will I pretend that quoting this passage settles every marriage a reader brings to it. A chapter does not know the facts of those lives. It cannot determine a person's guilt from a present marital status or decide what happened in a home from whether its occupants still share an address. My argument is for faithfulness to people, with the obligations that faithfulness brings. An appearance of family order is insufficient evidence of it.</w:t>
      </w:r>
    </w:p>
    <w:p>
      <w:pPr>
        <w:widowControl/>
        <w:spacing w:after="40" w:line="320"/>
        <w:ind w:firstLine="260"/>
      </w:pPr>
      <w:r>
        <w:t xml:space="preserve">This is where a claim about the family's value can become cruel. It can make the person who names harm responsible for spoiling the picture. It can require silence so that the household continues to look whole. I will not make that requirement here. Protection from violence and coercion belongs within the moral account of a family. Someone seeking safety must not be treated as the threat merely because the account is less comfortable after they speak.</w:t>
      </w:r>
    </w:p>
    <w:p>
      <w:pPr>
        <w:widowControl/>
        <w:spacing w:after="40" w:line="320"/>
        <w:ind w:firstLine="260"/>
      </w:pPr>
      <w:r>
        <w:t xml:space="preserve">That commitment is not a case-specific verdict. I have no authority to direct a reader into renewed contact with someone who may endanger them, or to treat a book's argument as an assessment of their safety. The family's standing in Christian thought supplies no shortcut around the need to know what happened. Where I do not know, I must leave the particular decision to those who can assess the circumstances and the risk.</w:t>
      </w:r>
    </w:p>
    <w:p>
      <w:pPr>
        <w:widowControl/>
        <w:spacing w:after="40" w:line="320"/>
        <w:ind w:firstLine="260"/>
      </w:pPr>
      <w:r>
        <w:t xml:space="preserve">The New Testament also prevents marriage from becoming a requirement for a complete human life. Paul addresses unmarried people and widows in 1 Corinthians 7. He regards remaining unmarried as good, allows for different gifts, and says that marrying is not a sin. His discussion includes the present distress facing his readers and the claims that married life makes on their attention.</w:t>
      </w:r>
      <w:r>
        <w:rPr>
          <w:vertAlign w:val="superscript"/>
        </w:rPr>
        <w:t xml:space="preserve">4</w:t>
      </w:r>
      <w:r>
        <w:t xml:space="preserve"> It is difficult to turn that chapter into a rule that everyone must marry before they can serve God properly.</w:t>
      </w:r>
    </w:p>
    <w:p>
      <w:pPr>
        <w:widowControl/>
        <w:spacing w:after="40" w:line="320"/>
        <w:ind w:firstLine="260"/>
      </w:pPr>
      <w:r>
        <w:t xml:space="preserve">Nor does Paul make each household's future a simple test of its members' religious performance. He considers a believer married to an unbeliever who is willing to remain. In the case he describes, Paul instructs the believer not to leave that spouse. He also considers the unbelieving spouse who departs. His discussion distinguishes circumstances instead of making one person's faith a guarantee that the other person will stay.</w:t>
      </w:r>
      <w:r>
        <w:rPr>
          <w:vertAlign w:val="superscript"/>
        </w:rPr>
        <w:t xml:space="preserve">4</w:t>
      </w:r>
    </w:p>
    <w:p>
      <w:pPr>
        <w:widowControl/>
        <w:spacing w:after="40" w:line="320"/>
        <w:ind w:firstLine="260"/>
      </w:pPr>
      <w:r>
        <w:t xml:space="preserve">A widowed reader should not have to defend the continuing value of a life because a spouse has died. An unmarried reader should not have to present a future marriage as an admission ticket to this argument. Nor should a reader without children be assigned a moral failure by a book that knows nothing of the reasons. The particular duties of parenthood matter. They do not exhaust the forms in which a person can owe care, keep faith or serve another.</w:t>
      </w:r>
    </w:p>
    <w:p>
      <w:pPr>
        <w:widowControl/>
        <w:spacing w:after="40" w:line="320"/>
        <w:ind w:firstLine="260"/>
      </w:pPr>
      <w:r>
        <w:t xml:space="preserve">There is real loss in the absence of a relationship someone wanted. Recognising a complete life outside marriage does not require calling every solitude welcome. A widow may miss her husband. Someone without children may grieve that absence. Their grief can be received without turning it into evidence that their lives are deficient, and without requiring them to supply a consoling account for the people around them.</w:t>
      </w:r>
    </w:p>
    <w:p>
      <w:pPr>
        <w:widowControl/>
        <w:spacing w:after="40" w:line="320"/>
        <w:ind w:firstLine="260"/>
      </w:pPr>
      <w:r>
        <w:t xml:space="preserve">For a church, family language therefore entails work beyond praising the households already present. Who is welcomed when they arrive alone? Whose name is remembered after a funeral, when the public attention has moved elsewhere? Who is trusted with responsibility? Those questions have practical answers in the conduct of a congregation. Calling other people brothers and sisters creates demands that a warm phrase cannot fulfil on its own.</w:t>
      </w:r>
    </w:p>
    <w:p>
      <w:pPr>
        <w:widowControl/>
        <w:spacing w:after="40" w:line="320"/>
        <w:ind w:firstLine="260"/>
      </w:pPr>
      <w:r>
        <w:t xml:space="preserve">There would be an easier book in which the family appeared only as the thing that other institutions had failed to honour. It could collect every injury and leave every obligation pointing outwards. That is not the book I can justify. Family members can fail one another. They can also tell stories about those failures that protect the teller. A Christian author cannot claim exemption from either possibility.</w:t>
      </w:r>
    </w:p>
    <w:p>
      <w:pPr>
        <w:widowControl/>
        <w:spacing w:after="40" w:line="320"/>
        <w:ind w:firstLine="260"/>
      </w:pPr>
      <w:r>
        <w:t xml:space="preserve">The demand for an honest account begins with what I choose to include and what I make it mean. An ancestor's work can be honoured without making every remembered action exemplary. A person can be loved without turning affection into confirmation of every claim. Where a document contradicts the story I prefer, the correction belongs in the book. Fidelity to the family includes allowing its members to have lived lives that exceed my argument about them.</w:t>
      </w:r>
    </w:p>
    <w:p>
      <w:pPr>
        <w:widowControl/>
        <w:spacing w:after="40" w:line="320"/>
        <w:ind w:firstLine="260"/>
      </w:pPr>
      <w:r>
        <w:t xml:space="preserve">The family has a place here as a calling, with work to do and promises to keep. It cannot redeem Norway, and it cannot redeem me. If I ask Christ to speak only when his words support the family, I have already decided who is to judge whom. His harder words must be allowed to address the household I want to defend.</w:t>
      </w:r>
    </w:p>
    <w:p>
      <w:pPr>
        <w:pStyle w:val="Heading2"/>
        <w:keepNext/>
        <w:pageBreakBefore/>
        <w:spacing w:after="400" w:before="0"/>
      </w:pPr>
      <w:bookmarkStart w:name="kap-35" w:id="1"/>
      <w:r>
        <w:t xml:space="preserve">35. The Hard Sayings</w:t>
      </w:r>
      <w:bookmarkEnd w:id="1"/>
    </w:p>
    <w:p>
      <w:pPr>
        <w:widowControl/>
        <w:spacing w:after="40" w:line="320"/>
        <w:ind w:firstLine="0"/>
      </w:pPr>
      <w:r>
        <w:t xml:space="preserve">Jesus tells the Twelve that a brother will deliver his brother to death, a father his child, and children their parents. He is sending them out, and the household is among the places where they may encounter opposition. Later in the same address he names a man's conflict with his father and a daughter's with her mother. Then he says:</w:t>
      </w:r>
    </w:p>
    <w:p>
      <w:pPr>
        <w:widowControl/>
        <w:spacing w:after="200" w:before="180" w:line="310"/>
        <w:ind w:left="280" w:right="200"/>
      </w:pPr>
      <w:r>
        <w:t xml:space="preserve">Whoever loves father or mother more than me is not worthy of me, and whoever loves son or daughter more than me is not worthy of me.</w:t>
      </w:r>
      <w:r>
        <w:rPr>
          <w:vertAlign w:val="superscript"/>
        </w:rPr>
        <w:t xml:space="preserve">1</w:t>
      </w:r>
    </w:p>
    <w:p>
      <w:pPr>
        <w:widowControl/>
        <w:spacing w:after="40" w:line="320"/>
        <w:ind w:firstLine="260"/>
      </w:pPr>
      <w:r>
        <w:t xml:space="preserve">Both directions are present. I cannot take the first as permission to judge an unfaithful son and leave the second outside my account of fatherhood. Jesus addresses the love that can seem most obviously entitled to govern a life. He does not accept its claim to come before him.</w:t>
      </w:r>
    </w:p>
    <w:p>
      <w:pPr>
        <w:widowControl/>
        <w:spacing w:after="40" w:line="320"/>
        <w:ind w:firstLine="260"/>
      </w:pPr>
      <w:r>
        <w:t xml:space="preserve">That is a serious difficulty for the book I wanted to write. I want relationships to endure. I want children to receive something worth keeping and parents to be able to give it. I have examined institutions by asking whether they help or hinder that work. Yet I cannot use the same question to decide whether Christ deserves a place. His authority does not depend on making the family more successful at being a family.</w:t>
      </w:r>
    </w:p>
    <w:p>
      <w:pPr>
        <w:widowControl/>
        <w:spacing w:after="40" w:line="320"/>
        <w:ind w:firstLine="260"/>
      </w:pPr>
      <w:r>
        <w:t xml:space="preserve">If a restored relationship becomes the condition on which I am willing to trust him, the relationship has become my judge of Christ. I may use the language of faith while setting the terms upon which faith will be rewarded. I can then call an outcome a blessing because it gives me what I most want, or a failure because it withholds it, without asking what Christ commands of me in either circumstance.</w:t>
      </w:r>
    </w:p>
    <w:p>
      <w:pPr>
        <w:widowControl/>
        <w:spacing w:after="40" w:line="320"/>
        <w:ind w:firstLine="260"/>
      </w:pPr>
      <w:r>
        <w:t xml:space="preserve">The saying does not require me to discover that I never truly loved the people I love. Nor should its severity be diluted into a reminder to maintain a sensible balance. Father, mother, son and daughter are named because these loves make real claims. The text places those claims below another, and it does so without promising that everyone involved will find the order acceptable.</w:t>
      </w:r>
    </w:p>
    <w:p>
      <w:pPr>
        <w:widowControl/>
        <w:spacing w:after="40" w:line="320"/>
        <w:ind w:firstLine="260"/>
      </w:pPr>
      <w:r>
        <w:t xml:space="preserve">Jesus immediately speaks of taking up the cross and following him. The loss of life for his sake is set against seeking to preserve it.</w:t>
      </w:r>
      <w:r>
        <w:rPr>
          <w:vertAlign w:val="superscript"/>
        </w:rPr>
        <w:t xml:space="preserve">1</w:t>
      </w:r>
      <w:r>
        <w:t xml:space="preserve"> This is more than a recommendation to endure the ordinary inconveniences of family life. The disciple's loyalty is being tested at the point where retaining what is most precious may require refusing the one being followed.</w:t>
      </w:r>
    </w:p>
    <w:p>
      <w:pPr>
        <w:widowControl/>
        <w:spacing w:after="40" w:line="320"/>
        <w:ind w:firstLine="260"/>
      </w:pPr>
      <w:r>
        <w:t xml:space="preserve">I should not make that test an excuse for my own conduct. A person can provoke a quarrel and then congratulate himself for suffering rejection. He can refuse to hear criticism and give the refusal a religious name. Nothing in being opposed establishes that he is obedient to Christ. I must not let the words about divided households acquit me before the reasons for a division have been heard.</w:t>
      </w:r>
    </w:p>
    <w:p>
      <w:pPr>
        <w:widowControl/>
        <w:spacing w:after="40" w:line="320"/>
        <w:ind w:firstLine="260"/>
      </w:pPr>
      <w:r>
        <w:t xml:space="preserve">The address itself does not command the disciples to manufacture hostility. Jesus tells them to be innocent as doves, and he tells them to flee to another town when persecuted.</w:t>
      </w:r>
      <w:r>
        <w:rPr>
          <w:vertAlign w:val="superscript"/>
        </w:rPr>
        <w:t xml:space="preserve">1</w:t>
      </w:r>
      <w:r>
        <w:t xml:space="preserve"> I cannot convert the cross into an instruction that a reader remain available to someone who harms them. Nor can I claim the disciple's position merely by identifying someone else's disagreement with me as persecution. The demand is to follow Christ, not to make conflict evidence of my importance.</w:t>
      </w:r>
    </w:p>
    <w:p>
      <w:pPr>
        <w:widowControl/>
        <w:spacing w:after="40" w:line="320"/>
        <w:ind w:firstLine="260"/>
      </w:pPr>
      <w:r>
        <w:t xml:space="preserve">The saying also presses against a more respectable temptation: keeping peace by allowing the family to decide what may be true. A household can demand agreement as the price of affection. It can preserve a story because a correction would embarrass someone loved. It can ask a younger person to inherit an opinion as though questioning it meant repudiating the person who held it. Where that demand is made, agreement may preserve the appearance of closeness while making honesty costly.</w:t>
      </w:r>
    </w:p>
    <w:p>
      <w:pPr>
        <w:widowControl/>
        <w:spacing w:after="40" w:line="320"/>
        <w:ind w:firstLine="260"/>
      </w:pPr>
      <w:r>
        <w:t xml:space="preserve">The application reaches my own work with family history. A name on the Solbak Årnes tree identifies a person whose life I want remembered. It does not give me a right to improve that life for my argument. Affection cannot settle a disputed date. Christian conviction cannot supply an ancestor's confession. The authority I acknowledge in Christ should make me more answerable for those distinctions, not more willing to evade them for a useful story.</w:t>
      </w:r>
    </w:p>
    <w:p>
      <w:pPr>
        <w:widowControl/>
        <w:spacing w:after="40" w:line="320"/>
        <w:ind w:firstLine="260"/>
      </w:pPr>
      <w:r>
        <w:t xml:space="preserve">Mark's account of Jesus naming those who do God's will as his family has already unsettled the boundary of the household.</w:t>
      </w:r>
      <w:r>
        <w:rPr>
          <w:vertAlign w:val="superscript"/>
        </w:rPr>
        <w:t xml:space="preserve">2</w:t>
      </w:r>
      <w:r>
        <w:t xml:space="preserve"> Here the demand reaches its order of loyalty. A parent cannot possess a child's conscience. An adult child cannot make parental approval the final test of what ought to be done. The claim applies to the speaker too; I do not become exempt when I move from being a son to being a father.</w:t>
      </w:r>
    </w:p>
    <w:p>
      <w:pPr>
        <w:widowControl/>
        <w:spacing w:after="40" w:line="320"/>
        <w:ind w:firstLine="260"/>
      </w:pPr>
      <w:r>
        <w:t xml:space="preserve">There is a loss for my preferred argument in admitting this. I cannot promise the reader that greater Christian faithfulness will restore every bond the book has taught him to value. The text itself prevents that promise. Obedience may expose a disagreement that a more convenient silence would have concealed. It may cost approval. It cannot therefore be judged solely by whether the household looks more united afterwards.</w:t>
      </w:r>
    </w:p>
    <w:p>
      <w:pPr>
        <w:widowControl/>
        <w:spacing w:after="40" w:line="320"/>
        <w:ind w:firstLine="260"/>
      </w:pPr>
      <w:r>
        <w:t xml:space="preserve">That does not make separation a Christian achievement. I would still hope for understanding, repentance and renewed trust wherever they are possible. The correction is to the rank I give that hope. No desired human outcome can become the condition under which Christ is allowed to remain Lord. A family that agrees about everything has no automatic claim to greater faithfulness than one whose members are struggling to tell the truth without ceasing to love.</w:t>
      </w:r>
    </w:p>
    <w:p>
      <w:pPr>
        <w:widowControl/>
        <w:spacing w:after="40" w:line="320"/>
        <w:ind w:firstLine="260"/>
      </w:pPr>
      <w:r>
        <w:t xml:space="preserve">I also cannot demand that a reader accept this as a manageable improvement to his life. The saying is demanding because the relationship with Christ is particular. Replace him with the general importance of integrity and the chapter becomes easier, but it no longer says what the text says. The one who asks to be followed places himself above the loves I would ordinarily use to justify everything else.</w:t>
      </w:r>
    </w:p>
    <w:p>
      <w:pPr>
        <w:widowControl/>
        <w:spacing w:after="40" w:line="320"/>
        <w:ind w:firstLine="260"/>
      </w:pPr>
      <w:r>
        <w:t xml:space="preserve">I must decide whether my defence of the family can live under that judgement. If it cannot, the Christian language in it is serving an argument I have already decided to keep regardless of Christ. If it can, reconciliation has to begin somewhere deeper than the restoration of the household I want.</w:t>
      </w:r>
      <w:r>
        <w:t xml:space="preserve"> The one who makes that demand is the same who, at the end of this book, feeds Peter on the shore before he asks anything of him.</w:t>
      </w:r>
    </w:p>
    <w:p>
      <w:pPr>
        <w:pStyle w:val="Heading2"/>
        <w:keepNext/>
        <w:pageBreakBefore/>
        <w:spacing w:after="400" w:before="0"/>
      </w:pPr>
      <w:bookmarkStart w:name="kap-36" w:id="1"/>
      <w:r>
        <w:t xml:space="preserve">36. Reconciliation Begins Elsewhere</w:t>
      </w:r>
      <w:bookmarkEnd w:id="1"/>
    </w:p>
    <w:p>
      <w:pPr>
        <w:widowControl/>
        <w:spacing w:after="40" w:line="320"/>
        <w:ind w:firstLine="0"/>
      </w:pPr>
      <w:r>
        <w:t xml:space="preserve">Paul describes Christ dying for people who were still weak and sinful. He speaks of enemies being reconciled to God through the death of God's Son, and of life received through him.</w:t>
      </w:r>
      <w:r>
        <w:rPr>
          <w:vertAlign w:val="superscript"/>
        </w:rPr>
        <w:t xml:space="preserve">1</w:t>
      </w:r>
      <w:r>
        <w:t xml:space="preserve"> The movement begins before the people described have made themselves worthy of it. Reconciliation is received, not presented as the reward for an adequately repaired life.</w:t>
      </w:r>
    </w:p>
    <w:p>
      <w:pPr>
        <w:widowControl/>
        <w:spacing w:after="40" w:line="320"/>
        <w:ind w:firstLine="260"/>
      </w:pPr>
      <w:r>
        <w:t xml:space="preserve">That order matters when the word is brought into a book about families. It would be easy to begin with the relationship we want restored and ask Christianity to provide the means. Prayer could become a way of obtaining a response. Repentance could be valued for its power to make someone return. Christ would then supply the strength for a project whose success had already been defined without him.</w:t>
      </w:r>
    </w:p>
    <w:p>
      <w:pPr>
        <w:widowControl/>
        <w:spacing w:after="40" w:line="320"/>
        <w:ind w:firstLine="260"/>
      </w:pPr>
      <w:r>
        <w:t xml:space="preserve">The reconciliation Paul announces is first reconciliation with God. In 2 Corinthians he writes that God reconciled us to himself through Jesus Christ and gave the ministry of reconciliation. The appeal which follows is to be reconciled to God.</w:t>
      </w:r>
      <w:r>
        <w:rPr>
          <w:vertAlign w:val="superscript"/>
        </w:rPr>
        <w:t xml:space="preserve">2</w:t>
      </w:r>
      <w:r>
        <w:t xml:space="preserve"> The passage is not a technique for securing agreement between estranged relatives. It names a gift and a calling whose source is God.</w:t>
      </w:r>
    </w:p>
    <w:p>
      <w:pPr>
        <w:widowControl/>
        <w:spacing w:after="40" w:line="320"/>
        <w:ind w:firstLine="260"/>
      </w:pPr>
      <w:r>
        <w:t xml:space="preserve">I cannot make that gift depend on another person's willingness to speak to me. If the restoration of a human relationship became proof that God had received me, an unanswered approach could seem to annul the gospel. It would put the other person in a position no human being can occupy. Their response might change what can happen between us. It cannot become the authority which decides whether Christ is sufficient.</w:t>
      </w:r>
    </w:p>
    <w:p>
      <w:pPr>
        <w:widowControl/>
        <w:spacing w:after="40" w:line="320"/>
        <w:ind w:firstLine="260"/>
      </w:pPr>
      <w:r>
        <w:t xml:space="preserve">This does not make the human loss unimportant. A relationship with God is not permission to stop caring about the people one has harmed or the person one longs to know. Nor does it settle the facts of a dispute. It changes where I seek the ground of my life, so that another person is no longer required to supply what I profess to receive from God.</w:t>
      </w:r>
    </w:p>
    <w:p>
      <w:pPr>
        <w:widowControl/>
        <w:spacing w:after="40" w:line="320"/>
        <w:ind w:firstLine="260"/>
      </w:pPr>
      <w:r>
        <w:t xml:space="preserve">Paul places the work in Christ's death and risen life. He says that those who live should no longer live for themselves, but for the one who died and rose for them.</w:t>
      </w:r>
      <w:r>
        <w:rPr>
          <w:vertAlign w:val="superscript"/>
        </w:rPr>
        <w:t xml:space="preserve">2</w:t>
      </w:r>
      <w:r>
        <w:t xml:space="preserve"> The resurrection here is not a description of a marriage recovering, a son returning or a nation finding confidence. I am confessing the crucified and risen Christ, not borrowing his name for a desired improvement in circumstances.</w:t>
      </w:r>
    </w:p>
    <w:p>
      <w:pPr>
        <w:widowControl/>
        <w:spacing w:after="40" w:line="320"/>
        <w:ind w:firstLine="260"/>
      </w:pPr>
      <w:r>
        <w:t xml:space="preserve">A repaired relationship would be a real good. It would not be Christ's resurrection repeated on a domestic scale. A relationship that remains broken does not disprove that resurrection. The distinction is necessary if Christian hope is to survive the life of someone whose father has died, whose child remains distant or whose safety depends on separation. Hope cannot be reserved for the person whose story supplies the ending other people prefer.</w:t>
      </w:r>
    </w:p>
    <w:p>
      <w:pPr>
        <w:widowControl/>
        <w:spacing w:after="40" w:line="320"/>
        <w:ind w:firstLine="260"/>
      </w:pPr>
      <w:r>
        <w:t xml:space="preserve">Grace also prevents repentance from becoming a payment. I cannot purchase forgiveness by finding the most impressive words of remorse. Nor can I bargain for a future response by promising to become the sort of person who deserves one. The change required of me is serious, but it does not put God in my debt. It certainly does not make another person indebted to me for having changed.</w:t>
      </w:r>
    </w:p>
    <w:p>
      <w:pPr>
        <w:widowControl/>
        <w:spacing w:after="40" w:line="320"/>
        <w:ind w:firstLine="260"/>
      </w:pPr>
      <w:r>
        <w:t xml:space="preserve">That exposes an uncomfortable possibility in confession. An apology can contain a demand: because I have admitted fault, you must now help me feel absolved. The person addressed is asked to remove the discomfort that telling the truth has created. If that is what I require, I have retained control of the purpose even while surrendering the defence of my conduct.</w:t>
      </w:r>
    </w:p>
    <w:p>
      <w:pPr>
        <w:widowControl/>
        <w:spacing w:after="40" w:line="320"/>
        <w:ind w:firstLine="260"/>
      </w:pPr>
      <w:r>
        <w:t xml:space="preserve">Repentance must be able to continue without that reassurance. Where I have done wrong, admitting it should make possible the work that can honestly follow. It should not become a substitute for that work. Correcting a false account, ceasing a harmful practice or accepting a necessary boundary can matter even when nobody offers a scene of forgiveness in return. These acts do not earn the grace from which I hope to live.</w:t>
      </w:r>
    </w:p>
    <w:p>
      <w:pPr>
        <w:widowControl/>
        <w:spacing w:after="40" w:line="320"/>
        <w:ind w:firstLine="260"/>
      </w:pPr>
      <w:r>
        <w:t xml:space="preserve">Neither does receiving grace require a false confession. I need not accept responsibility for every injury in a relationship in order to acknowledge the wrong that is mine. I must not call an accusation true merely because self-accusation sounds more spiritual than the labour of examining it. Truth remains necessary when it is directed inward. A confession which invents guilt is no more faithful to the people concerned than a defence which denies it.</w:t>
      </w:r>
    </w:p>
    <w:p>
      <w:pPr>
        <w:widowControl/>
        <w:spacing w:after="40" w:line="320"/>
        <w:ind w:firstLine="260"/>
      </w:pPr>
      <w:r>
        <w:t xml:space="preserve">There is also a place for practical skill. A person may need help to listen, to recognise what has been done or to speak without making another demand. Careful conversation is not made irrelevant by theology. But no technique becomes a promise that the other person's will can be secured. The most skilful approach cannot grant ownership of a response.</w:t>
      </w:r>
    </w:p>
    <w:p>
      <w:pPr>
        <w:widowControl/>
        <w:spacing w:after="40" w:line="320"/>
        <w:ind w:firstLine="260"/>
      </w:pPr>
      <w:r>
        <w:t xml:space="preserve">The word first, then, concerns the ground of Christian hope. It does not mean that nobody may apologise or seek repair before reaching a particular stage of religious understanding. It does not allow a Christian to postpone a duty until feeling sufficiently assured of grace. Paul speaks of a life turned away from living only for itself. Receiving mercy should make me more willing to undertake what is mine to do, without pretending that I can determine what follows.</w:t>
      </w:r>
    </w:p>
    <w:p>
      <w:pPr>
        <w:widowControl/>
        <w:spacing w:after="40" w:line="320"/>
        <w:ind w:firstLine="260"/>
      </w:pPr>
      <w:r>
        <w:t xml:space="preserve">I would like the story to end with a restored family. I cannot make a family's visible restoration the certificate that the book's faith has been justified. I can ask whether the account is truthful, whether the obligations it names are ones I will accept, and whether Christ remains its hope when my preferred result is absent. Those questions leave more work than a triumphant ending would.</w:t>
      </w:r>
    </w:p>
    <w:p>
      <w:pPr>
        <w:widowControl/>
        <w:spacing w:after="40" w:line="320"/>
        <w:ind w:firstLine="260"/>
      </w:pPr>
      <w:r>
        <w:t xml:space="preserve">Paul's language gives the hope its weight. The initiative belongs to God; reconciliation comes through Christ; the life received is to be lived for him. I do not have to manufacture an adequate household before that message may address me. I do have to let it judge my desire to make the household carry the burden of saving me.</w:t>
      </w:r>
    </w:p>
    <w:p>
      <w:pPr>
        <w:widowControl/>
        <w:spacing w:after="40" w:line="320"/>
        <w:ind w:firstLine="260"/>
      </w:pPr>
      <w:r>
        <w:t xml:space="preserve">From that order, the promise of hearts turning towards one another can be heard differently. It is no longer a method I possess. It is a promise whose speaker must be heard before I decide what it allows me to expect.</w:t>
      </w:r>
    </w:p>
    <w:p>
      <w:pPr>
        <w:pStyle w:val="Heading2"/>
        <w:keepNext/>
        <w:pageBreakBefore/>
        <w:spacing w:after="400" w:before="0"/>
      </w:pPr>
      <w:bookmarkStart w:name="kap-37" w:id="1"/>
      <w:r>
        <w:t xml:space="preserve">37. The Fathers and the Children</w:t>
      </w:r>
      <w:bookmarkEnd w:id="1"/>
    </w:p>
    <w:p>
      <w:pPr>
        <w:widowControl/>
        <w:spacing w:after="40" w:line="320"/>
        <w:ind w:firstLine="0"/>
      </w:pPr>
      <w:r>
        <w:t xml:space="preserve">Malachi closes with a promise:</w:t>
      </w:r>
    </w:p>
    <w:p>
      <w:pPr>
        <w:widowControl/>
        <w:spacing w:after="200" w:before="180" w:line="310"/>
        <w:ind w:left="280" w:right="200"/>
      </w:pPr>
      <w:r>
        <w:t xml:space="preserve">Look! I am going to send Elijah the prophet to you before the great and fearful day of the Lord comes! He will turn the hearts of fathers to their children and the hearts of children to their fathers. Otherwise, I will come and strike the land with complete destruction.</w:t>
      </w:r>
      <w:r>
        <w:rPr>
          <w:vertAlign w:val="superscript"/>
        </w:rPr>
        <w:t xml:space="preserve">1</w:t>
      </w:r>
    </w:p>
    <w:p>
      <w:pPr>
        <w:widowControl/>
        <w:spacing w:after="40" w:line="320"/>
        <w:ind w:firstLine="260"/>
      </w:pPr>
      <w:r>
        <w:t xml:space="preserve">In Matthew's Gospel, Jesus identifies John the Baptist with the promised Elijah. He calls John the messenger who prepares the way. Later, following the transfiguration, Jesus speaks of Elijah having already come, unrecognised and mistreated; the disciples understand that he is speaking about John.</w:t>
      </w:r>
      <w:r>
        <w:rPr>
          <w:vertAlign w:val="superscript"/>
        </w:rPr>
        <w:t xml:space="preserve">2</w:t>
      </w:r>
      <w:r>
        <w:t xml:space="preserve"> The Christian reading begins with that identification and John's preparation for Christ. It does not begin with a role waiting to be occupied by a modern author.</w:t>
      </w:r>
    </w:p>
    <w:p>
      <w:pPr>
        <w:widowControl/>
        <w:spacing w:after="40" w:line="320"/>
        <w:ind w:firstLine="260"/>
      </w:pPr>
      <w:r>
        <w:t xml:space="preserve">I receive the promise through that fulfilment. It belongs within God's action towards his people and the coming of Christ. It cannot be detached from them and offered as a method by which a parent secures a child's return. Nor can I treat the recurrence of family estrangement as evidence that the text has appointed me to repeat John's ministry. An application must remain an application, answerable to the people and events the text names.</w:t>
      </w:r>
    </w:p>
    <w:p>
      <w:pPr>
        <w:widowControl/>
        <w:spacing w:after="40" w:line="320"/>
        <w:ind w:firstLine="260"/>
      </w:pPr>
      <w:r>
        <w:t xml:space="preserve">The closing words also belong to the rest of Malachi. Immediately before the promise comes the command to remember the law given through Moses for all Israel. Earlier, priests are addressed for corrupting their charge. Men are confronted over betrayal of the wives of their youth. The question of faithfulness at the altar and the question of faithfulness to a wife occur within the same book.</w:t>
      </w:r>
      <w:r>
        <w:rPr>
          <w:vertAlign w:val="superscript"/>
        </w:rPr>
        <w:t xml:space="preserve">3</w:t>
      </w:r>
    </w:p>
    <w:p>
      <w:pPr>
        <w:widowControl/>
        <w:spacing w:after="40" w:line="320"/>
        <w:ind w:firstLine="260"/>
      </w:pPr>
      <w:r>
        <w:t xml:space="preserve">That setting resists the attempt to make the final verses a complaint directed only at children. Adults and religious authorities have already been called to account. The people charged with keeping and teaching the inheritance cannot assume that the inheritance reaches the next generation undamaged by their own conduct. The promise of turning addresses a people whose need includes the need to repent.</w:t>
      </w:r>
    </w:p>
    <w:p>
      <w:pPr>
        <w:widowControl/>
        <w:spacing w:after="40" w:line="320"/>
        <w:ind w:firstLine="260"/>
      </w:pPr>
      <w:r>
        <w:t xml:space="preserve">It also reaches further than a picture of one modern household. Malachi speaks of the covenant of the fathers and of departure from God's ordinances since the days of the fathers.</w:t>
      </w:r>
      <w:r>
        <w:rPr>
          <w:vertAlign w:val="superscript"/>
        </w:rPr>
        <w:t xml:space="preserve">3</w:t>
      </w:r>
      <w:r>
        <w:t xml:space="preserve"> Generations stand behind the people being addressed. I would narrow that setting if I made fathers mean only a present-day category of biological parenthood. The remembered inheritance and the relations between living generations belong together without becoming identical.</w:t>
      </w:r>
    </w:p>
    <w:p>
      <w:pPr>
        <w:widowControl/>
        <w:spacing w:after="40" w:line="320"/>
        <w:ind w:firstLine="260"/>
      </w:pPr>
      <w:r>
        <w:t xml:space="preserve">For a family recovering its Jewish history, that distinction matters. Genealogy can recover relationships, names and lines of descent. It cannot record a person's heart as though the heart were another item entered beside a date. A family can know more about where it came from and still have work to do in how its members regard one another. The knowledge is worth having; it does not perform that work for us.</w:t>
      </w:r>
    </w:p>
    <w:p>
      <w:pPr>
        <w:widowControl/>
        <w:spacing w:after="40" w:line="320"/>
        <w:ind w:firstLine="260"/>
      </w:pPr>
      <w:r>
        <w:t xml:space="preserve">Neither can my Christian reading dispossess the Jewish family history that has brought these questions close. Malachi's address to Israel does not become an address to Norway because I read it here. </w:t>
      </w:r>
    </w:p>
    <w:p>
      <w:pPr>
        <w:widowControl/>
        <w:spacing w:after="40" w:line="320"/>
        <w:ind w:firstLine="260"/>
      </w:pPr>
      <w:r>
        <w:t xml:space="preserve">The two directions of the promise must remain audible. A father who hears only the turning of children towards fathers can make the text an endorsement of waiting for gratitude. A son who hears only the turning of fathers towards children can use it to keep every obligation pointed away from himself. The text gives neither reader the whole of its attention at the other's expense.</w:t>
      </w:r>
    </w:p>
    <w:p>
      <w:pPr>
        <w:widowControl/>
        <w:spacing w:after="40" w:line="320"/>
        <w:ind w:firstLine="260"/>
      </w:pPr>
      <w:r>
        <w:t xml:space="preserve">Reciprocity does not mean identical responsibility. A child and an adult do not hold the same power. The fact that both are named does not establish equal fault in a particular relationship. It does not require the person who was injured to invent a share of guilt so that the account looks balanced. The turning of a father's heart may require recognition of what the father has done; the turning of a son's may require a form of honour that does not restore unsafe access.</w:t>
      </w:r>
    </w:p>
    <w:p>
      <w:pPr>
        <w:widowControl/>
        <w:spacing w:after="40" w:line="320"/>
        <w:ind w:firstLine="260"/>
      </w:pPr>
      <w:r>
        <w:t xml:space="preserve">The promise begins with God saying that he will send. Elijah is the agent named in the following sentence, and John's work prepares for Christ. I therefore understand the turning as God's work rather than a domestic result produced by the right performance. That does not make people passive. It makes their action responsive, without granting them command over the other person's response.</w:t>
      </w:r>
    </w:p>
    <w:p>
      <w:pPr>
        <w:widowControl/>
        <w:spacing w:after="40" w:line="320"/>
        <w:ind w:firstLine="260"/>
      </w:pPr>
      <w:r>
        <w:t xml:space="preserve">The difference becomes practical when a desired reconciliation does not occur. A parent may have things to confess and change which remain necessary whether or not a child acknowledges them. An adult child may be able to speak truthfully about a dead father without receiving the explanation or apology once wanted. These are possible responsibilities under the promise; neither is a device for forcing its fulfilment on demand.</w:t>
      </w:r>
    </w:p>
    <w:p>
      <w:pPr>
        <w:widowControl/>
        <w:spacing w:after="40" w:line="320"/>
        <w:ind w:firstLine="260"/>
      </w:pPr>
      <w:r>
        <w:t>Malachi's final words warn of complete destruction. I must not remove that warning because it makes the promise less comfortable. It belongs to God's address. I have no warrant to turn it into a forecast of Norway's future or a threat attached to a reader's decision about contact. Social statistics cannot tell me whether God will punish a country, or when.</w:t>
      </w:r>
    </w:p>
    <w:p>
      <w:pPr>
        <w:widowControl/>
        <w:spacing w:after="40" w:line="320"/>
        <w:ind w:firstLine="260"/>
      </w:pPr>
      <w:r>
        <w:t xml:space="preserve">That restraint should not drain the text of its demand. Faithfulness matters in worship and in the life shared with other people. Betrayal is not made harmless by remaining private. The promise of turning is hopeful because it addresses a real need, including the need of the adults who would like to preserve their authority without being changed by what they hear.</w:t>
      </w:r>
    </w:p>
    <w:p>
      <w:pPr>
        <w:widowControl/>
        <w:spacing w:after="40" w:line="320"/>
        <w:ind w:firstLine="260"/>
      </w:pPr>
      <w:r>
        <w:t xml:space="preserve">I began with the desire that something might be handed on. Here the desire itself comes under examination. I cannot ask the next generation to carry an inheritance while refusing to hear what carrying it has meant for them. Nor can I honour those before me by accepting only the parts of their lives that confirm my preferred account. The attention has to travel in both directions, and the truth may make demands in both.</w:t>
      </w:r>
    </w:p>
    <w:p>
      <w:pPr>
        <w:widowControl/>
        <w:spacing w:after="40" w:line="320"/>
        <w:ind w:firstLine="260"/>
      </w:pPr>
      <w:r>
        <w:t xml:space="preserve">Christ remains the centre of that hope. John prepares his way; the turning is not an independent family programme that reaches its goal without him. I can undertake the work that belongs to me without mistaking it for the power to save the people I love. Their hearts are not possessions waiting to be returned to my keeping.</w:t>
      </w:r>
    </w:p>
    <w:p>
      <w:pPr>
        <w:widowControl/>
        <w:spacing w:after="40" w:line="320"/>
        <w:ind w:firstLine="260"/>
      </w:pPr>
      <w:r>
        <w:t xml:space="preserve">The reader who hears this is first someone's child, even if he never knew his father. What turning can mean in that particular life requires more care than a command to make contact.</w:t>
      </w:r>
    </w:p>
    <w:p>
      <w:pPr>
        <w:pStyle w:val="Heading2"/>
        <w:keepNext/>
        <w:pageBreakBefore/>
        <w:spacing w:after="400" w:before="0"/>
      </w:pPr>
      <w:bookmarkStart w:name="kap-38" w:id="1"/>
      <w:r>
        <w:t xml:space="preserve">38. Turn Towards the Father</w:t>
      </w:r>
      <w:bookmarkEnd w:id="1"/>
    </w:p>
    <w:p>
      <w:pPr>
        <w:widowControl/>
        <w:spacing w:after="40" w:line="320"/>
        <w:ind w:firstLine="0"/>
      </w:pPr>
      <w:r>
        <w:t xml:space="preserve">The instruction in Ephesians to honour father and mother stands close to an instruction addressed to fathers: they must not provoke their children to anger. Colossians places the child's obedience beside a warning that fathers must not discourage their children.</w:t>
      </w:r>
      <w:r>
        <w:rPr>
          <w:vertAlign w:val="superscript"/>
        </w:rPr>
        <w:t xml:space="preserve">1</w:t>
      </w:r>
      <w:r>
        <w:t xml:space="preserve"> The adult who reads the first command cannot claim to be merely its audience. He is being addressed by the next one.</w:t>
      </w:r>
    </w:p>
    <w:p>
      <w:pPr>
        <w:widowControl/>
        <w:spacing w:after="40" w:line="320"/>
        <w:ind w:firstLine="260"/>
      </w:pPr>
      <w:r>
        <w:t xml:space="preserve">A son therefore hears a demand within a relationship whose authority is also under judgement. The command does not require him to pretend that the relationship was good. Nor does the discovery of a father's failure settle everything that honour might mean. It makes the particular history necessary. A word addressed to sons cannot honestly be applied as though every son had received the same father.</w:t>
      </w:r>
    </w:p>
    <w:p>
      <w:pPr>
        <w:widowControl/>
        <w:spacing w:after="40" w:line="320"/>
        <w:ind w:firstLine="260"/>
      </w:pPr>
      <w:r>
        <w:t xml:space="preserve">Where a father cared well, honour may be more exact than admiration. Gratitude can name what was given: time, instruction, an act of protection, or a task undertaken when it was inconvenient. The point is not to produce a perfect portrait. A person can be thanked for a particular good without being made responsible for everything that later went well in the child's life.</w:t>
      </w:r>
    </w:p>
    <w:p>
      <w:pPr>
        <w:widowControl/>
        <w:spacing w:after="40" w:line="320"/>
        <w:ind w:firstLine="260"/>
      </w:pPr>
      <w:r>
        <w:t xml:space="preserve">That leaves room for an adult son to know more than the version of his father he first received. A father had a life before the child could observe it. He may have questions, losses or judgements the son has never heard. Where conversation is possible, there is something to receive without requiring agreement about every part of it. Listening need not make the son younger than he is; it may let him encounter the father more fully as an adult.</w:t>
      </w:r>
    </w:p>
    <w:p>
      <w:pPr>
        <w:widowControl/>
        <w:spacing w:after="40" w:line="320"/>
        <w:ind w:firstLine="260"/>
      </w:pPr>
      <w:r>
        <w:t xml:space="preserve">A dead father cannot enter that conversation. Honour then has to live with the limit. A remembered act can be described as remembered, and a document can correct what the family has repeated. Neither gives permission to invent the words one wishes the father had said. A truthful account can preserve affection while admitting that an important question will remain unanswered.</w:t>
      </w:r>
    </w:p>
    <w:p>
      <w:pPr>
        <w:widowControl/>
        <w:spacing w:after="40" w:line="320"/>
        <w:ind w:firstLine="260"/>
      </w:pPr>
      <w:r>
        <w:t xml:space="preserve">The work of recovering the Solbak Årnes family's Jewish history belongs under that restraint. Names and relationships can be restored to an account of the family without restoring access to the people themselves. A new record may tell us something we did not know. It cannot supply a memory of being with a person we never met. To honour an ancestor is also to let the evidence end where it ends.</w:t>
      </w:r>
    </w:p>
    <w:p>
      <w:pPr>
        <w:widowControl/>
        <w:spacing w:after="40" w:line="320"/>
        <w:ind w:firstLine="260"/>
      </w:pPr>
      <w:r>
        <w:t xml:space="preserve">For the son who never knew his father, the absence should not be filled by an exemplary stranger. A book about inheritance can make this harder if every reader is expected to possess a store of remembered instruction. Some readers cannot return to such a scene. They should not have to invent one in order to have a place in the book.</w:t>
      </w:r>
    </w:p>
    <w:p>
      <w:pPr>
        <w:widowControl/>
        <w:spacing w:after="40" w:line="320"/>
        <w:ind w:firstLine="260"/>
      </w:pPr>
      <w:r>
        <w:t xml:space="preserve">Learning a father's name or history may matter in its own right. It need not promise a meeting, an explanation or the recovery of a relationship which never existed in that form. The wish to know can be respected without deciding in advance what the knowledge will mean. The person found in a record may be less like the imagined father and more difficult to understand.</w:t>
      </w:r>
    </w:p>
    <w:p>
      <w:pPr>
        <w:widowControl/>
        <w:spacing w:after="40" w:line="320"/>
        <w:ind w:firstLine="260"/>
      </w:pPr>
      <w:r>
        <w:t xml:space="preserve">An unsafe father creates another demand upon the language of honour. Honour does not require renewed exposure to danger. It does not require silence about abuse, false praise or access that puts a person at risk. The restraint placed on fathers belongs in the reading of the command, and the facts of a particular history cannot be overruled by a general appeal to family unity.</w:t>
      </w:r>
    </w:p>
    <w:p>
      <w:pPr>
        <w:widowControl/>
        <w:spacing w:after="40" w:line="320"/>
        <w:ind w:firstLine="260"/>
      </w:pPr>
      <w:r>
        <w:t xml:space="preserve">This book cannot assess those facts for an unknown reader. It cannot know whether a proposed conversation is safe or whether a boundary should change. I should not use religious language to make that decision from a distance. A person may need help from people able to understand the actual circumstances; no demonstration of filial feeling should be demanded before the need for safety is taken seriously.</w:t>
      </w:r>
    </w:p>
    <w:p>
      <w:pPr>
        <w:widowControl/>
        <w:spacing w:after="40" w:line="320"/>
        <w:ind w:firstLine="260"/>
      </w:pPr>
      <w:r>
        <w:t xml:space="preserve">Honour can therefore include refusing to repeat a false account. Where harm occurred, calling it harmless would misdescribe both the injured person and the father who acted. Telling the truth does not require adding motives that cannot be known. It asks for an account accurate enough to distinguish what happened from the explanations built around it afterwards.</w:t>
      </w:r>
    </w:p>
    <w:p>
      <w:pPr>
        <w:widowControl/>
        <w:spacing w:after="40" w:line="320"/>
        <w:ind w:firstLine="260"/>
      </w:pPr>
      <w:r>
        <w:t xml:space="preserve">Forgiveness introduces a further difficulty. In Colossians, the instruction to forgive is grounded in the forgiveness received from Christ.</w:t>
      </w:r>
      <w:r>
        <w:rPr>
          <w:vertAlign w:val="superscript"/>
        </w:rPr>
        <w:t xml:space="preserve">2</w:t>
      </w:r>
      <w:r>
        <w:t xml:space="preserve"> It cannot be treated as an achievement that makes the person harmed superior to the person who harmed them. Nor can I measure it by whether access has been restored. A renewed relationship involves the conduct and willingness of more than one person.</w:t>
      </w:r>
    </w:p>
    <w:p>
      <w:pPr>
        <w:widowControl/>
        <w:spacing w:after="40" w:line="320"/>
        <w:ind w:firstLine="260"/>
      </w:pPr>
      <w:r>
        <w:t xml:space="preserve">I would not require a reader to call wrong right in order to speak of forgiveness. Neither would I promise that forgiving removes grief or supplies an apology that was never given. The Christian question concerns how a person lives before God and towards another, with the truth of the wrong still acknowledged. It does not give the wrong a less serious name.</w:t>
      </w:r>
    </w:p>
    <w:p>
      <w:pPr>
        <w:widowControl/>
        <w:spacing w:after="40" w:line="320"/>
        <w:ind w:firstLine="260"/>
      </w:pPr>
      <w:r>
        <w:t>There can also be a wrong done by the son which needs acknowledgement. The father's failures do not automatically explain away everything the son has done. But the reverse is equally true: a son's wrongdoing does not excuse everything done to him. A truthful account need not distribute blame evenly. It needs to identify responsibility where responsibility belongs.</w:t>
      </w:r>
    </w:p>
    <w:p>
      <w:pPr>
        <w:widowControl/>
        <w:spacing w:after="40" w:line="320"/>
        <w:ind w:firstLine="260"/>
      </w:pPr>
      <w:r>
        <w:t xml:space="preserve">For a son who is also a father, this is where the direction changes again. He cannot reserve the demand for honesty for his own parent and then ask his children to protect him from it. The instruction against provoking and discouraging them addresses him now. What he was denied may matter deeply, but it cannot become a complete account of what he owes.</w:t>
      </w:r>
    </w:p>
    <w:p>
      <w:pPr>
        <w:widowControl/>
        <w:spacing w:after="40" w:line="320"/>
        <w:ind w:firstLine="260"/>
      </w:pPr>
      <w:r>
        <w:t xml:space="preserve">None of these possibilities forms a sequence every reader must follow. Some involve conversation; some involve the keeping of a boundary or the keeping of a truthful memory. Their value cannot be measured by how closely they resemble the return of a son in a familiar story. A person's history may leave forms of faithfulness possible while closing others.</w:t>
      </w:r>
    </w:p>
    <w:p>
      <w:pPr>
        <w:widowControl/>
        <w:spacing w:after="40" w:line="320"/>
        <w:ind w:firstLine="260"/>
      </w:pPr>
      <w:r>
        <w:t xml:space="preserve">The son remains a person before God when his father cannot be reached, cannot be safely approached or cannot be known beyond a name. Christ does not wait for an adequate family history before calling him. A good inheritance is a gift to receive with gratitude. Its absence does not exclude him from the life Christ gives.</w:t>
      </w:r>
    </w:p>
    <w:p>
      <w:pPr>
        <w:widowControl/>
        <w:spacing w:after="40" w:line="320"/>
        <w:ind w:firstLine="260"/>
      </w:pPr>
      <w:r>
        <w:t xml:space="preserve">Turning begins to have meaning in that particular life, without requiring a false account of it. The other person may still refuse to turn. Christian hope has to remain truthful there too.</w:t>
      </w:r>
    </w:p>
    <w:p>
      <w:pPr>
        <w:pStyle w:val="Heading2"/>
        <w:keepNext/>
        <w:pageBreakBefore/>
        <w:spacing w:after="400" w:before="0"/>
      </w:pPr>
      <w:bookmarkStart w:name="kap-39" w:id="1"/>
      <w:r>
        <w:t xml:space="preserve">39. When the Other Heart Does Not Turn</w:t>
      </w:r>
      <w:bookmarkEnd w:id="1"/>
    </w:p>
    <w:p>
      <w:pPr>
        <w:widowControl/>
        <w:spacing w:after="40" w:line="320"/>
        <w:ind w:firstLine="0"/>
      </w:pPr>
      <w:r>
        <w:t xml:space="preserve">Paul places two qualifications inside his instruction about peace: "If it is possible, as far as it depends on you, maintain peace with everyone."</w:t>
      </w:r>
      <w:r>
        <w:rPr>
          <w:vertAlign w:val="superscript"/>
        </w:rPr>
        <w:t xml:space="preserve">1</w:t>
      </w:r>
      <w:r>
        <w:t xml:space="preserve"> He does not leave them in a footnote. Possibility and responsibility belong in the sentence itself.</w:t>
      </w:r>
    </w:p>
    <w:p>
      <w:pPr>
        <w:widowControl/>
        <w:spacing w:after="40" w:line="320"/>
        <w:ind w:firstLine="260"/>
      </w:pPr>
      <w:r>
        <w:t xml:space="preserve">The person who wants reconciliation cannot make it happen alone. An apology may be offered and remain unanswered. Someone may acknowledge a wrong without being trusted again. A conversation may begin, then stop. None of these possibilities tells us enough to decide who has acted well. They do tell us why an instruction to seek peace cannot be turned into a promise that peace will follow.</w:t>
      </w:r>
    </w:p>
    <w:p>
      <w:pPr>
        <w:widowControl/>
        <w:spacing w:after="40" w:line="320"/>
        <w:ind w:firstLine="260"/>
      </w:pPr>
      <w:r>
        <w:t xml:space="preserve">Waiting is harder to act on than an acknowledged wrong. There is something definite to do when a wrong can be confessed or repaired. Waiting for another person's response leaves less to grasp. It can tempt us to keep finding new ways to deliver the same appeal, as though greater intensity must eventually produce the answer. Silence gives us no ownership of another person's response. Love does not make their consent unnecessary.</w:t>
      </w:r>
    </w:p>
    <w:p>
      <w:pPr>
        <w:widowControl/>
        <w:spacing w:after="40" w:line="320"/>
        <w:ind w:firstLine="260"/>
      </w:pPr>
      <w:r>
        <w:t xml:space="preserve">I write as a father who cannot reach his son. I cannot give this book a reconciled ending simply because its argument would be easier to bear with one. Nor can I make my loss the measure of all the other people in the account. A reader has not been given enough to judge them, and my need to be understood does not change that.</w:t>
      </w:r>
    </w:p>
    <w:p>
      <w:pPr>
        <w:widowControl/>
        <w:spacing w:after="40" w:line="320"/>
        <w:ind w:firstLine="260"/>
      </w:pPr>
      <w:r>
        <w:t xml:space="preserve">There is a temptation here for the writer as well as the father. An account can be arranged so that the absent person seems to owe the narrator a final scene. Readers have followed him far enough; surely something should now be returned to him. But no person owes a book its ending. Their life continues outside what its author can see, remember or truthfully describe.</w:t>
      </w:r>
    </w:p>
    <w:p>
      <w:pPr>
        <w:widowControl/>
        <w:spacing w:after="40" w:line="320"/>
        <w:ind w:firstLine="260"/>
      </w:pPr>
      <w:r>
        <w:t xml:space="preserve">This makes restraint part of the work. I may speak of the loss I carry without claiming knowledge of another person's inner life. I cannot turn an unanswered call into an account of the reason it was unanswered. I cannot use the fact that I am still waiting to establish that I have been right in everything. Those are different claims, however easily grief brings them together.</w:t>
      </w:r>
    </w:p>
    <w:p>
      <w:pPr>
        <w:widowControl/>
        <w:spacing w:after="40" w:line="320"/>
        <w:ind w:firstLine="260"/>
      </w:pPr>
      <w:r>
        <w:t xml:space="preserve">The same restraint matters for a son seeking a father. A father may be unwilling to hear him, or unable to acknowledge what happened. Some fathers have died before the son found words for the question. The answer will not become available through sufficient moral effort. A truthful Christian account has to include that limit without treating the unanswered question as a failure of faith.</w:t>
      </w:r>
    </w:p>
    <w:p>
      <w:pPr>
        <w:widowControl/>
        <w:spacing w:after="40" w:line="320"/>
        <w:ind w:firstLine="260"/>
      </w:pPr>
      <w:r>
        <w:t xml:space="preserve">Paul's instruction is part of a passage which also tells Christians to weep with those who weep.</w:t>
      </w:r>
      <w:r>
        <w:rPr>
          <w:vertAlign w:val="superscript"/>
        </w:rPr>
        <w:t xml:space="preserve">2</w:t>
      </w:r>
      <w:r>
        <w:t xml:space="preserve"> The grief is not hurried out of the room. The person beside the mourner is given something to do before supplying an explanation. It is possible to believe that God is good and still have no answer to the particular question someone brings.</w:t>
      </w:r>
    </w:p>
    <w:p>
      <w:pPr>
        <w:widowControl/>
        <w:spacing w:after="40" w:line="320"/>
        <w:ind w:firstLine="260"/>
      </w:pPr>
      <w:r>
        <w:t xml:space="preserve">That does not make every explanation equally good. Telling an injured person that the wrong was necessary for their spiritual growth adds a claim the speaker may have no grounds to make. A person can receive help and grow after harm without making the harm right. Neither growth nor forgiveness requires gratitude for the wrong itself.</w:t>
      </w:r>
    </w:p>
    <w:p>
      <w:pPr>
        <w:widowControl/>
        <w:spacing w:after="40" w:line="320"/>
        <w:ind w:firstLine="260"/>
      </w:pPr>
      <w:r>
        <w:t>There is also a false peace which depends upon nobody naming what happened. It can resemble reconciliation from outside because the argument has stopped. If the cost is continued harm or an enforced false account, its quietness cannot settle the question. The instruction to live at peace belongs beside Paul's demand for sincere love and his rejection of evil.</w:t>
      </w:r>
      <w:r>
        <w:rPr>
          <w:vertAlign w:val="superscript"/>
        </w:rPr>
        <w:t xml:space="preserve">2</w:t>
      </w:r>
    </w:p>
    <w:p>
      <w:pPr>
        <w:widowControl/>
        <w:spacing w:after="40" w:line="320"/>
        <w:ind w:firstLine="260"/>
      </w:pPr>
      <w:r>
        <w:t xml:space="preserve">Refusing revenge does not require abandoning the protection of another person. Nor does patience mean that every preventable wrong should be allowed to continue. This book cannot decide the appropriate response to circumstances it does not know. It can refuse to make Christian endurance a reason to keep someone in danger, or to silence a person who needs help.</w:t>
      </w:r>
    </w:p>
    <w:p>
      <w:pPr>
        <w:widowControl/>
        <w:spacing w:after="40" w:line="320"/>
        <w:ind w:firstLine="260"/>
      </w:pPr>
      <w:r>
        <w:t xml:space="preserve">The difficulty runs in another direction too. A person who has been hurt can become skilled at discovering the faults of everyone who offers an imperfect response. Some criticism may be justified. It still cannot relieve that person of every responsibility towards those who remain. An injury does not confer knowledge of every motive, and being owed an apology does not make every subsequent action one's own to excuse.</w:t>
      </w:r>
    </w:p>
    <w:p>
      <w:pPr>
        <w:widowControl/>
        <w:spacing w:after="40" w:line="320"/>
        <w:ind w:firstLine="260"/>
      </w:pPr>
      <w:r>
        <w:t xml:space="preserve">This is a demand I must allow to reach me. If I insist that another person should hear the truth, I cannot reserve the right to reject every unwelcome truth about myself. If I ask to be treated as more than the worst account of my conduct, I cannot reduce someone else to the worst account I can assemble. Responsibility has to remain particular. It is not distributed by choosing a good side and a bad side.</w:t>
      </w:r>
    </w:p>
    <w:p>
      <w:pPr>
        <w:widowControl/>
        <w:spacing w:after="40" w:line="320"/>
        <w:ind w:firstLine="260"/>
      </w:pPr>
      <w:r>
        <w:t xml:space="preserve">Even an honest reckoning may leave the relationship unchanged. That is where the book's hope needs to be stated without a hidden condition. Christ is not faithful only when another person responds as I wish. His death and resurrection are not guarantees that my family will acquire the ending I can imagine. The Christian claim concerns what God has done in Christ, including his victory over death.</w:t>
      </w:r>
      <w:r>
        <w:rPr>
          <w:vertAlign w:val="superscript"/>
        </w:rPr>
        <w:t xml:space="preserve">3</w:t>
      </w:r>
      <w:r>
        <w:t xml:space="preserve"> It cannot be made dependent upon my success at reconciliation.</w:t>
      </w:r>
    </w:p>
    <w:p>
      <w:pPr>
        <w:widowControl/>
        <w:spacing w:after="40" w:line="320"/>
        <w:ind w:firstLine="260"/>
      </w:pPr>
      <w:r>
        <w:t xml:space="preserve">I do not find this an easy consolation. It removes the bargain by which I might offer enough obedience to purchase a result. It leaves prayer possible without turning prayer into pressure upon the person for whom I pray. It allows a desire to remain a desire, honestly brought before God, without promoting it into a promise God has made.</w:t>
      </w:r>
    </w:p>
    <w:p>
      <w:pPr>
        <w:widowControl/>
        <w:spacing w:after="40" w:line="320"/>
        <w:ind w:firstLine="260"/>
      </w:pPr>
      <w:r>
        <w:t xml:space="preserve">There may be changes for which a person can prepare. There may be a conversation to receive if it becomes possible. But readiness does not mean suspending every other relationship until the missing one is restored. A person who is present should not have to compete indefinitely with the scene that has not happened.</w:t>
      </w:r>
    </w:p>
    <w:p>
      <w:pPr>
        <w:widowControl/>
        <w:spacing w:after="40" w:line="320"/>
        <w:ind w:firstLine="260"/>
      </w:pPr>
      <w:r>
        <w:t xml:space="preserve">Nor should a new relationship be recruited to replace the old one. A younger person is not a substitute son. A good teacher cannot be required to become the father a pupil never knew. Real care begins to go wrong when the person receiving it is assigned the task of repairing the carer's life. What can be given must leave room for the other person to remain themselves.</w:t>
      </w:r>
    </w:p>
    <w:p>
      <w:pPr>
        <w:widowControl/>
        <w:spacing w:after="40" w:line="320"/>
        <w:ind w:firstLine="260"/>
      </w:pPr>
      <w:r>
        <w:t xml:space="preserve">For someone whose history contains a dead or inaccessible parent, that may be a hard form of generosity to receive as well as to give. A kindness can matter without making up for everything. An hour of patient attention need not carry the whole weight of what was missing. It can be received as this person's gift, on this occasion, without being made to impersonate an entire childhood.</w:t>
      </w:r>
    </w:p>
    <w:p>
      <w:pPr>
        <w:widowControl/>
        <w:spacing w:after="40" w:line="320"/>
        <w:ind w:firstLine="260"/>
      </w:pPr>
      <w:r>
        <w:t xml:space="preserve">The absent person still matters. Remembering them need not become an offence against those who are present. But those who are present have claims which can be answered now. Love for one person cannot indefinitely excuse my inattention to another.</w:t>
      </w:r>
    </w:p>
    <w:p>
      <w:pPr>
        <w:widowControl/>
        <w:spacing w:after="40" w:line="320"/>
        <w:ind w:firstLine="260"/>
      </w:pPr>
      <w:r>
        <w:t xml:space="preserve">The other heart may not turn. There is still someone to whom I can turn without making their response the price of my care.</w:t>
      </w:r>
    </w:p>
    <w:p>
      <w:pPr>
        <w:pStyle w:val="Heading2"/>
        <w:keepNext/>
        <w:pageBreakBefore/>
        <w:spacing w:after="400" w:before="0"/>
      </w:pPr>
      <w:bookmarkStart w:name="kap-40" w:id="1"/>
      <w:r>
        <w:t xml:space="preserve">40. The Man Who Stays</w:t>
      </w:r>
      <w:bookmarkEnd w:id="1"/>
    </w:p>
    <w:p>
      <w:pPr>
        <w:widowControl/>
        <w:spacing w:after="40" w:line="320"/>
        <w:ind w:firstLine="0"/>
      </w:pPr>
      <w:r>
        <w:t xml:space="preserve">There is bread and fish on the shore in the last chapter of John's Gospel. The disciples have returned from a night in which they caught nothing, followed by a catch made at Jesus' instruction. When they reach land, food is already there. Jesus invites them to breakfast.</w:t>
      </w:r>
      <w:r>
        <w:rPr>
          <w:vertAlign w:val="superscript"/>
        </w:rPr>
        <w:t xml:space="preserve">1</w:t>
      </w:r>
    </w:p>
    <w:p>
      <w:pPr>
        <w:widowControl/>
        <w:spacing w:after="40" w:line="320"/>
        <w:ind w:firstLine="260"/>
      </w:pPr>
      <w:r>
        <w:t xml:space="preserve">The account does not end with the meal. Jesus asks Peter whether he loves him, and gives him responsibility for his sheep. The conversation includes Peter's grief, an indication of the death by which he would glorify God, and the command to follow. Being fed has not removed the cost of what follows.</w:t>
      </w:r>
    </w:p>
    <w:p>
      <w:pPr>
        <w:widowControl/>
        <w:spacing w:after="40" w:line="320"/>
        <w:ind w:firstLine="260"/>
      </w:pPr>
      <w:r>
        <w:t xml:space="preserve">Peter then asks about another disciple. Jesus turns him back towards his own calling: "You follow me."</w:t>
      </w:r>
      <w:r>
        <w:rPr>
          <w:vertAlign w:val="superscript"/>
        </w:rPr>
        <w:t xml:space="preserve">2</w:t>
      </w:r>
      <w:r>
        <w:t xml:space="preserve"> Peter has been given work without being given control of another man's future. The account even corrects a rumour that grew from what Jesus said. An assurance about someone else's life had been heard where no such assurance was given.</w:t>
      </w:r>
    </w:p>
    <w:p>
      <w:pPr>
        <w:widowControl/>
        <w:spacing w:after="40" w:line="320"/>
        <w:ind w:firstLine="260"/>
      </w:pPr>
      <w:r>
        <w:t xml:space="preserve">This is Peter's commission. It does not make every reader a shepherd with authority over everyone nearby, and it gives me no right to place myself in his apostolic office. It does show a relation between receiving from Christ and caring for people who belong to Christ. The sheep are not Peter's possession. Love for their Lord is to take the form of their care.</w:t>
      </w:r>
    </w:p>
    <w:p>
      <w:pPr>
        <w:widowControl/>
        <w:spacing w:after="40" w:line="320"/>
        <w:ind w:firstLine="260"/>
      </w:pPr>
      <w:r>
        <w:t xml:space="preserve">That puts a limit upon the man who wants to be needed. Teaching can give a younger person something useful while also giving the teacher a welcome sense of importance. The two may be difficult to separate from within the act. One test comes when the younger person no longer needs the lesson. Can the teacher be glad that the skill now belongs to someone else?</w:t>
      </w:r>
    </w:p>
    <w:p>
      <w:pPr>
        <w:widowControl/>
        <w:spacing w:after="40" w:line="320"/>
        <w:ind w:firstLine="260"/>
      </w:pPr>
      <w:r>
        <w:t xml:space="preserve">Another comes when the lesson is slow. Repeating an instruction, allowing time for a mistake and recognising what the learner can already do offer few opportunities to look remarkable. The person being taught has to matter more than the impression the teacher makes. Otherwise instruction becomes another occasion on which the younger person must serve an adult's need to be admired.</w:t>
      </w:r>
    </w:p>
    <w:p>
      <w:pPr>
        <w:widowControl/>
        <w:spacing w:after="40" w:line="320"/>
        <w:ind w:firstLine="260"/>
      </w:pPr>
      <w:r>
        <w:t xml:space="preserve">There is something similar in receiving an inheritance. To learn a skill is to receive another person's time, often from someone who received it in turn. Gratitude need not require repeating every opinion that accompanied the gift. A younger man can learn from an older one without surrendering his judgement, and an older man can teach without making agreement the fee.</w:t>
      </w:r>
    </w:p>
    <w:p>
      <w:pPr>
        <w:widowControl/>
        <w:spacing w:after="40" w:line="320"/>
        <w:ind w:firstLine="260"/>
      </w:pPr>
      <w:r>
        <w:t>The family history recovered for this book carries names as well as practices. The Back and Grossman records belong within the account of the Solbak Årnes family's Jewish inheritance. They deserve truthful preservation because these people lived, and because their relationships are part of the family's history. Their worth does not depend upon how useful they become to my argument about Norway.</w:t>
      </w:r>
    </w:p>
    <w:p>
      <w:pPr>
        <w:widowControl/>
        <w:spacing w:after="40" w:line="320"/>
        <w:ind w:firstLine="260"/>
      </w:pPr>
      <w:r>
        <w:t xml:space="preserve">A person in a family record cannot be made to approve what a descendant later writes. Keeping the record includes keeping that freedom. Where a relative has left an account, the account can be heard in its own terms. Where a document gives only a name or a date, I should not fill the remaining space with the conviction I wish the person had held.</w:t>
      </w:r>
    </w:p>
    <w:p>
      <w:pPr>
        <w:widowControl/>
        <w:spacing w:after="40" w:line="320"/>
        <w:ind w:firstLine="260"/>
      </w:pPr>
      <w:r>
        <w:t xml:space="preserve">My Christian faith does not require those ancestors to become versions of me. Nor does it make the Jewish history of the family disposable. It places a demand upon how I receive and describe it: with gratitude for what has been given, accuracy about what can be known, and no attempt to borrow another person's suffering as authority for my own.</w:t>
      </w:r>
    </w:p>
    <w:p>
      <w:pPr>
        <w:widowControl/>
        <w:spacing w:after="40" w:line="320"/>
        <w:ind w:firstLine="260"/>
      </w:pPr>
      <w:r>
        <w:t xml:space="preserve">The same restraint belongs in care for the living. Someone younger than me will have a life I do not direct. They may receive something from me and use it in ways I did not expect. They may disagree with a judgement I regard as important. Care cannot be reduced to obtaining a younger copy of the person who gives it.</w:t>
      </w:r>
    </w:p>
    <w:p>
      <w:pPr>
        <w:widowControl/>
        <w:spacing w:after="40" w:line="320"/>
        <w:ind w:firstLine="260"/>
      </w:pPr>
      <w:r>
        <w:t xml:space="preserve">This leaves a man with work that can look small beside the problems considered in a book about a country. An actual promise may concern an hour rather than a generation. A lesson may be useful to one person. Keeping that promise does not prove a theory of national renewal. Its reason can be the person who is entitled to expect it to be kept.</w:t>
      </w:r>
    </w:p>
    <w:p>
      <w:pPr>
        <w:widowControl/>
        <w:spacing w:after="40" w:line="320"/>
        <w:ind w:firstLine="260"/>
      </w:pPr>
      <w:r>
        <w:t xml:space="preserve">Smallness provides no excuse for doing the work badly. A modest duty can still require preparation, correction or an admission that someone else is better able to help. Staying does not mean occupying every position for as long as possible. It may require handing over a task once another person can perform it well, without treating their competence as a threat.</w:t>
      </w:r>
    </w:p>
    <w:p>
      <w:pPr>
        <w:widowControl/>
        <w:spacing w:after="40" w:line="320"/>
        <w:ind w:firstLine="260"/>
      </w:pPr>
      <w:r>
        <w:t xml:space="preserve">Nor is staying a command to remain inside harm. Sometimes care requires departure, help or the enforcement of a boundary. Physical proximity alone tells us little about faithfulness. A person may remain in a room and refuse everyone in it. Another may live at a distance and keep a responsibility that is genuinely theirs. The word needs the particular duty before it can be judged.</w:t>
      </w:r>
    </w:p>
    <w:p>
      <w:pPr>
        <w:widowControl/>
        <w:spacing w:after="40" w:line="320"/>
        <w:ind w:firstLine="260"/>
      </w:pPr>
      <w:r>
        <w:t xml:space="preserve">Biological fatherhood is one such responsibility; it is not the condition for becoming a complete man. A man without children does not have to turn everyone he helps into a symbolic child. He can be a brother, friend, colleague or teacher, with obligations proper to those relationships. His life need not imitate somebody else's household in order to contain service.</w:t>
      </w:r>
    </w:p>
    <w:p>
      <w:pPr>
        <w:widowControl/>
        <w:spacing w:after="40" w:line="320"/>
        <w:ind w:firstLine="260"/>
      </w:pPr>
      <w:r>
        <w:t xml:space="preserve">There will also be times when he is the person who needs care. A model of manhood which permits only giving leaves him badly equipped to receive. Illness, age and ordinary limits can make dependence unavoidable. They do not remove his place among other people. The meal on the shore begins with Christ giving food; Peter's responsibility does not originate in his ability to need nothing.</w:t>
      </w:r>
    </w:p>
    <w:p>
      <w:pPr>
        <w:widowControl/>
        <w:spacing w:after="40" w:line="320"/>
        <w:ind w:firstLine="260"/>
      </w:pPr>
      <w:r>
        <w:t xml:space="preserve">The hardest measure to surrender may still be the visible result. A man can do something faithfully and never learn what became of it. Another can receive public praise for an act whose private cost someone else carried. Recognition is too partial a record to settle the value of a life.</w:t>
      </w:r>
    </w:p>
    <w:p>
      <w:pPr>
        <w:widowControl/>
        <w:spacing w:after="40" w:line="320"/>
        <w:ind w:firstLine="260"/>
      </w:pPr>
      <w:r>
        <w:t xml:space="preserve">At the end of his argument about resurrection, Paul tells the Corinthians that their labour is not in vain in the Lord.</w:t>
      </w:r>
      <w:r>
        <w:rPr>
          <w:vertAlign w:val="superscript"/>
        </w:rPr>
        <w:t xml:space="preserve">3</w:t>
      </w:r>
      <w:r>
        <w:t xml:space="preserve"> The words follow Christ's victory over death. They do not certify every project a Christian chooses, or promise that good intentions will bring success. The hope is large enough to include work whose worth has not been recognised, because its ground is the risen Christ rather than the audience that observes it.</w:t>
      </w:r>
    </w:p>
    <w:p>
      <w:pPr>
        <w:widowControl/>
        <w:spacing w:after="40" w:line="320"/>
        <w:ind w:firstLine="260"/>
      </w:pPr>
      <w:r>
        <w:t xml:space="preserve">I cannot derive that hope from Norway's statistics, from my ancestry or from a favourable account of my own conduct. Those things cannot establish it. I confess it as Christian hope, and I remain answerable for the claims I have made in its name.</w:t>
      </w:r>
    </w:p>
    <w:p>
      <w:pPr>
        <w:widowControl/>
        <w:spacing w:after="40" w:line="320"/>
        <w:ind w:firstLine="260"/>
      </w:pPr>
      <w:r>
        <w:t xml:space="preserve">It leaves the country loved without being made sacred. It leaves the family precious without making its restoration a condition of salvation. It leaves a younger man free to receive a good inheritance, question a false account and take up a responsibility which belongs to him. No public role is required before that work can matter.</w:t>
      </w:r>
    </w:p>
    <w:p>
      <w:pPr>
        <w:widowControl/>
        <w:spacing w:after="40" w:line="320"/>
        <w:ind w:firstLine="260"/>
      </w:pPr>
      <w:r>
        <w:t xml:space="preserve">The food on the shore is given before Peter can accomplish the work entrusted to him. He is called by someone who has already risen. His answer will cost him, but he does not have to supply the life from which it begins.</w:t>
      </w:r>
    </w:p>
    <w:p>
      <w:pPr>
        <w:pStyle w:val="Heading1"/>
        <w:keepNext/>
        <w:pageBreakBefore/>
        <w:spacing w:after="400" w:before="0"/>
      </w:pPr>
      <w:bookmarkStart w:name="epilogue" w:id="1"/>
      <w:r>
        <w:t xml:space="preserve">Epilogue. The Next Room</w:t>
      </w:r>
      <w:bookmarkEnd w:id="1"/>
    </w:p>
    <w:p>
      <w:pPr>
        <w:widowControl/>
        <w:spacing w:after="40" w:line="320"/>
        <w:ind w:firstLine="0"/>
      </w:pPr>
      <w:r>
        <w:t xml:space="preserve">On Sundays, Maria and I usually gather in the living room. I lead a short service there. We use the Jesus Prayer and share Communion.</w:t>
      </w:r>
    </w:p>
    <w:p>
      <w:pPr>
        <w:widowControl/>
        <w:spacing w:after="40" w:line="320"/>
        <w:ind w:firstLine="260"/>
      </w:pPr>
      <w:r>
        <w:t xml:space="preserve">Maria, my wife, bakes the bread. She had searched for the Bible and unleavened bread and found articles describing manna bread. What she makes is a version inspired by those recipes. We break it, with wine beside it.</w:t>
      </w:r>
    </w:p>
    <w:p>
      <w:pPr>
        <w:widowControl/>
        <w:spacing w:after="40" w:line="320"/>
        <w:ind w:firstLine="260"/>
      </w:pPr>
      <w:r>
        <w:t>During the week, there are other routines. I read with my daughter before she goes to bed. We sing before and after meals. I take our dog Elisja for walks. These are parts of our ordinary life, repeated on different days.</w:t>
      </w:r>
    </w:p>
    <w:p>
      <w:pPr>
        <w:widowControl/>
        <w:spacing w:after="40" w:line="320"/>
        <w:ind w:firstLine="260"/>
      </w:pPr>
      <w:r>
        <w:t>The family history in this book reaches much further back than any of those acts. It gives me names I can pass on to my daughter and accounts whose tellers I can name. Hilmar's work in the boat belongs to my memory. Arie's memories of Yeva and Pavel reach me through his writing. Michael's part in the family belongs to both lived memory and the papers he left behind. I can keep the difference clear when I tell the stories.</w:t>
      </w:r>
    </w:p>
    <w:p>
      <w:pPr>
        <w:widowControl/>
        <w:spacing w:after="40" w:line="320"/>
        <w:ind w:firstLine="260"/>
      </w:pPr>
      <w:r>
        <w:t>At home, I have my own part to do. On Sunday, usually with just Maria beside me, I lead the little service in our living room. She has baked the bread. We break it together. One place at that table is not filled. For years, I have lived without the ordinary freedom to be present in my son's life, and finishing this book has not restored it. The bread is still given before it is broken. The risen Christ who fed Peter on the shore is the host in this room, and I lead nothing that he has not first given.</w:t>
      </w:r>
    </w:p>
    <w:p>
      <w:pPr>
        <w:pStyle w:val="Heading1"/>
        <w:keepNext/>
        <w:pageBreakBefore/>
        <w:spacing w:after="400" w:before="0"/>
      </w:pPr>
      <w:bookmarkStart w:name="book-notes" w:id="1"/>
      <w:r>
        <w:t xml:space="preserve">Notes</w:t>
      </w:r>
      <w:bookmarkEnd w:id="1"/>
    </w:p>
    <w:p>
      <w:pPr>
        <w:widowControl/>
        <w:spacing w:after="40" w:line="320"/>
      </w:pPr>
      <w:r>
        <w:t xml:space="preserve">Family documents cited without a public URL are held in the family collection. The electronic edition includes links to public sources. References below retain distinctions between testimony, records and later interpretation.</w:t>
      </w:r>
    </w:p>
    <w:p>
      <w:pPr>
        <w:pStyle w:val="Heading2"/>
        <w:keepNext/>
        <w:spacing w:after="200" w:before="300"/>
      </w:pPr>
      <w:r>
        <w:t xml:space="preserve">Prologue. The Borrowed Drum</w:t>
      </w:r>
    </w:p>
    <w:p>
      <w:pPr>
        <w:widowControl/>
        <w:spacing w:after="160" w:line="250"/>
        <w:rPr>
          <w:sz w:val="18"/>
          <w:szCs w:val="18"/>
        </w:rPr>
      </w:pPr>
      <w:r>
        <w:t>1. Author's own written account of the scene, held in the family collection,</w:t>
      </w:r>
      <w:r>
        <w:rPr>
          <w:i/>
          <w:iCs/>
        </w:rPr>
      </w:r>
      <w:r>
        <w:t xml:space="preserve"> limited to the borrowed drum, the 2024 location, clothing, prayer and return home; use of the scene approved and narrowed by the author on 6 September 2026. The private dispute and its allegations are excluded. This passage does not establish another person's thoughts or the effects of the prayer.</w:t>
      </w:r>
    </w:p>
    <w:p>
      <w:pPr>
        <w:widowControl/>
        <w:spacing w:after="160" w:line="250"/>
        <w:rPr>
          <w:sz w:val="18"/>
          <w:szCs w:val="18"/>
        </w:rPr>
      </w:pPr>
      <w:r>
        <w:t>2. Hilmar memory: author's recorded childhood account, preserved in his own written accounts in the family collection;</w:t>
      </w:r>
      <w:r>
        <w:rPr>
          <w:i/>
          <w:iCs/>
        </w:rPr>
      </w:r>
      <w:r/>
      <w:r>
        <w:rPr>
          <w:i/>
          <w:iCs/>
        </w:rPr>
      </w:r>
      <w:r>
        <w:t xml:space="preserve"> see chapters 1–3. No particular day's fishing sequence is reconstructed.</w:t>
      </w:r>
    </w:p>
    <w:p>
      <w:pPr>
        <w:pStyle w:val="Heading2"/>
        <w:keepNext/>
        <w:spacing w:after="200" w:before="300"/>
      </w:pPr>
      <w:r>
        <w:t xml:space="preserve">1. The Line</w:t>
      </w:r>
    </w:p>
    <w:p>
      <w:pPr>
        <w:widowControl/>
        <w:spacing w:after="160" w:line="250"/>
        <w:rPr>
          <w:sz w:val="18"/>
          <w:szCs w:val="18"/>
        </w:rPr>
      </w:pPr>
      <w:r>
        <w:t>1. Author's recorded childhood memories, preserved in his own written account in the family collection;</w:t>
      </w:r>
      <w:r>
        <w:rPr>
          <w:i/>
          <w:iCs/>
        </w:rPr>
      </w:r>
      <w:r>
        <w:t xml:space="preserve"> family use confirmed by the author, 6 September 2026. The fishing location is Bunnefjorden, not Sæterelva. No particular day's sequence or dialogue is reconstructed here.</w:t>
      </w:r>
    </w:p>
    <w:p>
      <w:pPr>
        <w:widowControl/>
        <w:spacing w:after="160" w:line="250"/>
        <w:rPr>
          <w:sz w:val="18"/>
          <w:szCs w:val="18"/>
        </w:rPr>
      </w:pPr>
      <w:r>
        <w:t xml:space="preserve">2. Hilmar Årnes, telephone conversation with the author, 30 July 2026, 03:57–05:40 and 17:37–18:53; </w:t>
      </w:r>
      <w:r>
        <w:rPr>
          <w:i/>
          <w:iCs/>
        </w:rPr>
        <w:t>recording and transcript in the family collection. Name, date and subsequent corrections checked against the family's review of the interview.</w:t>
      </w:r>
      <w:r/>
      <w:r>
        <w:rPr>
          <w:i/>
          <w:iCs/>
        </w:rPr>
      </w:r>
      <w:r>
        <w:t xml:space="preserve"> Interview statements are Hilmar's recollections.</w:t>
      </w:r>
    </w:p>
    <w:p>
      <w:pPr>
        <w:pStyle w:val="Heading2"/>
        <w:keepNext/>
        <w:spacing w:after="200" w:before="300"/>
      </w:pPr>
      <w:r>
        <w:t xml:space="preserve">2. Work That Dies Untaught</w:t>
      </w:r>
    </w:p>
    <w:p>
      <w:pPr>
        <w:widowControl/>
        <w:spacing w:after="160" w:line="250"/>
        <w:rPr>
          <w:sz w:val="18"/>
          <w:szCs w:val="18"/>
        </w:rPr>
      </w:pPr>
      <w:r>
        <w:t xml:space="preserve">1. Hilmar Årnes, conversation of 30 July 2026, 23:42–28:03 and 31:49–34:56; </w:t>
      </w:r>
      <w:r>
        <w:rPr>
          <w:i/>
          <w:iCs/>
        </w:rPr>
        <w:t>recording and transcript in the family collection.</w:t>
      </w:r>
      <w:r>
        <w:t xml:space="preserve"> The differing hook and tub counts are deliberately not resolved.</w:t>
      </w:r>
    </w:p>
    <w:p>
      <w:pPr>
        <w:widowControl/>
        <w:spacing w:after="160" w:line="250"/>
        <w:rPr>
          <w:sz w:val="18"/>
          <w:szCs w:val="18"/>
        </w:rPr>
      </w:pPr>
      <w:r>
        <w:t xml:space="preserve">2. Same conversation, 34:56–36:47, direct reply at approximately 35:06. English rendering by the present authoring project. The later river references do not relocate the author's childhood trips from Bunnefjorden.</w:t>
      </w:r>
    </w:p>
    <w:p>
      <w:pPr>
        <w:widowControl/>
        <w:spacing w:after="160" w:line="250"/>
        <w:rPr>
          <w:sz w:val="18"/>
          <w:szCs w:val="18"/>
        </w:rPr>
      </w:pPr>
      <w:r>
        <w:t xml:space="preserve">3. Same conversation, 36:47–40:48. Bjarne is Hilmar's brother. These are retrospective statements, not independently recovered employment or educational records.</w:t>
      </w:r>
    </w:p>
    <w:p>
      <w:pPr>
        <w:widowControl/>
        <w:spacing w:after="160" w:line="250"/>
        <w:rPr>
          <w:sz w:val="18"/>
          <w:szCs w:val="18"/>
        </w:rPr>
      </w:pPr>
      <w:r>
        <w:t xml:space="preserve">4. </w:t>
      </w:r>
      <w:r>
        <w:rPr>
          <w:i/>
          <w:iCs/>
        </w:rPr>
        <w:t>The family's review of the Hilmar interview, items F26, F30 and F34, family collection.</w:t>
      </w:r>
      <w:r>
        <w:t xml:space="preserve"> Tor's authorship of the memorial garment is family-confirmed. Its vessel list is not treated as a complete or independently verified chronology.</w:t>
      </w:r>
    </w:p>
    <w:p>
      <w:pPr>
        <w:pStyle w:val="Heading2"/>
        <w:keepNext/>
        <w:spacing w:after="200" w:before="300"/>
      </w:pPr>
      <w:r>
        <w:t xml:space="preserve">3. The Whistle</w:t>
      </w:r>
    </w:p>
    <w:p>
      <w:pPr>
        <w:widowControl/>
        <w:spacing w:after="160" w:line="250"/>
        <w:rPr>
          <w:sz w:val="18"/>
          <w:szCs w:val="18"/>
        </w:rPr>
      </w:pPr>
      <w:r>
        <w:t xml:space="preserve">1. Author's words to Hilmar Årnes, 30 July 2026, 53:22–55:16, </w:t>
      </w:r>
      <w:r>
        <w:rPr>
          <w:i/>
          <w:iCs/>
        </w:rPr>
        <w:t>recording and transcript in the family collection.</w:t>
      </w:r>
      <w:r>
        <w:t xml:space="preserve"> In English: “You were enjoying rowing and whistling and singing. And I was enjoying being with you.” Hilmar's subsequent account of a larger fishing vessel is not assigned to the child's rowing boat.</w:t>
      </w:r>
    </w:p>
    <w:p>
      <w:pPr>
        <w:widowControl/>
        <w:spacing w:after="160" w:line="250"/>
        <w:rPr>
          <w:sz w:val="18"/>
          <w:szCs w:val="18"/>
        </w:rPr>
      </w:pPr>
      <w:r>
        <w:t>2. The whistling and the child's all-clear interpretation are preserved in the author's own written account in the family collection.</w:t>
      </w:r>
      <w:r>
        <w:rPr>
          <w:i/>
          <w:iCs/>
        </w:rPr>
      </w:r>
      <w:r>
        <w:t xml:space="preserve"> The tune, weather and exact dates of individual trips are not reconstructed.</w:t>
      </w:r>
    </w:p>
    <w:p>
      <w:pPr>
        <w:pStyle w:val="Heading2"/>
        <w:keepNext/>
        <w:spacing w:after="200" w:before="300"/>
      </w:pPr>
      <w:r>
        <w:t xml:space="preserve">4. The Man Who Vouched</w:t>
      </w:r>
    </w:p>
    <w:p>
      <w:pPr>
        <w:widowControl/>
        <w:spacing w:after="160" w:line="250"/>
        <w:rPr>
          <w:sz w:val="18"/>
          <w:szCs w:val="18"/>
        </w:rPr>
      </w:pPr>
      <w:r>
        <w:t xml:space="preserve">1. Gerda to “Onkel Mejer”, 23 May 1947, two-page private family letter reproduced in </w:t>
      </w:r>
      <w:r>
        <w:rPr>
          <w:i/>
          <w:iCs/>
        </w:rPr>
        <w:t xml:space="preserve">Jewish ancestery.pdf</w:t>
      </w:r>
      <w:r>
        <w:t>, PDF pp. 7–8. Both original pages visually checked on 6 September 2026 against the transcription and translation held in the family collection.</w:t>
      </w:r>
      <w:r>
        <w:rPr>
          <w:i/>
          <w:iCs/>
        </w:rPr>
      </w:r>
      <w:r>
        <w:t xml:space="preserve"> The letter is Gerda's contemporary account; no reply or community decision is claimed. The three camp contexts and the concentration-camp duration are kept distinct. No identification of the uncle beyond the relationship stated in the letter is required here.</w:t>
      </w:r>
    </w:p>
    <w:p>
      <w:pPr>
        <w:widowControl/>
        <w:spacing w:after="160" w:line="250"/>
        <w:rPr>
          <w:sz w:val="18"/>
          <w:szCs w:val="18"/>
        </w:rPr>
      </w:pPr>
      <w:r>
        <w:t>2. Author-confirmed memories preserved in his own written account, family collection.</w:t>
      </w:r>
      <w:r>
        <w:rPr>
          <w:i/>
          <w:iCs/>
        </w:rPr>
      </w:r>
      <w:r>
        <w:t xml:space="preserve"> England/France dates are also in the original 2004 Parents' Letter, </w:t>
      </w:r>
      <w:r>
        <w:rPr>
          <w:i/>
          <w:iCs/>
        </w:rPr>
        <w:t>the family-document file, item A4, family collection.</w:t>
      </w:r>
      <w:r>
        <w:t xml:space="preserve"> The eleven-month exchange and host family are covered by the controlled exchange file; no travel scene or dialogue is reconstructed.</w:t>
      </w:r>
    </w:p>
    <w:p>
      <w:pPr>
        <w:widowControl/>
        <w:spacing w:after="160" w:line="250"/>
        <w:rPr>
          <w:sz w:val="18"/>
          <w:szCs w:val="18"/>
        </w:rPr>
      </w:pPr>
      <w:r>
        <w:t xml:space="preserve">3. Original 2004 letter, image 1000025846.jpg, visually checked on 6 September 2026. Michael's authorship is author-confirmed memory, not inferred from the letter's grammar. Its contents are discussed in chapter 6.</w:t>
      </w:r>
    </w:p>
    <w:p>
      <w:pPr>
        <w:pStyle w:val="Heading2"/>
        <w:keepNext/>
        <w:spacing w:after="200" w:before="300"/>
      </w:pPr>
      <w:r>
        <w:t xml:space="preserve">5. Du har klart det</w:t>
      </w:r>
    </w:p>
    <w:p>
      <w:pPr>
        <w:widowControl/>
        <w:spacing w:after="160" w:line="250"/>
        <w:rPr>
          <w:sz w:val="18"/>
          <w:szCs w:val="18"/>
        </w:rPr>
      </w:pPr>
      <w:r>
        <w:t>1. Author-confirmed memory and interpretation, recorded in his own written account and the family-document review, family collection.</w:t>
      </w:r>
      <w:r>
        <w:rPr>
          <w:i/>
          <w:iCs/>
        </w:rPr>
      </w:r>
      <w:r/>
      <w:r>
        <w:rPr>
          <w:i/>
          <w:iCs/>
        </w:rPr>
      </w:r>
      <w:r>
        <w:t xml:space="preserve"> The remembered sentence is present tense: “Du har klart det”, not “Du hadde klart det”. Its location and the interval to Michael's death remain unspecified. Relatives present remain unnamed and receive no attributed defect or motive. The Dana Cup country/year is not newly assigned.</w:t>
      </w:r>
    </w:p>
    <w:p>
      <w:pPr>
        <w:widowControl/>
        <w:spacing w:after="160" w:line="250"/>
        <w:rPr>
          <w:sz w:val="18"/>
          <w:szCs w:val="18"/>
        </w:rPr>
      </w:pPr>
      <w:r>
        <w:t xml:space="preserve">2. </w:t>
      </w:r>
      <w:r>
        <w:rPr>
          <w:i/>
          <w:iCs/>
        </w:rPr>
        <w:t>Family-document file, items A9–A10, family collection:</w:t>
      </w:r>
      <w:r>
        <w:t xml:space="preserve"> original newspaper cuttings with handwritten notes. Authorship and “Bestefar i Lia” are author-confirmed. The present chapter paraphrases the controlled record; the originals are not reproduced here.</w:t>
      </w:r>
    </w:p>
    <w:p>
      <w:pPr>
        <w:pStyle w:val="Heading2"/>
        <w:keepNext/>
        <w:spacing w:after="200" w:before="300"/>
      </w:pPr>
      <w:r>
        <w:t xml:space="preserve">6. The Letter Without His Name</w:t>
      </w:r>
    </w:p>
    <w:p>
      <w:pPr>
        <w:widowControl/>
        <w:spacing w:after="160" w:line="250"/>
        <w:rPr>
          <w:sz w:val="18"/>
          <w:szCs w:val="18"/>
        </w:rPr>
      </w:pPr>
      <w:r>
        <w:t xml:space="preserve">1. </w:t>
      </w:r>
      <w:r>
        <w:rPr>
          <w:i/>
          <w:iCs/>
        </w:rPr>
        <w:t xml:space="preserve">Application Enclosure - Parents' Letter</w:t>
      </w:r>
      <w:r>
        <w:t xml:space="preserve">, 2004, original image 1000025846.jpg, </w:t>
      </w:r>
      <w:r>
        <w:rPr>
          <w:i/>
          <w:iCs/>
        </w:rPr>
        <w:t>the family-document file, item A4, family collection.</w:t>
      </w:r>
      <w:r>
        <w:t xml:space="preserve"> Original visually checked 6 September 2026. The heading, lack of signature and parental first-person voice do not identify the drafter; Michael's authorship is author-confirmed memory. The page records details of the brother's birth that are not needed here. “As if it were my own child” is not in the document and is not used.</w:t>
      </w:r>
    </w:p>
    <w:p>
      <w:pPr>
        <w:widowControl/>
        <w:spacing w:after="160" w:line="250"/>
        <w:rPr>
          <w:sz w:val="18"/>
          <w:szCs w:val="18"/>
        </w:rPr>
      </w:pPr>
      <w:r>
        <w:t xml:space="preserve">2. Author's application letter, original image 1000025848.jpg, </w:t>
      </w:r>
      <w:r>
        <w:rPr>
          <w:i/>
          <w:iCs/>
        </w:rPr>
        <w:t>the family-document file, item A5, family collection.</w:t>
      </w:r>
      <w:r>
        <w:t xml:space="preserve"> Original visually checked 6 September 2026. The free-training benefit is explicitly recorded. Assistance at a hospital internet café is not represented as clinical care.</w:t>
      </w:r>
    </w:p>
    <w:p>
      <w:pPr>
        <w:widowControl/>
        <w:spacing w:after="160" w:line="250"/>
        <w:rPr>
          <w:sz w:val="18"/>
          <w:szCs w:val="18"/>
        </w:rPr>
      </w:pPr>
      <w:r>
        <w:t>3. The closing interpretation and its express limit are recorded in the author's own written account, family collection.</w:t>
      </w:r>
      <w:r>
        <w:rPr>
          <w:i/>
          <w:iCs/>
        </w:rPr>
      </w:r>
      <w:r>
        <w:t xml:space="preserve"> They remain the author's interpretation, supported by the contemporary documents, not an external assessment of his later fatherhood.</w:t>
      </w:r>
    </w:p>
    <w:p>
      <w:pPr>
        <w:pStyle w:val="Heading2"/>
        <w:keepNext/>
        <w:spacing w:after="200" w:before="300"/>
      </w:pPr>
      <w:r>
        <w:t xml:space="preserve">7. The Empty Place</w:t>
      </w:r>
    </w:p>
    <w:p>
      <w:pPr>
        <w:widowControl/>
        <w:spacing w:after="160" w:line="250"/>
        <w:rPr>
          <w:sz w:val="18"/>
          <w:szCs w:val="18"/>
        </w:rPr>
      </w:pPr>
      <w:r>
        <w:t>1. Author-approved scope and wording, under the author's own standing ruling on this subject.</w:t>
      </w:r>
      <w:r>
        <w:rPr>
          <w:i/>
          <w:iCs/>
        </w:rPr>
      </w:r>
      <w:r>
        <w:t xml:space="preserve"> No cause, person, institution, procedure, date or identifying detail concerning the loss of contact is added. The chapter's distinctions are moral and conceptual; no prevalence, diagnosis or causal estimate is claimed.</w:t>
      </w:r>
      <w:r>
        <w:t xml:space="preserve"> The approved wording is printed in full, as in the Prologue.</w:t>
      </w:r>
    </w:p>
    <w:p>
      <w:pPr>
        <w:pStyle w:val="Heading2"/>
        <w:keepNext/>
        <w:spacing w:after="200" w:before="300"/>
      </w:pPr>
      <w:r>
        <w:t xml:space="preserve">8. Somebody's Son</w:t>
      </w:r>
    </w:p>
    <w:p>
      <w:pPr>
        <w:widowControl/>
        <w:spacing w:after="160" w:line="250"/>
        <w:rPr>
          <w:sz w:val="18"/>
          <w:szCs w:val="18"/>
        </w:rPr>
      </w:pPr>
      <w:r>
        <w:t xml:space="preserve">1. Hilmar Årnes, conversation with the author, 30 July 2026, 31:49–36:47, </w:t>
      </w:r>
      <w:r>
        <w:rPr>
          <w:i/>
          <w:iCs/>
        </w:rPr>
        <w:t>recording and transcript in the family collection; see chapter 2. The present chapter develops the reciprocal question adopted for this book.</w:t>
      </w:r>
      <w:r/>
      <w:r>
        <w:rPr>
          <w:i/>
          <w:iCs/>
        </w:rPr>
      </w:r>
      <w:r>
        <w:t xml:space="preserve"> It reports no population effect and gives no instruction to resume unsafe contact. Evidence about digital use is examined in chapters 9–10.</w:t>
      </w:r>
    </w:p>
    <w:p>
      <w:pPr>
        <w:pStyle w:val="Heading2"/>
        <w:keepNext/>
        <w:spacing w:after="200" w:before="300"/>
      </w:pPr>
      <w:r>
        <w:t xml:space="preserve">9. What Entered the Room</w:t>
      </w:r>
    </w:p>
    <w:p>
      <w:pPr>
        <w:widowControl/>
        <w:spacing w:after="160" w:line="250"/>
        <w:rPr>
          <w:sz w:val="18"/>
          <w:szCs w:val="18"/>
        </w:rPr>
      </w:pPr>
      <w:r>
        <w:t xml:space="preserve">1. TikTok, </w:t>
      </w:r>
      <w:hyperlink w:history="1" r:id="rId7rwwz6he8ggl-15erid6f">
        <w:r>
          <w:rPr>
            <w:color w:val="000000"/>
          </w:rPr>
          <w:t xml:space="preserve">How TikTok recommends content</w:t>
        </w:r>
      </w:hyperlink>
      <w:r>
        <w:t xml:space="preserve">, company help-page account, checked 6 September 2026. Describes recommendation signals; not independent evidence of effects on health. The indexed text was readable; the direct-page extraction was empty.</w:t>
      </w:r>
    </w:p>
    <w:p>
      <w:pPr>
        <w:widowControl/>
        <w:spacing w:after="160" w:line="250"/>
        <w:rPr>
          <w:sz w:val="18"/>
          <w:szCs w:val="18"/>
        </w:rPr>
      </w:pPr>
      <w:r>
        <w:t xml:space="preserve">2. Jonathan Haidt, </w:t>
      </w:r>
      <w:r>
        <w:rPr>
          <w:i/>
          <w:iCs/>
        </w:rPr>
        <w:t xml:space="preserve">The Anxious Generation</w:t>
      </w:r>
      <w:r>
        <w:t xml:space="preserve"> (2024); the author's </w:t>
      </w:r>
      <w:hyperlink w:history="1" r:id="rId2nw33rubsdm5zsf2au5aq">
        <w:r>
          <w:rPr>
            <w:color w:val="000000"/>
          </w:rPr>
          <w:t xml:space="preserve">official account of the book's argument</w:t>
        </w:r>
      </w:hyperlink>
      <w:r>
        <w:t>. Attribution of the thesis, not endorsement of its causal reach. The dispute is examined in chapter 10. The account of the conversation with Hilmar rests on the recorded interview of 30 July 2026, family collection;</w:t>
      </w:r>
      <w:r>
        <w:rPr>
          <w:i/>
          <w:iCs/>
        </w:rPr>
      </w:r>
      <w:r>
        <w:t xml:space="preserve"> see chapters 1–3.</w:t>
      </w:r>
    </w:p>
    <w:p>
      <w:pPr>
        <w:pStyle w:val="Heading2"/>
        <w:keepNext/>
        <w:spacing w:after="200" w:before="300"/>
      </w:pPr>
      <w:r>
        <w:t xml:space="preserve">10. What the Screen Cannot Explain</w:t>
      </w:r>
    </w:p>
    <w:p>
      <w:pPr>
        <w:widowControl/>
        <w:spacing w:after="160" w:line="250"/>
        <w:rPr>
          <w:sz w:val="18"/>
          <w:szCs w:val="18"/>
        </w:rPr>
      </w:pPr>
      <w:r>
        <w:t xml:space="preserve">1. Candice L. Odgers, </w:t>
      </w:r>
      <w:hyperlink w:history="1" r:id="rIdo0lojvvz1blsyyekpvgeh">
        <w:r>
          <w:rPr>
            <w:color w:val="000000"/>
          </w:rPr>
          <w:t xml:space="preserve">The great rewiring: is social media really behind an epidemic of teenage mental illness?</w:t>
        </w:r>
      </w:hyperlink>
      <w:r>
        <w:t xml:space="preserve">, </w:t>
      </w:r>
      <w:r>
        <w:rPr>
          <w:i/>
          <w:iCs/>
        </w:rPr>
        <w:t xml:space="preserve">Nature</w:t>
      </w:r>
      <w:r>
        <w:t xml:space="preserve">, 29 March 2024. The relevant opening was checked in the </w:t>
      </w:r>
      <w:hyperlink w:history="1" r:id="rIdbslhg9m9vqln72lbca0wl">
        <w:r>
          <w:rPr>
            <w:color w:val="000000"/>
          </w:rPr>
          <w:t xml:space="preserve">two-page university-hosted excerpt</w:t>
        </w:r>
      </w:hyperlink>
      <w:r>
        <w:t xml:space="preserve">. This is a critical review, not a new trial; the excerpt is not the complete review.</w:t>
      </w:r>
    </w:p>
    <w:p>
      <w:pPr>
        <w:widowControl/>
        <w:spacing w:after="160" w:line="250"/>
        <w:rPr>
          <w:sz w:val="18"/>
          <w:szCs w:val="18"/>
        </w:rPr>
      </w:pPr>
      <w:r>
        <w:t xml:space="preserve">2. Christoph Pieh and colleagues, </w:t>
      </w:r>
      <w:hyperlink w:history="1" r:id="rIdyyamsdnqvxubkxdd3zv9v">
        <w:r>
          <w:rPr>
            <w:color w:val="000000"/>
          </w:rPr>
          <w:t xml:space="preserve">Smartphone screen time reduction improves mental health: a randomized controlled trial</w:t>
        </w:r>
      </w:hyperlink>
      <w:r>
        <w:t xml:space="preserve">, </w:t>
      </w:r>
      <w:r>
        <w:rPr>
          <w:i/>
          <w:iCs/>
        </w:rPr>
        <w:t xml:space="preserve">BMC Medicine</w:t>
      </w:r>
      <w:r>
        <w:t xml:space="preserve"> 23, 107 (2025), abstract and methods, with the limitations discussed by the authors. Adults aged 18–29; self-reported outcomes, unblinded intervention and limited follow-up. No child outcome is inferred.</w:t>
      </w:r>
    </w:p>
    <w:p>
      <w:pPr>
        <w:widowControl/>
        <w:spacing w:after="160" w:line="250"/>
        <w:rPr>
          <w:sz w:val="18"/>
          <w:szCs w:val="18"/>
        </w:rPr>
      </w:pPr>
      <w:r>
        <w:t xml:space="preserve">3. Jesper Pedersen and colleagues, </w:t>
      </w:r>
      <w:hyperlink w:history="1" r:id="rIduhndu_1gloz9acp71rej6">
        <w:r>
          <w:rPr>
            <w:color w:val="000000"/>
          </w:rPr>
          <w:t xml:space="preserve">Effects of limiting digital screen use on well-being, mood, and biomarkers of stress in adults</w:t>
        </w:r>
      </w:hyperlink>
      <w:r>
        <w:t xml:space="preserve">, </w:t>
      </w:r>
      <w:r>
        <w:rPr>
          <w:i/>
          <w:iCs/>
        </w:rPr>
        <w:t xml:space="preserve">npj Mental Health Research</w:t>
      </w:r>
      <w:r>
        <w:t xml:space="preserve"> 1, 14 (2022), results and discussion. The paper says no consistent biomarker evidence; that must not be rewritten as no difference in every individual measure.</w:t>
      </w:r>
    </w:p>
    <w:p>
      <w:pPr>
        <w:widowControl/>
        <w:spacing w:after="160" w:line="250"/>
        <w:rPr>
          <w:sz w:val="18"/>
          <w:szCs w:val="18"/>
        </w:rPr>
      </w:pPr>
      <w:r>
        <w:t xml:space="preserve">4. Jens Christoffer Skogen and colleagues, </w:t>
      </w:r>
      <w:hyperlink w:history="1" r:id="rIdnykqa4yc8mvkrrcg3dbw7">
        <w:r>
          <w:rPr>
            <w:color w:val="000000"/>
          </w:rPr>
          <w:t xml:space="preserve">Commonly reported negative experiences on social media are associated with poor mental health and well-being among adolescents</w:t>
        </w:r>
      </w:hyperlink>
      <w:r>
        <w:t xml:space="preserve">, </w:t>
      </w:r>
      <w:r>
        <w:rPr>
          <w:i/>
          <w:iCs/>
        </w:rPr>
        <w:t xml:space="preserve">Frontiers in Public Health</w:t>
      </w:r>
      <w:r>
        <w:t xml:space="preserve"> 11 (2 June 2023), abstract and §5.1. Norwegian survey, mean age 17; no directional causal conclusion. FHI's Norwegian summary is from August 2023; its English summary was published in February 2024.</w:t>
      </w:r>
    </w:p>
    <w:p>
      <w:pPr>
        <w:widowControl/>
        <w:spacing w:after="160" w:line="250"/>
        <w:rPr>
          <w:sz w:val="18"/>
          <w:szCs w:val="18"/>
        </w:rPr>
      </w:pPr>
      <w:r>
        <w:t xml:space="preserve">5. Turi Reiten Finserås and colleagues, </w:t>
      </w:r>
      <w:hyperlink w:history="1" r:id="rIdnbov8eldiwulwxtfwt8vg">
        <w:r>
          <w:rPr>
            <w:color w:val="000000"/>
          </w:rPr>
          <w:t xml:space="preserve">Engagement, Attitudes, and Perceptions of Social Media Use: Associations with Adolescents' Mental Well-Being</w:t>
        </w:r>
      </w:hyperlink>
      <w:r>
        <w:t xml:space="preserve">, </w:t>
      </w:r>
      <w:r>
        <w:rPr>
          <w:i/>
          <w:iCs/>
        </w:rPr>
        <w:t xml:space="preserve">Youth &amp; Society</w:t>
      </w:r>
      <w:r>
        <w:t xml:space="preserve"> 57(6), 1075–1096 (2025). Publisher abstract checked; restricted full text not claimed as read. Mean age 17.3; survey data from 2020–2021. See also </w:t>
      </w:r>
      <w:hyperlink w:history="1" r:id="rIdupxbbmwqlqx0onoypywok">
        <w:r>
          <w:rPr>
            <w:color w:val="000000"/>
          </w:rPr>
          <w:t xml:space="preserve">FHI's summary</w:t>
        </w:r>
      </w:hyperlink>
      <w:r>
        <w:t xml:space="preserve">, 13 January 2026.</w:t>
      </w:r>
    </w:p>
    <w:p>
      <w:pPr>
        <w:widowControl/>
        <w:spacing w:after="160" w:line="250"/>
        <w:rPr>
          <w:sz w:val="18"/>
          <w:szCs w:val="18"/>
        </w:rPr>
      </w:pPr>
      <w:r>
        <w:t xml:space="preserve">6. Qiqi Cheng and colleagues, </w:t>
      </w:r>
      <w:hyperlink w:history="1" r:id="rIde9esdacywfu_zuj7yhtoo">
        <w:r>
          <w:rPr>
            <w:color w:val="000000"/>
          </w:rPr>
          <w:t xml:space="preserve">How do social media use, gaming frequency, and internalizing symptoms predict each other over time in early-to-middle adolescence?</w:t>
        </w:r>
      </w:hyperlink>
      <w:r>
        <w:t xml:space="preserve">, </w:t>
      </w:r>
      <w:r>
        <w:rPr>
          <w:i/>
          <w:iCs/>
        </w:rPr>
        <w:t xml:space="preserve">Journal of Public Health</w:t>
      </w:r>
      <w:r>
        <w:t xml:space="preserve">, published online 5 December 2025, issue 48(1), 59–69 (2026). Results here are attributed to </w:t>
      </w:r>
      <w:hyperlink w:history="1" r:id="rIdw7pirbhnodpi-bxr-zddq">
        <w:r>
          <w:rPr>
            <w:color w:val="000000"/>
          </w:rPr>
          <w:t xml:space="preserve">FHI's research summary</w:t>
        </w:r>
      </w:hyperlink>
      <w:r>
        <w:t xml:space="preserve">, 24 February 2026. Publisher full text was not retrievable in this check; no unreported model detail is asserted.</w:t>
      </w:r>
    </w:p>
    <w:p>
      <w:pPr>
        <w:widowControl/>
        <w:spacing w:after="160" w:line="250"/>
        <w:rPr>
          <w:sz w:val="18"/>
          <w:szCs w:val="18"/>
        </w:rPr>
      </w:pPr>
      <w:r>
        <w:t xml:space="preserve">7. Norwegian Institute of Public Health, </w:t>
      </w:r>
      <w:hyperlink w:history="1" r:id="rIdaciqtpyiohn_0m2igupmj">
        <w:r>
          <w:rPr>
            <w:color w:val="000000"/>
          </w:rPr>
          <w:t xml:space="preserve">Screen use and children and adolescents' emotional, cognitive and motor development: an umbrella review</w:t>
        </w:r>
      </w:hyperlink>
      <w:r>
        <w:t xml:space="preserve"> (2024), official summary. The claim concerns the state of evidence, not proof of no effects.</w:t>
      </w:r>
    </w:p>
    <w:p>
      <w:pPr>
        <w:pStyle w:val="Heading2"/>
        <w:keepNext/>
        <w:spacing w:after="200" w:before="300"/>
      </w:pPr>
      <w:r>
        <w:t xml:space="preserve">11. The Best-Case Country</w:t>
      </w:r>
    </w:p>
    <w:p>
      <w:pPr>
        <w:widowControl/>
        <w:spacing w:after="160" w:line="250"/>
        <w:rPr>
          <w:sz w:val="18"/>
          <w:szCs w:val="18"/>
        </w:rPr>
      </w:pPr>
      <w:r>
        <w:t xml:space="preserve">1. United Nations Development Programme, </w:t>
      </w:r>
      <w:hyperlink w:history="1" r:id="rIdogntyuun3yk_0w8-yzl7u">
        <w:r>
          <w:rPr>
            <w:color w:val="000000"/>
          </w:rPr>
          <w:t xml:space="preserve">Human Development Report 2025</w:t>
        </w:r>
      </w:hyperlink>
      <w:r>
        <w:t xml:space="preserve">, table 1, printed p. 274 (PDF p. 288), and table 2, printed p. 279 (PDF p. 293). The report was published on 6 May 2025; the current score uses 2023 data. The consistent series is 0.959 (2015), 0.969 (2020), 0.969 (2021), 0.967 (2022) and 0.970 (2023). The score is an index, not a percentage. See also UNDP's </w:t>
      </w:r>
      <w:hyperlink w:history="1" r:id="rIdwbsuw5_y_77q7zly63v31">
        <w:r>
          <w:rPr>
            <w:color w:val="000000"/>
          </w:rPr>
          <w:t xml:space="preserve">definition of the HDI</w:t>
        </w:r>
      </w:hyperlink>
      <w:r>
        <w:t xml:space="preserve">. Health, education and income are the dimensions measured; the index does not establish an overall moral ranking of societies. Historical scores should be compared within the same report vintage because the series is revised.</w:t>
      </w:r>
    </w:p>
    <w:p>
      <w:pPr>
        <w:widowControl/>
        <w:spacing w:after="160" w:line="250"/>
        <w:rPr>
          <w:sz w:val="18"/>
          <w:szCs w:val="18"/>
        </w:rPr>
      </w:pPr>
      <w:r>
        <w:t xml:space="preserve">2. Statistics Norway, Magnus Haug, </w:t>
      </w:r>
      <w:hyperlink w:history="1" r:id="rIdaxdlndjqhrl9kmldmfpwq">
        <w:r>
          <w:rPr>
            <w:color w:val="000000"/>
          </w:rPr>
          <w:t xml:space="preserve">“Svak økning i forventa levealder”</w:t>
        </w:r>
      </w:hyperlink>
      <w:r>
        <w:t xml:space="preserve">, published 12 March 2026, corrected 15 April 2026. Data year: 2025. Period life expectancy at birth assumes that the observed age-specific mortality pattern continues. It is neither an individual forecast nor the average age of people who died that year. The paragraph about time between generations is the author's interpretation of why longevity matters, not a measured family effect.</w:t>
      </w:r>
    </w:p>
    <w:p>
      <w:pPr>
        <w:widowControl/>
        <w:spacing w:after="160" w:line="250"/>
        <w:rPr>
          <w:sz w:val="18"/>
          <w:szCs w:val="18"/>
        </w:rPr>
      </w:pPr>
      <w:r>
        <w:t xml:space="preserve">3. OECD, </w:t>
      </w:r>
      <w:hyperlink w:history="1" r:id="rIdbu6nfjqbnzjy7gcagaao-">
        <w:r>
          <w:rPr>
            <w:color w:val="000000"/>
          </w:rPr>
          <w:t xml:space="preserve">Health at a Glance 2025: Norway</w:t>
        </w:r>
      </w:hyperlink>
      <w:r>
        <w:t xml:space="preserve">, “Access to care”; and </w:t>
      </w:r>
      <w:hyperlink w:history="1" r:id="rId_gjzur9b8g5l7ztnkbhcy">
        <w:r>
          <w:rPr>
            <w:color w:val="000000"/>
          </w:rPr>
          <w:t xml:space="preserve">“Population coverage for healthcare”</w:t>
        </w:r>
      </w:hyperlink>
      <w:r>
        <w:t xml:space="preserve">, figure 5.1 and definition. Published 13 November 2025. The figure's reference period is “2024 (or nearest year)”; the exact observation year of the Norwegian coverage row has not been separately established here. The measure concerns eligibility for a core set of services, not every treatment's availability, waiting time or cost.</w:t>
      </w:r>
    </w:p>
    <w:p>
      <w:pPr>
        <w:pStyle w:val="Heading2"/>
        <w:keepNext/>
        <w:spacing w:after="200" w:before="300"/>
      </w:pPr>
      <w:r>
        <w:t xml:space="preserve">12. No But in the Sentence</w:t>
      </w:r>
    </w:p>
    <w:p>
      <w:pPr>
        <w:widowControl/>
        <w:spacing w:after="160" w:line="250"/>
        <w:rPr>
          <w:sz w:val="18"/>
          <w:szCs w:val="18"/>
        </w:rPr>
      </w:pPr>
      <w:r>
        <w:t xml:space="preserve">1. Statistics Norway, </w:t>
      </w:r>
      <w:hyperlink w:history="1" r:id="rIdqtdki38h6h1g-tqn7do8a">
        <w:r>
          <w:rPr>
            <w:color w:val="000000"/>
          </w:rPr>
          <w:t xml:space="preserve">Quality of life</w:t>
        </w:r>
      </w:hyperlink>
      <w:r>
        <w:t xml:space="preserve">, table 1 and population definition. Data year: 2025; published 30 October 2025. Mean overall life satisfaction: 6.9/10. Population: residents aged eighteen and over outside institutions. This is a subjective population measure, not an international ranking or a judgement about every individual life.</w:t>
      </w:r>
    </w:p>
    <w:p>
      <w:pPr>
        <w:widowControl/>
        <w:spacing w:after="160" w:line="250"/>
        <w:rPr>
          <w:sz w:val="18"/>
          <w:szCs w:val="18"/>
        </w:rPr>
      </w:pPr>
      <w:r>
        <w:t xml:space="preserve">2. OECD, </w:t>
      </w:r>
      <w:hyperlink w:history="1" r:id="rIdygwbdewisbk95_kakjtv4">
        <w:r>
          <w:rPr>
            <w:color w:val="000000"/>
          </w:rPr>
          <w:t xml:space="preserve">Survey on Drivers of Trust in Public Institutions 2026 Results: Norway</w:t>
        </w:r>
      </w:hyperlink>
      <w:r>
        <w:t xml:space="preserve">, published 29 June 2026. Norwegian fieldwork: 15–27 October 2025. Police: 78 per cent; courts: 76 per cent. Representative adult survey; high or moderately high trust means 6–10 on the 0–10 response scale. These are trust ratings, not a measure of error-free institutional conduct. The discussion of what trust and public duties are worth is the author's argument.</w:t>
      </w:r>
    </w:p>
    <w:p>
      <w:pPr>
        <w:widowControl/>
        <w:spacing w:after="160" w:line="250"/>
        <w:rPr>
          <w:sz w:val="18"/>
          <w:szCs w:val="18"/>
        </w:rPr>
      </w:pPr>
      <w:r>
        <w:t xml:space="preserve">3. Same OECD Norway country note; see </w:t>
      </w:r>
      <w:hyperlink w:history="1" r:id="rIddyjv81rkhmd9zhrhk_mpd">
        <w:r>
          <w:rPr>
            <w:color w:val="000000"/>
          </w:rPr>
          <w:t xml:space="preserve">“Day-to-day interactions with public institutions and their implications for trust”</w:t>
        </w:r>
      </w:hyperlink>
      <w:r>
        <w:t xml:space="preserve">, figure 3.3 and definition. Norway: 69 per cent satisfied among adults who personally used administrative services in the previous twelve months. Satisfaction is 6–10 on a 0–10 scale. This is a recent-user measure, not 69 per cent of the entire population. The document example in the body is explicitly illustrative; the survey does not establish those particular events or their consequences.</w:t>
      </w:r>
    </w:p>
    <w:p>
      <w:pPr>
        <w:widowControl/>
        <w:spacing w:after="160" w:line="250"/>
        <w:rPr>
          <w:sz w:val="18"/>
          <w:szCs w:val="18"/>
        </w:rPr>
      </w:pPr>
      <w:r>
        <w:t xml:space="preserve">4. Statistics Norway, </w:t>
      </w:r>
      <w:hyperlink w:history="1" r:id="rIdu7-ynlutn4ng9b4x3ty3q">
        <w:r>
          <w:rPr>
            <w:color w:val="000000"/>
          </w:rPr>
          <w:t xml:space="preserve">Utsatthet og uro for lovbrudd, levekårsundersøkelsen</w:t>
        </w:r>
      </w:hyperlink>
      <w:r>
        <w:t xml:space="preserve">, table 1 and definitions, published 10 May 2024. Data year: 2023. The weighted survey had 5,531 respondents aged sixteen and over outside institutions. The question's reference period is “den siste tiden”, meaning recently. The 6.9 per cent concerns reported worry about violence or threats while walking alone locally. It is not converted into a claim that 93.1 per cent are objectively safe. The passages about freedom of movement state why confidence matters; they do not estimate a causal effect on family life.</w:t>
      </w:r>
    </w:p>
    <w:p>
      <w:pPr>
        <w:widowControl/>
        <w:spacing w:after="160" w:line="250"/>
        <w:rPr>
          <w:sz w:val="18"/>
          <w:szCs w:val="18"/>
        </w:rPr>
      </w:pPr>
      <w:r>
        <w:t xml:space="preserve">5. Statistics Norway, </w:t>
      </w:r>
      <w:r>
        <w:rPr>
          <w:i/>
        </w:rPr>
        <w:t>Hvor mange føler seg ensomme i Norge?</w:t>
      </w:r>
      <w:r>
        <w:t xml:space="preserve">, published 5 December 2025, trend section: adults aged eighteen and over much troubled by loneliness in the previous fourteen days, 12.1 per cent in March 2020, 15.5 per cent in 2021 and 14.5 per cent in 2025, described by the agency as still above the 2020 level; aged eighteen to twenty-four, nearly 24 per cent in 2020, just over 30 per cent in 2021 and 23.4 per cent in 2025, the lowest since 2020. A later section of the same article gives 23.3 per cent for 2025; the trend section’s figure is used here. Subjective outcome measure, not relationship quality. </w:t>
      </w:r>
      <w:hyperlink w:history="1" r:id="rId8">
        <w:r>
          <w:rPr>
            <w:color w:val="000000"/>
          </w:rPr>
          <w:t xml:space="preserve">Article</w:t>
        </w:r>
      </w:hyperlink>
      <w:r>
        <w:t>.</w:t>
      </w:r>
    </w:p>
    <w:p>
      <w:pPr>
        <w:pStyle w:val="Heading2"/>
        <w:keepNext/>
        <w:spacing w:after="200" w:before="300"/>
      </w:pPr>
      <w:r>
        <w:t xml:space="preserve">13. The Church Still on the Map</w:t>
      </w:r>
    </w:p>
    <w:p>
      <w:pPr>
        <w:widowControl/>
        <w:spacing w:after="160" w:line="250"/>
        <w:rPr>
          <w:sz w:val="18"/>
          <w:szCs w:val="18"/>
        </w:rPr>
      </w:pPr>
      <w:r>
        <w:t xml:space="preserve">1. Statistics Norway, </w:t>
      </w:r>
      <w:hyperlink w:history="1" r:id="rId2ooxpewqj12gvzlh0c4i-">
        <w:r>
          <w:rPr>
            <w:color w:val="000000"/>
          </w:rPr>
          <w:t xml:space="preserve">Den norske kirke, headline table 1</w:t>
        </w:r>
      </w:hyperlink>
      <w:r>
        <w:t xml:space="preserve">, final publication dated 15 June 2026, data year 2025. Exact headline count: 3,427,657; published population share: 60.9 per cent. The same page's diocesan table totals 3,431,223, with an unallocated-diocese row of 3,566. The body uses the headline series consistently. The alternative published aggregation is not treated as an error. The precise population count used to calculate the displayed share has not been independently reconstructed.</w:t>
      </w:r>
    </w:p>
    <w:p>
      <w:pPr>
        <w:widowControl/>
        <w:spacing w:after="160" w:line="250"/>
        <w:rPr>
          <w:sz w:val="18"/>
          <w:szCs w:val="18"/>
        </w:rPr>
      </w:pPr>
      <w:r>
        <w:t xml:space="preserve">2. Stortinget, </w:t>
      </w:r>
      <w:hyperlink w:history="1" r:id="rIdwpheg4enph0ctwwujn6xx">
        <w:r>
          <w:rPr>
            <w:color w:val="000000"/>
          </w:rPr>
          <w:t xml:space="preserve">Innst. 467 S (2025–2026)</w:t>
        </w:r>
      </w:hyperlink>
      <w:r>
        <w:t xml:space="preserve">, 16 June 2026, introduction and committee remarks; and </w:t>
      </w:r>
      <w:hyperlink w:history="1" r:id="rIdktaenvriibwaueyikqtc5">
        <w:r>
          <w:rPr>
            <w:color w:val="000000"/>
          </w:rPr>
          <w:t xml:space="preserve">the Storting's English Constitution, Article 16</w:t>
        </w:r>
      </w:hyperlink>
      <w:r>
        <w:t xml:space="preserve">, translation updated through May 2018, PDF p. 4. The body dates the description to the June 2026 parliamentary document; it does not treat the amendment proposal as enacted or the 2018 translation as a newly consolidated text. Support on an equal footing is not paraphrased as an identical sum of money for each community. The English constitutional text also states freedom of religious exercise.</w:t>
      </w:r>
    </w:p>
    <w:p>
      <w:pPr>
        <w:widowControl/>
        <w:spacing w:after="160" w:line="250"/>
        <w:rPr>
          <w:sz w:val="18"/>
          <w:szCs w:val="18"/>
        </w:rPr>
      </w:pPr>
      <w:r>
        <w:t xml:space="preserve">3. Church of Norway, </w:t>
      </w:r>
      <w:hyperlink w:history="1" r:id="rIdl7hzk6qzrvymdkiw0-jor">
        <w:r>
          <w:rPr>
            <w:color w:val="000000"/>
          </w:rPr>
          <w:t xml:space="preserve">Årsrapport 2025</w:t>
        </w:r>
      </w:hyperlink>
      <w:r>
        <w:t xml:space="preserve">, printed pp. 66–67, geographical organisation as at 1 January 2026. The units are geographical parishes and dioceses; no estimate of active believers is derived from their number.</w:t>
      </w:r>
    </w:p>
    <w:p>
      <w:pPr>
        <w:widowControl/>
        <w:spacing w:after="160" w:line="250"/>
        <w:rPr>
          <w:sz w:val="18"/>
          <w:szCs w:val="18"/>
        </w:rPr>
      </w:pPr>
      <w:r>
        <w:t xml:space="preserve">4. Statistics Norway, </w:t>
      </w:r>
      <w:hyperlink w:history="1" r:id="rIdwdxxr05jjm7hzhcq29mwm">
        <w:r>
          <w:rPr>
            <w:color w:val="000000"/>
          </w:rPr>
          <w:t xml:space="preserve">Members of the Church of Norway by county, as at 31 December</w:t>
        </w:r>
      </w:hyperlink>
      <w:r>
        <w:t xml:space="preserve">, total rows for 2021 and 2025, and the definition note. The difference and percentage change are calculated from the two published counts, using 2021 as the denominator and rounding to one decimal place. The note excludes affiliates from 2021 onwards. See also </w:t>
      </w:r>
      <w:hyperlink w:history="1" r:id="rId8z_hntb2syozxeyxji4u3">
        <w:r>
          <w:rPr>
            <w:color w:val="000000"/>
          </w:rPr>
          <w:t xml:space="preserve">the Church's explanation of the end of the affiliation arrangement</w:t>
        </w:r>
      </w:hyperlink>
      <w:r>
        <w:t xml:space="preserve">. Neither the stock change nor the definition change supplies a count of altered beliefs or household practices.</w:t>
      </w:r>
      <w:r>
        <w:t xml:space="preserve"> The total rows for 2024 and 2025 give 3,449,013 and 3,427,657; table read 18 October 2026.</w:t>
      </w:r>
    </w:p>
    <w:p>
      <w:pPr>
        <w:pStyle w:val="Heading2"/>
        <w:keepNext/>
        <w:spacing w:after="200" w:before="300"/>
      </w:pPr>
      <w:r>
        <w:t xml:space="preserve">14. The Rites That Remain</w:t>
      </w:r>
    </w:p>
    <w:p>
      <w:pPr>
        <w:widowControl/>
        <w:spacing w:after="160" w:line="250"/>
        <w:rPr>
          <w:sz w:val="18"/>
          <w:szCs w:val="18"/>
        </w:rPr>
      </w:pPr>
      <w:r>
        <w:t xml:space="preserve">1. Church of Norway, </w:t>
      </w:r>
      <w:hyperlink w:history="1" r:id="rIdruxttf3nzca68ypdm103v">
        <w:r>
          <w:rPr>
            <w:color w:val="000000"/>
          </w:rPr>
          <w:t xml:space="preserve">Hva skjer i en dåp i Den norske kirke?</w:t>
        </w:r>
      </w:hyperlink>
      <w:r>
        <w:t xml:space="preserve">, national description of the baptismal service, read 6 September 2026. The closing instructions to parents and godparents concern prayer, teaching prayer, the Bible and communion. This is a description of the institution's rite, not evidence of practice in any named family.</w:t>
      </w:r>
    </w:p>
    <w:p>
      <w:pPr>
        <w:widowControl/>
        <w:spacing w:after="160" w:line="250"/>
        <w:rPr>
          <w:sz w:val="18"/>
          <w:szCs w:val="18"/>
        </w:rPr>
      </w:pPr>
      <w:r>
        <w:t xml:space="preserve">2. Statistics Norway, </w:t>
      </w:r>
      <w:hyperlink w:history="1" r:id="rIdooidl--aytah6re4tefv9">
        <w:r>
          <w:rPr>
            <w:color w:val="000000"/>
          </w:rPr>
          <w:t xml:space="preserve">Den norske kirke, 2016</w:t>
        </w:r>
      </w:hyperlink>
      <w:r>
        <w:t xml:space="preserve">, archived release dated 3 May 2017, main table and baptism footnote; and </w:t>
      </w:r>
      <w:hyperlink w:history="1" r:id="rIdugxocwfcsuxurhsxtzio_">
        <w:r>
          <w:rPr>
            <w:color w:val="000000"/>
          </w:rPr>
          <w:t xml:space="preserve">Den norske kirke, main table</w:t>
        </w:r>
      </w:hyperlink>
      <w:r>
        <w:t xml:space="preserve">, final release dated 15 June 2026. The 2016 baseline is checked in the archived release, not represented as a freshly retrieved 2016 cell from the current Statbank. From 2016, baptised persons replace baptism ceremonies as the measure. Baptism counts for 2024 and 2025 are 27,359 and 28,622; published ratios to births are 50.7 and 51.7 per cent. The differences in the body are calculated from these published figures. Ratios to births are not infant-cohort baptism rates.</w:t>
      </w:r>
    </w:p>
    <w:p>
      <w:pPr>
        <w:widowControl/>
        <w:spacing w:after="160" w:line="250"/>
        <w:rPr>
          <w:sz w:val="18"/>
          <w:szCs w:val="18"/>
        </w:rPr>
      </w:pPr>
      <w:r>
        <w:t xml:space="preserve">3. Church of Norway, </w:t>
      </w:r>
      <w:hyperlink w:history="1" r:id="rIdx1z3qaaplqazgnuiwzeza">
        <w:r>
          <w:rPr>
            <w:color w:val="000000"/>
          </w:rPr>
          <w:t xml:space="preserve">Velkommen til dåp i Den norske kirke</w:t>
        </w:r>
      </w:hyperlink>
      <w:r>
        <w:t xml:space="preserve">, national explanation, read 6 September 2026. Its theological account is attributed to the Church. No age-specific national count or ancestral practice is inferred from it.</w:t>
      </w:r>
    </w:p>
    <w:p>
      <w:pPr>
        <w:widowControl/>
        <w:spacing w:after="160" w:line="250"/>
        <w:rPr>
          <w:sz w:val="18"/>
          <w:szCs w:val="18"/>
        </w:rPr>
      </w:pPr>
      <w:r>
        <w:t xml:space="preserve">4. Church of Norway, </w:t>
      </w:r>
      <w:hyperlink w:history="1" r:id="rIdiiijfplld-pawxbgrxplx">
        <w:r>
          <w:rPr>
            <w:color w:val="000000"/>
          </w:rPr>
          <w:t xml:space="preserve">Spørsmål og svar om konfirmasjon</w:t>
        </w:r>
      </w:hyperlink>
      <w:r>
        <w:t xml:space="preserve">, sections on whether a participant must be Christian, baptism and the meaning of confirmation, read 6 September 2026. The page's approximate annual participant totals are not used; they are inconsistent with the dated SSB figures. Its description of participation and prayer is kept separate from the statistical source.</w:t>
      </w:r>
    </w:p>
    <w:p>
      <w:pPr>
        <w:widowControl/>
        <w:spacing w:after="160" w:line="250"/>
        <w:rPr>
          <w:sz w:val="18"/>
          <w:szCs w:val="18"/>
        </w:rPr>
      </w:pPr>
      <w:r>
        <w:t xml:space="preserve">5. Statistics Norway, </w:t>
      </w:r>
      <w:hyperlink w:history="1" r:id="rIdl6be3jlki6o17_cusnjjr">
        <w:r>
          <w:rPr>
            <w:color w:val="000000"/>
          </w:rPr>
          <w:t xml:space="preserve">Den norske kirke, main table</w:t>
        </w:r>
      </w:hyperlink>
      <w:r>
        <w:t xml:space="preserve">, final release dated 15 June 2026. Confirmations: 39,527 in 2015, 33,183 in 2024, 33,419 in 2025; published ratios to all fifteen-year-olds: 61.5, 47.8 and 48.8 per cent. The Church permits confirmation at other ages; this is not an exclusively age-fifteen numerator. Funerals: 36,797, 36,073 and 36,096; shares of deaths: 90.4, 81.5 and 80.1 per cent. Percentage-point changes use the published rounded ratios. The main table is used consistently; separate diocesan aggregations are not substituted for its counts. These are Church of Norway statistics, not counts of every religious or non-religious ceremony in Norway.</w:t>
      </w:r>
    </w:p>
    <w:p>
      <w:pPr>
        <w:widowControl/>
        <w:spacing w:after="160" w:line="250"/>
        <w:rPr>
          <w:sz w:val="18"/>
          <w:szCs w:val="18"/>
        </w:rPr>
      </w:pPr>
      <w:r>
        <w:t xml:space="preserve">6. Church of Norway, </w:t>
      </w:r>
      <w:hyperlink w:history="1" r:id="rIdnhlrxw5wri0ymknd_n1y-">
        <w:r>
          <w:rPr>
            <w:color w:val="000000"/>
          </w:rPr>
          <w:t xml:space="preserve">Hva skjer i en kirkelig begravelse?</w:t>
        </w:r>
      </w:hyperlink>
      <w:r>
        <w:t xml:space="preserve"> and </w:t>
      </w:r>
      <w:hyperlink w:history="1" r:id="rIdluyy2md6wb8tpfn52tpns">
        <w:r>
          <w:rPr>
            <w:color w:val="000000"/>
          </w:rPr>
          <w:t xml:space="preserve">Begravelse i Den norske kirke</w:t>
        </w:r>
      </w:hyperlink>
      <w:r>
        <w:t xml:space="preserve">, read 6 September 2026. The first describes the order of service; the second states its Christian frame. Neither establishes the beliefs of a particular deceased person or those attending.</w:t>
      </w:r>
    </w:p>
    <w:p>
      <w:pPr>
        <w:pStyle w:val="Heading2"/>
        <w:keepNext/>
        <w:spacing w:after="200" w:before="300"/>
      </w:pPr>
      <w:r>
        <w:t xml:space="preserve">15. Households in Motion</w:t>
      </w:r>
    </w:p>
    <w:p>
      <w:pPr>
        <w:widowControl/>
        <w:spacing w:after="160" w:line="250"/>
        <w:rPr>
          <w:sz w:val="18"/>
          <w:szCs w:val="18"/>
        </w:rPr>
      </w:pPr>
      <w:r>
        <w:t xml:space="preserve">1. Statistics Norway, </w:t>
      </w:r>
      <w:hyperlink w:history="1" r:id="rIdspn0ijzzutfncpfitldsl">
        <w:r>
          <w:rPr>
            <w:color w:val="000000"/>
          </w:rPr>
          <w:t xml:space="preserve">Stadig flere barn bor sammen med begge foreldrene</w:t>
        </w:r>
      </w:hyperlink>
      <w:r>
        <w:t xml:space="preserve">, 18 September 2025, text preceding figure 1. The family percentages refer to the beginning of 2025, with a 2015 comparison. The category requires all children in the family to live with both parents. No relationship quality or causal mechanism is inferred.</w:t>
      </w:r>
    </w:p>
    <w:p>
      <w:pPr>
        <w:widowControl/>
        <w:spacing w:after="160" w:line="250"/>
        <w:rPr>
          <w:sz w:val="18"/>
          <w:szCs w:val="18"/>
        </w:rPr>
      </w:pPr>
      <w:r>
        <w:t xml:space="preserve">2. Statistics Norway, </w:t>
      </w:r>
      <w:hyperlink w:history="1" r:id="rIdz37rsxfvlmqajna-odcjr">
        <w:r>
          <w:rPr>
            <w:color w:val="000000"/>
          </w:rPr>
          <w:t xml:space="preserve">Familier og husholdninger</w:t>
        </w:r>
      </w:hyperlink>
      <w:r>
        <w:t xml:space="preserve">, tables 2–3 and definitions, figures as at 1 January 2025, read 6 September 2026. Of 1,092,851 children aged zero to seventeen, 560,423 were recorded with married parents and 285,172 with cohabiting parents; combined, 845,595. Percentages in the body are calculated from these counts and rounded to one decimal place. The statistics concern resident biological and adopted children meeting the definition, not foster children. The source reports inadequate information for counts of same-sex cohabiting couples. Formal registration does not fully describe where a child stays or the contact and care a parent provides. Family counts must not be replaced with counts of one-family households, which exclude families within multi-family households.</w:t>
      </w:r>
    </w:p>
    <w:p>
      <w:pPr>
        <w:widowControl/>
        <w:spacing w:after="160" w:line="250"/>
        <w:rPr>
          <w:sz w:val="18"/>
          <w:szCs w:val="18"/>
        </w:rPr>
      </w:pPr>
      <w:r>
        <w:t xml:space="preserve">3. Statistics Norway, </w:t>
      </w:r>
      <w:hyperlink w:history="1" r:id="rIdc138ycrcppfpw8k1ci5e-">
        <w:r>
          <w:rPr>
            <w:color w:val="000000"/>
          </w:rPr>
          <w:t xml:space="preserve">Fødte</w:t>
        </w:r>
      </w:hyperlink>
      <w:r>
        <w:t xml:space="preserve">, 12 March 2026, table 1 and the definitions and production sections for samlivsstatus. The measure counts live-born children, not deliveries. The general cohabitation definition allows the parents to share an address at birth or move to a shared address within three months. The production section qualifies the available follow-up at the year end: two subsequent months for October births, one for November and none for December. The single category may include a mother cohabiting with someone other than the child's father. Percentages are calculated from the published counts and rounded independently; they need not sum to exactly 100.0.</w:t>
      </w:r>
    </w:p>
    <w:p>
      <w:pPr>
        <w:widowControl/>
        <w:spacing w:after="160" w:line="250"/>
        <w:rPr>
          <w:sz w:val="18"/>
          <w:szCs w:val="18"/>
        </w:rPr>
      </w:pPr>
      <w:r>
        <w:t xml:space="preserve">4. Statistics Norway, </w:t>
      </w:r>
      <w:hyperlink w:history="1" r:id="rIdai3rsgui3uq9yyk7zv4yr">
        <w:r>
          <w:rPr>
            <w:color w:val="000000"/>
          </w:rPr>
          <w:t xml:space="preserve">Ekteskap og skilsmisser</w:t>
        </w:r>
      </w:hyperlink>
      <w:r>
        <w:t xml:space="preserve">, headline table, published 12 May 2026; page changed 10 June 2026. Marriages: 21,136 in 2024 and 21,574 in 2025; divorces: 8,474 and 8,583; separations: 9,340 and 9,772. These are event counts. The current measure-unit description specifies events for which the older party was resident in Norway at the time. No lifetime probability is derived from the annual counts, and no causal explanation is assigned to the changes.</w:t>
      </w:r>
    </w:p>
    <w:p>
      <w:pPr>
        <w:widowControl/>
        <w:spacing w:after="160" w:line="250"/>
        <w:rPr>
          <w:sz w:val="18"/>
          <w:szCs w:val="18"/>
        </w:rPr>
      </w:pPr>
      <w:r>
        <w:t xml:space="preserve">5. Statistics Norway, </w:t>
      </w:r>
      <w:r>
        <w:rPr>
          <w:i/>
        </w:rPr>
        <w:t>Fruktbarheten fortsetter å øke</w:t>
      </w:r>
      <w:r>
        <w:t xml:space="preserve">, published 12 March 2026: 55,400 live births in 2025, 1,400 more than in 2024; total fertility rate 1.48 in 2025 against 1.44 in 2024, the third consecutive annual increase, described by the agency as still low in a historical perspective. The agency attributes most of the 2025 increase to women aged thirty to thirty-four. The rounded count corresponds to the 55,401 in note 3. Outcome count and period rate, not relationship quality. </w:t>
      </w:r>
      <w:hyperlink w:history="1" r:id="rId9">
        <w:r>
          <w:rPr>
            <w:color w:val="000000"/>
          </w:rPr>
          <w:t xml:space="preserve">Article</w:t>
        </w:r>
      </w:hyperlink>
      <w:r>
        <w:t>.</w:t>
      </w:r>
    </w:p>
    <w:p>
      <w:pPr>
        <w:pStyle w:val="Heading2"/>
        <w:keepNext/>
        <w:spacing w:after="200" w:before="300"/>
      </w:pPr>
      <w:r>
        <w:t xml:space="preserve">16. Fathers Came Home</w:t>
      </w:r>
    </w:p>
    <w:p>
      <w:pPr>
        <w:widowControl/>
        <w:spacing w:after="160" w:line="250"/>
        <w:rPr>
          <w:sz w:val="18"/>
          <w:szCs w:val="18"/>
        </w:rPr>
      </w:pPr>
      <w:r>
        <w:t xml:space="preserve">1. Ragni Hege Kitterød and Marit Rønsen, </w:t>
      </w:r>
      <w:hyperlink w:history="1" r:id="rIdvpecmkawestxgp6i2ifih">
        <w:r>
          <w:rPr>
            <w:color w:val="000000"/>
          </w:rPr>
          <w:t xml:space="preserve">Yrkes- og familiearbeid i barnefasen</w:t>
        </w:r>
      </w:hyperlink>
      <w:r>
        <w:t xml:space="preserve">, Statistics Norway, Reports 44/2013, table 4.4, printed p. 27; housework detail in tables 3.7–3.8, p. 22. Married/cohabiting fathers, youngest child aged 0–6; daily averages for the specified groups, including days with none of the activity. Childcare is the main activity. The comparison is not a longitudinal account of the same fathers.</w:t>
      </w:r>
      <w:r>
        <w:t xml:space="preserve"> The same report states that fathers with children under fifteen spent three hours and fifty minutes a day on household work in 2010, one hour and twenty minutes more than at the start of the 1970s, with the increase concentrated in the last decade (Statistics Norway summary of the report, 15 October 2013).</w:t>
      </w:r>
    </w:p>
    <w:p>
      <w:pPr>
        <w:widowControl/>
        <w:spacing w:after="160" w:line="250"/>
        <w:rPr>
          <w:sz w:val="18"/>
          <w:szCs w:val="18"/>
        </w:rPr>
      </w:pPr>
      <w:r>
        <w:t xml:space="preserve">2. Statistics Norway, </w:t>
      </w:r>
      <w:hyperlink w:history="1" r:id="rIdwoegr9big0qkcaocmowhf">
        <w:r>
          <w:rPr>
            <w:color w:val="000000"/>
          </w:rPr>
          <w:t xml:space="preserve">Fremdeles kjønnsforskjeller i tidsbruken til kvinner og menn i par</w:t>
        </w:r>
      </w:hyperlink>
      <w:r>
        <w:t xml:space="preserve">, 19 December 2024, corrected 8 August 2025; family-stage definition and discussion around figures 1–2. Analysis age: 18–66. Couples include married/cohabiting people living with children, including stepchildren and adopted children. Work figures in the body compare groups within 2022; they are not joined to the earlier report as an uninterrupted series. The source states that both partners' diaries were not collected within each couple.</w:t>
      </w:r>
      <w:r>
        <w:t xml:space="preserve"> For the whole population, 1971 to 2010: Statistics Norway, Tidene skifter: Tidsbruk 1971–2010, Statistiske analyser 125, 2 January 2012: men 47 minutes more household work per day in 2010 than in 1971; women 2 hours and 5 minutes less.</w:t>
      </w:r>
    </w:p>
    <w:p>
      <w:pPr>
        <w:widowControl/>
        <w:spacing w:after="160" w:line="250"/>
        <w:rPr>
          <w:sz w:val="18"/>
          <w:szCs w:val="18"/>
        </w:rPr>
      </w:pPr>
      <w:r>
        <w:t xml:space="preserve">3. Statistics Norway, </w:t>
      </w:r>
      <w:hyperlink w:history="1" r:id="rIdcwwmyq9mutqqloss4qmmu">
        <w:r>
          <w:rPr>
            <w:color w:val="000000"/>
          </w:rPr>
          <w:t xml:space="preserve">Tidsbruksundersøkelsen, production and comparability</w:t>
        </w:r>
      </w:hyperlink>
      <w:r>
        <w:t xml:space="preserve">, read 6 September 2026. Collection dates: 10 October 2022–9 October 2023. Two diary days per participant; the day is the analytical unit. Weighting addresses non-response imbalance; method changes and sampling uncertainty remain. A group average is not an observation of every day of every person's life.</w:t>
      </w:r>
    </w:p>
    <w:p>
      <w:pPr>
        <w:widowControl/>
        <w:spacing w:after="160" w:line="250"/>
        <w:rPr>
          <w:sz w:val="18"/>
          <w:szCs w:val="18"/>
        </w:rPr>
      </w:pPr>
      <w:r>
        <w:t xml:space="preserve">4. Statistics Norway, </w:t>
      </w:r>
      <w:hyperlink w:history="1" r:id="rIdd2yyl6wu_zev-bprswgca">
        <w:r>
          <w:rPr>
            <w:color w:val="000000"/>
          </w:rPr>
          <w:t xml:space="preserve">Fedre med høy utdanning tilbringer mest tid med barna</w:t>
        </w:r>
      </w:hyperlink>
      <w:r>
        <w:t xml:space="preserve">, 6 December 2024, care section before figure 1. The ninety-minute measure includes main and concurrent activities and is restricted to fathers aged 25–66 with a youngest child aged 0–15. It is not equivalent to the 2010 measure in note 1.</w:t>
      </w:r>
    </w:p>
    <w:p>
      <w:pPr>
        <w:widowControl/>
        <w:spacing w:after="160" w:line="250"/>
        <w:rPr>
          <w:sz w:val="18"/>
          <w:szCs w:val="18"/>
        </w:rPr>
      </w:pPr>
      <w:r>
        <w:t xml:space="preserve">5. Statistics Norway, </w:t>
      </w:r>
      <w:hyperlink w:history="1" r:id="rIdxtvjo1tez5os_l-qmuang">
        <w:r>
          <w:rPr>
            <w:color w:val="000000"/>
          </w:rPr>
          <w:t xml:space="preserve">Vi bruker stadig mindre tid på husarbeid</w:t>
        </w:r>
      </w:hyperlink>
      <w:r>
        <w:t xml:space="preserve">, 5 September 2024, housework discussion. Fifty-two minutes refers to all men aged 16–74, averaged over all days, including non-participants in the activity. Husarbeid, ordinary housework, is narrower than husholdsarbeid, total household work. The reported decline does not establish reduced childcare among fathers.</w:t>
      </w:r>
    </w:p>
    <w:p>
      <w:pPr>
        <w:pStyle w:val="Heading2"/>
        <w:keepNext/>
        <w:spacing w:after="200" w:before="300"/>
      </w:pPr>
      <w:r>
        <w:t xml:space="preserve">17. The Child's Day</w:t>
      </w:r>
    </w:p>
    <w:p>
      <w:pPr>
        <w:widowControl/>
        <w:spacing w:after="160" w:line="250"/>
        <w:rPr>
          <w:sz w:val="18"/>
          <w:szCs w:val="18"/>
        </w:rPr>
      </w:pPr>
      <w:r>
        <w:t xml:space="preserve">1. Statistics Norway, </w:t>
      </w:r>
      <w:hyperlink w:history="1" r:id="rIdo185wympsnuoba7iromzv">
        <w:r>
          <w:rPr>
            <w:color w:val="000000"/>
          </w:rPr>
          <w:t xml:space="preserve">Barnehager</w:t>
        </w:r>
      </w:hyperlink>
      <w:r>
        <w:t xml:space="preserve">, updated 27 February 2026, tables 1, 2 and 4 and definitions. Age at year-end; place held or paid for at 15 December. Ownership counts refer to institutions, not children.</w:t>
      </w:r>
    </w:p>
    <w:p>
      <w:pPr>
        <w:widowControl/>
        <w:spacing w:after="160" w:line="250"/>
        <w:rPr>
          <w:sz w:val="18"/>
          <w:szCs w:val="18"/>
        </w:rPr>
      </w:pPr>
      <w:r>
        <w:t xml:space="preserve">2. Statistics Norway, </w:t>
      </w:r>
      <w:hyperlink w:history="1" r:id="rIdiwcsgacnkwnasn2mbkzmk">
        <w:r>
          <w:rPr>
            <w:color w:val="000000"/>
          </w:rPr>
          <w:t xml:space="preserve">Barnehager, 2015</w:t>
        </w:r>
      </w:hyperlink>
      <w:r>
        <w:t xml:space="preserve">, published 20 April 2016, headline table, compared with note 1. Changes are 0.9, 9.0 and 4.1 percentage points for the respective age groups.</w:t>
      </w:r>
    </w:p>
    <w:p>
      <w:pPr>
        <w:widowControl/>
        <w:spacing w:after="160" w:line="250"/>
        <w:rPr>
          <w:sz w:val="18"/>
          <w:szCs w:val="18"/>
        </w:rPr>
      </w:pPr>
      <w:r>
        <w:t xml:space="preserve">3. Statistics Norway, </w:t>
      </w:r>
      <w:hyperlink w:history="1" r:id="rIdjm58xsfhcn18cc_jfwpgv">
        <w:r>
          <w:rPr>
            <w:color w:val="000000"/>
          </w:rPr>
          <w:t xml:space="preserve">Barnetilsynsundersøkelsen 2023</w:t>
        </w:r>
      </w:hyperlink>
      <w:r>
        <w:t xml:space="preserve">, Reports 2023/49, definition p. 39, tables 3.1 and 3.4, pp. 45–46 and 49–50. Unweighted observations: 3,156 contracted; 2,686 reported actual. Table 3.4, note 1, explains missing actual-time information. The percentages are survey results, not directly observed attendance.</w:t>
      </w:r>
    </w:p>
    <w:p>
      <w:pPr>
        <w:pStyle w:val="Heading2"/>
        <w:keepNext/>
        <w:spacing w:after="200" w:before="300"/>
      </w:pPr>
      <w:r>
        <w:t xml:space="preserve">18. The State Beside the Family</w:t>
      </w:r>
    </w:p>
    <w:p>
      <w:pPr>
        <w:widowControl/>
        <w:spacing w:after="160" w:line="250"/>
        <w:rPr>
          <w:sz w:val="18"/>
          <w:szCs w:val="18"/>
        </w:rPr>
      </w:pPr>
      <w:r>
        <w:t xml:space="preserve">1. Norwegian Directorate for Education and Training, </w:t>
      </w:r>
      <w:hyperlink w:history="1" r:id="rIda0x382-ab5muj8rqurjpo">
        <w:r>
          <w:rPr>
            <w:color w:val="000000"/>
          </w:rPr>
          <w:t xml:space="preserve">Rammeplan for barnehagen, Nærmiljø og samfunn</w:t>
        </w:r>
      </w:hyperlink>
      <w:r>
        <w:t xml:space="preserve">, third introductory paragraph and learning aims. Read 6 September 2026. The requirement concerns knowledge of national minorities; it does not establish any child's religious practice.</w:t>
      </w:r>
    </w:p>
    <w:p>
      <w:pPr>
        <w:widowControl/>
        <w:spacing w:after="160" w:line="250"/>
        <w:rPr>
          <w:sz w:val="18"/>
          <w:szCs w:val="18"/>
        </w:rPr>
      </w:pPr>
      <w:r>
        <w:t xml:space="preserve">2. Norwegian Directorate for Education and Training, </w:t>
      </w:r>
      <w:hyperlink w:history="1" r:id="rIdq8jyfrfeegh7u5dgz0gi3">
        <w:r>
          <w:rPr>
            <w:color w:val="000000"/>
          </w:rPr>
          <w:t xml:space="preserve">Overordnet del, 1.2 Identitet og kulturelt mangfold</w:t>
        </w:r>
      </w:hyperlink>
      <w:r>
        <w:t xml:space="preserve">, paragraph naming the five national minorities. This is the curriculum's statement about cultural heritage and educational responsibility.</w:t>
      </w:r>
    </w:p>
    <w:p>
      <w:pPr>
        <w:widowControl/>
        <w:spacing w:after="160" w:line="250"/>
        <w:rPr>
          <w:sz w:val="18"/>
          <w:szCs w:val="18"/>
        </w:rPr>
      </w:pPr>
      <w:r>
        <w:t xml:space="preserve">3. Directorate for Education and Training, </w:t>
      </w:r>
      <w:hyperlink w:history="1" r:id="rId9se5yrzcimaqxsg1h6muf">
        <w:r>
          <w:rPr>
            <w:color w:val="000000"/>
          </w:rPr>
          <w:t xml:space="preserve">Rammeplan, Hjemmel</w:t>
        </w:r>
      </w:hyperlink>
      <w:r>
        <w:t xml:space="preserve">: adopted 24 April 2017, effective 1 August 2017; and </w:t>
      </w:r>
      <w:hyperlink w:history="1" r:id="rIdeab56orf9bvy2mln_madb">
        <w:r>
          <w:rPr>
            <w:color w:val="000000"/>
          </w:rPr>
          <w:t xml:space="preserve">Om overordnet del</w:t>
        </w:r>
      </w:hyperlink>
      <w:r>
        <w:t xml:space="preserve">, current introduction, first paragraph: royal resolution 22 May 2026, Education Act § 1-4. These dates must not be exchanged. Current web texts are not evidence of classroom practice in the author's childhood.</w:t>
      </w:r>
    </w:p>
    <w:p>
      <w:pPr>
        <w:widowControl/>
        <w:spacing w:after="160" w:line="250"/>
        <w:rPr>
          <w:sz w:val="18"/>
          <w:szCs w:val="18"/>
        </w:rPr>
      </w:pPr>
      <w:r>
        <w:t xml:space="preserve">4. </w:t>
      </w:r>
      <w:hyperlink w:history="1" r:id="rId-uu1x6mloczfehqmclh98">
        <w:r>
          <w:rPr>
            <w:color w:val="000000"/>
          </w:rPr>
          <w:t xml:space="preserve">Kindergarten Act, § 1</w:t>
        </w:r>
      </w:hyperlink>
      <w:r>
        <w:t xml:space="preserve">, official Norwegian text reproduced by the Directorate from Lovdata; read 6 September 2026. English descriptions in this chapter are paraphrases, not an official translation. Danning has a broader educational meaning than religious instruction.</w:t>
      </w:r>
    </w:p>
    <w:p>
      <w:pPr>
        <w:widowControl/>
        <w:spacing w:after="160" w:line="250"/>
        <w:rPr>
          <w:sz w:val="18"/>
          <w:szCs w:val="18"/>
        </w:rPr>
      </w:pPr>
      <w:r>
        <w:t xml:space="preserve">5. </w:t>
      </w:r>
      <w:hyperlink w:history="1" r:id="rIdprb28365xxh3akq1sicdw">
        <w:r>
          <w:rPr>
            <w:color w:val="000000"/>
          </w:rPr>
          <w:t xml:space="preserve">Kindergarten Act, § 2</w:t>
        </w:r>
      </w:hyperlink>
      <w:r>
        <w:t xml:space="preserve">, especially paragraphs 3–6. The current page records an amendment of 20 June 2025 taking effect on 1 August 2026. No claim is made here about which wording that amendment changed or about achieved outcomes.</w:t>
      </w:r>
    </w:p>
    <w:p>
      <w:pPr>
        <w:widowControl/>
        <w:spacing w:after="160" w:line="250"/>
        <w:rPr>
          <w:sz w:val="18"/>
          <w:szCs w:val="18"/>
        </w:rPr>
      </w:pPr>
      <w:r>
        <w:t xml:space="preserve">6. Directorate for Education and Training, </w:t>
      </w:r>
      <w:hyperlink w:history="1" r:id="rIdb0xka-eq9yvc4ujw-dh01">
        <w:r>
          <w:rPr>
            <w:color w:val="000000"/>
          </w:rPr>
          <w:t xml:space="preserve">Rammeplan, chapter 5: Samarbeid mellom hjem og barnehage</w:t>
        </w:r>
      </w:hyperlink>
      <w:r>
        <w:t xml:space="preserve">, opening four paragraphs. Parental participation and the institution's own mandate appear in the same passage.</w:t>
      </w:r>
    </w:p>
    <w:p>
      <w:pPr>
        <w:widowControl/>
        <w:spacing w:after="160" w:line="250"/>
        <w:rPr>
          <w:sz w:val="18"/>
          <w:szCs w:val="18"/>
        </w:rPr>
      </w:pPr>
      <w:r>
        <w:t xml:space="preserve">7. Directorate for Education and Training, </w:t>
      </w:r>
      <w:hyperlink w:history="1" r:id="rIdc_keffxfknzefa4qvj93h">
        <w:r>
          <w:rPr>
            <w:color w:val="000000"/>
          </w:rPr>
          <w:t xml:space="preserve">Rammeplan: Mangfold og gjensidig respekt</w:t>
        </w:r>
      </w:hyperlink>
      <w:r>
        <w:t xml:space="preserve">, especially paragraphs 3–5. The sentence about reflecting each child's family occurs within the discussion of diverse family forms.</w:t>
      </w:r>
    </w:p>
    <w:p>
      <w:pPr>
        <w:widowControl/>
        <w:spacing w:after="160" w:line="250"/>
        <w:rPr>
          <w:sz w:val="18"/>
          <w:szCs w:val="18"/>
        </w:rPr>
      </w:pPr>
      <w:r>
        <w:t xml:space="preserve">8. Directorate for Education and Training, </w:t>
      </w:r>
      <w:hyperlink w:history="1" r:id="rIdznkr3tga3unt5a_qv-p6y">
        <w:r>
          <w:rPr>
            <w:color w:val="000000"/>
          </w:rPr>
          <w:t xml:space="preserve">Overordnet del, 3.3 Samarbeid mellom hjem og skole</w:t>
        </w:r>
      </w:hyperlink>
      <w:r>
        <w:t xml:space="preserve">, paragraphs 2–5. The text assigns responsibilities; it is not a study measuring the effects of parent–school cooperation.</w:t>
      </w:r>
    </w:p>
    <w:p>
      <w:pPr>
        <w:pStyle w:val="Heading2"/>
        <w:keepNext/>
        <w:spacing w:after="200" w:before="300"/>
      </w:pPr>
      <w:r>
        <w:t xml:space="preserve">19. What the Numbers Refuse to Say</w:t>
      </w:r>
    </w:p>
    <w:p>
      <w:pPr>
        <w:widowControl/>
        <w:spacing w:after="160" w:line="250"/>
        <w:rPr>
          <w:sz w:val="18"/>
          <w:szCs w:val="18"/>
        </w:rPr>
      </w:pPr>
      <w:r>
        <w:t xml:space="preserve">1. Andreas Bjørntvedt, </w:t>
      </w:r>
      <w:hyperlink w:history="1" r:id="rIdae9du5mejjszviipvoznj">
        <w:r>
          <w:rPr>
            <w:color w:val="000000"/>
          </w:rPr>
          <w:t xml:space="preserve">Establishing Faith</w:t>
        </w:r>
      </w:hyperlink>
      <w:r>
        <w:t xml:space="preserve">, Journal of Youth and Theology 24(1), 2025, 118–143; online 23 May 2024. Published abstract consulted; no population-wide estimate is inferred.</w:t>
      </w:r>
    </w:p>
    <w:p>
      <w:pPr>
        <w:widowControl/>
        <w:spacing w:after="160" w:line="250"/>
        <w:rPr>
          <w:sz w:val="18"/>
          <w:szCs w:val="18"/>
        </w:rPr>
      </w:pPr>
      <w:r>
        <w:t xml:space="preserve">2. Thomas Dohmen, Armin Falk, David Huffman and Uwe Sunde, </w:t>
      </w:r>
      <w:hyperlink w:history="1" r:id="rIdhjuvo-1mwmxnta2cblnui">
        <w:r>
          <w:rPr>
            <w:color w:val="000000"/>
          </w:rPr>
          <w:t xml:space="preserve">The Intergenerational Transmission of Risk and Trust Attitudes</w:t>
        </w:r>
      </w:hyperlink>
      <w:r>
        <w:t xml:space="preserve">, The Review of Economic Studies 79(2), 2012, 645–677. Published abstract, also held by </w:t>
      </w:r>
      <w:hyperlink w:history="1" r:id="rIdv9krqcmp6yzb1-9x4i9a2">
        <w:r>
          <w:rPr>
            <w:color w:val="000000"/>
          </w:rPr>
          <w:t xml:space="preserve">Maastricht University</w:t>
        </w:r>
      </w:hyperlink>
      <w:r>
        <w:t xml:space="preserve">. A 2008 working paper is a different version.</w:t>
      </w:r>
    </w:p>
    <w:p>
      <w:pPr>
        <w:widowControl/>
        <w:spacing w:after="160" w:line="250"/>
        <w:rPr>
          <w:sz w:val="18"/>
          <w:szCs w:val="18"/>
        </w:rPr>
      </w:pPr>
      <w:r>
        <w:t xml:space="preserve">3. Christoph Spörlein, Cornelia Kristen and Regine Schmidt, </w:t>
      </w:r>
      <w:hyperlink w:history="1" r:id="rIdgqe40o01femquvg5e6dwo">
        <w:r>
          <w:rPr>
            <w:color w:val="000000"/>
          </w:rPr>
          <w:t xml:space="preserve">The Intergenerational Transmission of Risk and Trust Attitudes: Replicating and Extending Dohmen, Falk, Huffman and Sunde 2012 Using Genetically Informed Twin Data</w:t>
        </w:r>
      </w:hyperlink>
      <w:r>
        <w:t xml:space="preserve">, Social Science Research 119, 2024, 102982, published text, section 2.2 and sections 3–4. The twin models have assumptions; shared environment is not uniformly zero across their specifications.</w:t>
      </w:r>
    </w:p>
    <w:p>
      <w:pPr>
        <w:widowControl/>
        <w:spacing w:after="160" w:line="250"/>
        <w:rPr>
          <w:sz w:val="18"/>
          <w:szCs w:val="18"/>
        </w:rPr>
      </w:pPr>
      <w:r>
        <w:t xml:space="preserve">4. Audrey-Ann Deneault, Natasha J. Cabrera and Jean-François Bureau, </w:t>
      </w:r>
      <w:hyperlink w:history="1" r:id="rId4msnu1id36cgwvmfyyan5">
        <w:r>
          <w:rPr>
            <w:color w:val="000000"/>
          </w:rPr>
          <w:t xml:space="preserve">A Meta-analysis on Observed Paternal and Maternal Sensitivity</w:t>
        </w:r>
      </w:hyperlink>
      <w:r>
        <w:t xml:space="preserve">, Child Development 93(6), 2022, 1631–1648. Published abstract consulted; the overall difference is d = −.27.</w:t>
      </w:r>
    </w:p>
    <w:p>
      <w:pPr>
        <w:widowControl/>
        <w:spacing w:after="160" w:line="250"/>
        <w:rPr>
          <w:sz w:val="18"/>
          <w:szCs w:val="18"/>
        </w:rPr>
      </w:pPr>
      <w:r>
        <w:t xml:space="preserve">5. Øystein Kravdal and Jonathan Wörn, </w:t>
      </w:r>
      <w:hyperlink w:history="1" r:id="rIdj-djjmkpb2thxsupuyqm2">
        <w:r>
          <w:rPr>
            <w:color w:val="000000"/>
          </w:rPr>
          <w:t xml:space="preserve">Mental and Physical Health Trajectories of Norwegian Parents and Children before and after Union Dissolution</w:t>
        </w:r>
      </w:hyperlink>
      <w:r>
        <w:t xml:space="preserve">, Population and Development Review 49(1), 2023, 71–103, Data and methods; Discussion and conclusions, especially Limitations and Implications. The outcome is annual face-to-face GP consultations, not a direct symptom scale.</w:t>
      </w:r>
    </w:p>
    <w:p>
      <w:pPr>
        <w:pStyle w:val="Heading2"/>
        <w:keepNext/>
        <w:spacing w:after="200" w:before="300"/>
      </w:pPr>
      <w:r>
        <w:t xml:space="preserve">21. The Family Is Not a House</w:t>
      </w:r>
    </w:p>
    <w:p>
      <w:pPr>
        <w:widowControl/>
        <w:spacing w:after="160" w:line="250"/>
        <w:rPr>
          <w:sz w:val="18"/>
          <w:szCs w:val="18"/>
        </w:rPr>
      </w:pPr>
      <w:r>
        <w:t xml:space="preserve">1. Statistics Norway, </w:t>
      </w:r>
      <w:hyperlink w:history="1" r:id="rId0sbroy8zbiaytjccjfgay">
        <w:r>
          <w:rPr>
            <w:color w:val="000000"/>
          </w:rPr>
          <w:t xml:space="preserve">Families and households</w:t>
        </w:r>
      </w:hyperlink>
      <w:r>
        <w:t xml:space="preserve">, About the statistics: Definitions, especially Child, Family and Household. Definitions consulted 6 September 2026; the section is dated 3 June 2021. Statistical categories are not treated here as a complete account of kinship or current family law.</w:t>
      </w:r>
    </w:p>
    <w:p>
      <w:pPr>
        <w:widowControl/>
        <w:spacing w:after="160" w:line="250"/>
        <w:rPr>
          <w:sz w:val="18"/>
          <w:szCs w:val="18"/>
        </w:rPr>
      </w:pPr>
      <w:r>
        <w:t xml:space="preserve">2. Photo0078.jpg, photographed family drawing headed Eliah and Rachel Grossman, family collection. The visible sheet is neither signed nor dated. Its relationships are evidence from the family's own record; the photograph is not a civil birth or marriage entry. The chapter describes the document and does not reproduce the image.</w:t>
      </w:r>
    </w:p>
    <w:p>
      <w:pPr>
        <w:pStyle w:val="Heading2"/>
        <w:keepNext/>
        <w:spacing w:after="200" w:before="300"/>
      </w:pPr>
      <w:r>
        <w:t xml:space="preserve">22. The Mid-Century Picture</w:t>
      </w:r>
    </w:p>
    <w:p>
      <w:pPr>
        <w:widowControl/>
        <w:spacing w:after="160" w:line="250"/>
        <w:rPr>
          <w:sz w:val="18"/>
          <w:szCs w:val="18"/>
        </w:rPr>
      </w:pPr>
      <w:r>
        <w:t xml:space="preserve">1. Nasjonalarkivet, </w:t>
      </w:r>
      <w:hyperlink w:history="1" r:id="rIdksg9_b9w37eqy747rp0za">
        <w:r>
          <w:rPr>
            <w:color w:val="000000"/>
          </w:rPr>
          <w:t xml:space="preserve">Folketellingen 1801</w:t>
        </w:r>
      </w:hyperlink>
      <w:r>
        <w:t xml:space="preserve">, institutional description of the census and its collection. Consulted 6 September 2026. This chapter uses that description, not a newly transcribed household entry.</w:t>
      </w:r>
    </w:p>
    <w:p>
      <w:pPr>
        <w:widowControl/>
        <w:spacing w:after="160" w:line="250"/>
        <w:rPr>
          <w:sz w:val="18"/>
          <w:szCs w:val="18"/>
        </w:rPr>
      </w:pPr>
      <w:r>
        <w:t xml:space="preserve">2. Statistisk Sentralbyrå, </w:t>
      </w:r>
      <w:r>
        <w:rPr>
          <w:i/>
          <w:iCs/>
        </w:rPr>
        <w:t xml:space="preserve">Folketelling 1960</w:t>
      </w:r>
      <w:r>
        <w:t xml:space="preserve">, Hefte V: </w:t>
      </w:r>
      <w:r>
        <w:rPr>
          <w:i/>
          <w:iCs/>
        </w:rPr>
        <w:t xml:space="preserve">Husholdninger og familiekjerner</w:t>
      </w:r>
      <w:r>
        <w:t xml:space="preserve">, NOS XII 151 (1964), </w:t>
      </w:r>
      <w:hyperlink w:history="1" r:id="rId8ivuzpcc1lyv9xkrsiljy">
        <w:r>
          <w:rPr>
            <w:color w:val="000000"/>
          </w:rPr>
          <w:t xml:space="preserve">p. 7</w:t>
        </w:r>
      </w:hyperlink>
      <w:r>
        <w:t xml:space="preserve">, definitions and example. Census date: 1 November 1960. The word </w:t>
      </w:r>
      <w:r>
        <w:rPr>
          <w:i/>
          <w:iCs/>
        </w:rPr>
        <w:t xml:space="preserve">pensjonærer</w:t>
      </w:r>
      <w:r>
        <w:t xml:space="preserve"> in this passage denotes boarders, not retirement status.</w:t>
      </w:r>
    </w:p>
    <w:p>
      <w:pPr>
        <w:widowControl/>
        <w:spacing w:after="160" w:line="250"/>
        <w:rPr>
          <w:sz w:val="18"/>
          <w:szCs w:val="18"/>
        </w:rPr>
      </w:pPr>
      <w:r>
        <w:t xml:space="preserve">3. Ragni Hege Kitterød and Marit Rønsen, </w:t>
      </w:r>
      <w:hyperlink w:history="1" r:id="rId6kcgcvowtnqaewhfyp0fb">
        <w:r>
          <w:rPr>
            <w:color w:val="000000"/>
          </w:rPr>
          <w:t xml:space="preserve">Hvem er hjemmearbeidende i dag?</w:t>
        </w:r>
      </w:hyperlink>
      <w:r>
        <w:t xml:space="preserve">, </w:t>
      </w:r>
      <w:r>
        <w:rPr>
          <w:i/>
          <w:iCs/>
        </w:rPr>
        <w:t xml:space="preserve">Samfunnsspeilet</w:t>
      </w:r>
      <w:r>
        <w:t xml:space="preserve"> 2011/1, 28 February 2011, historical introduction and discussion of Hilde Danielsen, </w:t>
      </w:r>
      <w:r>
        <w:rPr>
          <w:i/>
          <w:iCs/>
        </w:rPr>
        <w:t xml:space="preserve">Husmorhistorier</w:t>
      </w:r>
      <w:r>
        <w:t xml:space="preserve"> (2002). Danielsen's original interviews have not been independently checked for this chapter. No prevalence estimate is inferred from them.</w:t>
      </w:r>
    </w:p>
    <w:p>
      <w:pPr>
        <w:widowControl/>
        <w:spacing w:after="160" w:line="250"/>
        <w:rPr>
          <w:sz w:val="18"/>
          <w:szCs w:val="18"/>
        </w:rPr>
      </w:pPr>
      <w:r>
        <w:t xml:space="preserve">4. Arie Back, account of Yeva, Back_familiehistorie_Yeva_norsk.docx, family collection, paragraphs on the home restaurant. Norwegian translation of an English account; translator and English wording have not been fully verified. Paraphrased here without a reconstructed English quotation, customer count or precise business date.</w:t>
      </w:r>
    </w:p>
    <w:p>
      <w:pPr>
        <w:pStyle w:val="Heading2"/>
        <w:keepNext/>
        <w:spacing w:after="200" w:before="300"/>
      </w:pPr>
      <w:r>
        <w:t xml:space="preserve">23. Mothers, Fathers, Parents</w:t>
      </w:r>
    </w:p>
    <w:p>
      <w:pPr>
        <w:widowControl/>
        <w:spacing w:after="160" w:line="250"/>
        <w:rPr>
          <w:sz w:val="18"/>
          <w:szCs w:val="18"/>
        </w:rPr>
      </w:pPr>
      <w:r>
        <w:t xml:space="preserve">1. Anna Sarkadi et al., </w:t>
      </w:r>
      <w:hyperlink w:history="1" r:id="rIdhdfggggawn_hiy7woblyp">
        <w:r>
          <w:rPr>
            <w:color w:val="000000"/>
          </w:rPr>
          <w:t xml:space="preserve">Fathers' involvement and children's developmental outcomes: a systematic review of longitudinal studies</w:t>
        </w:r>
      </w:hyperlink>
      <w:r>
        <w:t xml:space="preserve">, </w:t>
      </w:r>
      <w:r>
        <w:rPr>
          <w:i/>
          <w:iCs/>
        </w:rPr>
        <w:t xml:space="preserve">Acta Paediatrica</w:t>
      </w:r>
      <w:r>
        <w:t xml:space="preserve"> 97 (2008), 153–158. Published text checked in the author's ResearchGate upload.</w:t>
      </w:r>
    </w:p>
    <w:p>
      <w:pPr>
        <w:widowControl/>
        <w:spacing w:after="160" w:line="250"/>
        <w:rPr>
          <w:sz w:val="18"/>
          <w:szCs w:val="18"/>
        </w:rPr>
      </w:pPr>
      <w:r>
        <w:t xml:space="preserve">2. Audrey-Ann Deneault, Natasha J. Cabrera and Jean-François Bureau, </w:t>
      </w:r>
      <w:hyperlink w:history="1" r:id="rIdpomoubnlhpct6f4k_kscw">
        <w:r>
          <w:rPr>
            <w:color w:val="000000"/>
          </w:rPr>
          <w:t xml:space="preserve">A meta-analysis on observed paternal and maternal sensitivity</w:t>
        </w:r>
      </w:hyperlink>
      <w:r>
        <w:t xml:space="preserve">, </w:t>
      </w:r>
      <w:r>
        <w:rPr>
          <w:i/>
          <w:iCs/>
        </w:rPr>
        <w:t xml:space="preserve">Child Development</w:t>
      </w:r>
      <w:r>
        <w:t xml:space="preserve"> 93 (2022), 1631–1648. Published abstract checked; no full-text access is claimed.</w:t>
      </w:r>
    </w:p>
    <w:p>
      <w:pPr>
        <w:widowControl/>
        <w:spacing w:after="160" w:line="250"/>
        <w:rPr>
          <w:sz w:val="18"/>
          <w:szCs w:val="18"/>
        </w:rPr>
      </w:pPr>
      <w:r>
        <w:t xml:space="preserve">3. Brian Conway, Bram Spruyt and José Pereira Coutinho, </w:t>
      </w:r>
      <w:hyperlink w:history="1" r:id="rIdiiqapjpumqkzlmnawd96l">
        <w:r>
          <w:rPr>
            <w:color w:val="000000"/>
          </w:rPr>
          <w:t xml:space="preserve">Individual-Level Determinants of Religious Intergenerational Transmission: Evidence from Catholic Europe</w:t>
        </w:r>
      </w:hyperlink>
      <w:r>
        <w:t xml:space="preserve">, </w:t>
      </w:r>
      <w:r>
        <w:rPr>
          <w:i/>
          <w:iCs/>
        </w:rPr>
        <w:t xml:space="preserve">Sociological Forum</w:t>
      </w:r>
      <w:r>
        <w:t xml:space="preserve"> 38 (2023), 684–707, methods and Model 2. The methods report 9,319 cases; Table I reports 9,313. That discrepancy remains unresolved; the text uses an approximate count.</w:t>
      </w:r>
    </w:p>
    <w:p>
      <w:pPr>
        <w:pStyle w:val="Heading2"/>
        <w:keepNext/>
        <w:spacing w:after="200" w:before="300"/>
      </w:pPr>
      <w:r>
        <w:t xml:space="preserve">24. An Intact Home That Was Not Safe</w:t>
      </w:r>
    </w:p>
    <w:p>
      <w:pPr>
        <w:widowControl/>
        <w:spacing w:after="160" w:line="250"/>
        <w:rPr>
          <w:sz w:val="18"/>
          <w:szCs w:val="18"/>
        </w:rPr>
      </w:pPr>
      <w:r>
        <w:t xml:space="preserve">1. John Stuart Mill, </w:t>
      </w:r>
      <w:r>
        <w:rPr>
          <w:i/>
          <w:iCs/>
        </w:rPr>
        <w:t xml:space="preserve">Autobiography</w:t>
      </w:r>
      <w:r>
        <w:t xml:space="preserve"> (1873), </w:t>
      </w:r>
      <w:hyperlink w:history="1" r:id="rIdyko3jld438bs6cc29kzba">
        <w:r>
          <w:rPr>
            <w:color w:val="000000"/>
          </w:rPr>
          <w:t xml:space="preserve">chapter I, Childhood and Early Education</w:t>
        </w:r>
      </w:hyperlink>
      <w:r>
        <w:t xml:space="preserve">. The narrative details above follow his retrospective account, especially the paragraphs beginning with his birth, his father's work, his first Greek lessons, the Latin teaching and the later political-economy lessons. The age at which Greek began is explicitly reported to him, not his own recollection. Chapter and paragraph openings identify the locations without depending on an edition's pagination.</w:t>
      </w:r>
    </w:p>
    <w:p>
      <w:pPr>
        <w:widowControl/>
        <w:spacing w:after="160" w:line="250"/>
        <w:rPr>
          <w:sz w:val="18"/>
          <w:szCs w:val="18"/>
        </w:rPr>
      </w:pPr>
      <w:r>
        <w:t xml:space="preserve">2. Mill, </w:t>
      </w:r>
      <w:r>
        <w:rPr>
          <w:i/>
          <w:iCs/>
        </w:rPr>
        <w:t xml:space="preserve">Autobiography</w:t>
      </w:r>
      <w:r>
        <w:t xml:space="preserve">, chapter II, Moral Influences in Early Youth: My Father's Character and Opinions, paragraphs beginning “The element which was chiefly deficient” and continuing through the discussion of fear, love and confidence. The happy-childhood statement and the younger children's different relationship are retained. No psychiatric diagnosis or prevalence inference is drawn.</w:t>
      </w:r>
    </w:p>
    <w:p>
      <w:pPr>
        <w:widowControl/>
        <w:spacing w:after="160" w:line="250"/>
        <w:rPr>
          <w:sz w:val="18"/>
          <w:szCs w:val="18"/>
        </w:rPr>
      </w:pPr>
      <w:r>
        <w:t xml:space="preserve">3. Mill, </w:t>
      </w:r>
      <w:r>
        <w:rPr>
          <w:i/>
          <w:iCs/>
        </w:rPr>
        <w:t xml:space="preserve">Autobiography</w:t>
      </w:r>
      <w:r>
        <w:t xml:space="preserve">, chapter II, discussion of James Mill's religious opinions and the paragraph beginning “I am thus one of the very few examples”. </w:t>
      </w:r>
      <w:hyperlink w:history="1" r:id="rIdpkzbqlbpsckxqplli5cxo">
        <w:r>
          <w:rPr>
            <w:color w:val="000000"/>
          </w:rPr>
          <w:t xml:space="preserve">Project Gutenberg's edition record</w:t>
        </w:r>
      </w:hyperlink>
      <w:r>
        <w:t xml:space="preserve"> identifies the English text as public domain in the USA. No modern translation or newly written introduction has been reproduced.</w:t>
      </w:r>
    </w:p>
    <w:p>
      <w:pPr>
        <w:pStyle w:val="Heading2"/>
        <w:keepNext/>
        <w:spacing w:after="200" w:before="300"/>
      </w:pPr>
      <w:r>
        <w:t xml:space="preserve">25. The People Norway Made Smaller</w:t>
      </w:r>
    </w:p>
    <w:p>
      <w:pPr>
        <w:widowControl/>
        <w:spacing w:after="160" w:line="250"/>
        <w:rPr>
          <w:sz w:val="18"/>
          <w:szCs w:val="18"/>
        </w:rPr>
      </w:pPr>
      <w:r>
        <w:t xml:space="preserve">1. Stortinget, </w:t>
      </w:r>
      <w:hyperlink w:history="1" r:id="rIds0muswgipszx5sqhjtcvz">
        <w:r>
          <w:rPr>
            <w:color w:val="000000"/>
          </w:rPr>
          <w:t xml:space="preserve">Innst. 30 S (2024–2025), §1.2.1</w:t>
        </w:r>
      </w:hyperlink>
      <w:r>
        <w:t xml:space="preserve">, historical account of Norwegianisation. The chapter uses this official summary, not independently inspected originals of the nineteenth-century instructions.</w:t>
      </w:r>
    </w:p>
    <w:p>
      <w:pPr>
        <w:widowControl/>
        <w:spacing w:after="160" w:line="250"/>
        <w:rPr>
          <w:sz w:val="18"/>
          <w:szCs w:val="18"/>
        </w:rPr>
      </w:pPr>
      <w:r>
        <w:t xml:space="preserve">2. </w:t>
      </w:r>
      <w:hyperlink w:history="1" r:id="rIdgd3sfw2hlgxsmbf5sztqc">
        <w:r>
          <w:rPr>
            <w:color w:val="000000"/>
          </w:rPr>
          <w:t xml:space="preserve">NOU 2015:7, Assimilering og motstand</w:t>
        </w:r>
      </w:hyperlink>
      <w:r>
        <w:t xml:space="preserve">, chapter 4, especially §§4.1–4.3.3 and 4.5.1. Institutional history and the inquiry's findings; no individual case is reconstructed here. The taterne/romanifolket are not conflated with Roma.</w:t>
      </w:r>
    </w:p>
    <w:p>
      <w:pPr>
        <w:pStyle w:val="Heading2"/>
        <w:keepNext/>
        <w:spacing w:after="200" w:before="300"/>
      </w:pPr>
      <w:r>
        <w:t xml:space="preserve">26. Behind the Closed Door</w:t>
      </w:r>
    </w:p>
    <w:p>
      <w:pPr>
        <w:widowControl/>
        <w:spacing w:after="160" w:line="250"/>
        <w:rPr>
          <w:sz w:val="18"/>
          <w:szCs w:val="18"/>
        </w:rPr>
      </w:pPr>
      <w:r>
        <w:t xml:space="preserve">1. </w:t>
      </w:r>
      <w:hyperlink w:history="1" r:id="rIdmmszq8rapwvukmjbvkqgd">
        <w:r>
          <w:rPr>
            <w:color w:val="000000"/>
          </w:rPr>
          <w:t xml:space="preserve">NOU 2004:23, Barnehjem og spesialskoler under lupen</w:t>
        </w:r>
      </w:hyperlink>
      <w:r>
        <w:t xml:space="preserve">, chapter 12, especially §§12.1.3, 12.6–12.9. The inquiry covers 1945–1980. Its source types and prevalence limits are retained; this chapter reconstructs no individual case.</w:t>
      </w:r>
    </w:p>
    <w:p>
      <w:pPr>
        <w:widowControl/>
        <w:spacing w:after="160" w:line="250"/>
        <w:rPr>
          <w:sz w:val="18"/>
          <w:szCs w:val="18"/>
        </w:rPr>
      </w:pPr>
      <w:r>
        <w:t xml:space="preserve">2. </w:t>
      </w:r>
      <w:hyperlink w:history="1" r:id="rIdgbwdkhgkrdna2hcznpbwr">
        <w:r>
          <w:rPr>
            <w:color w:val="000000"/>
          </w:rPr>
          <w:t xml:space="preserve">St.meld. nr. 44 (2003–2004), Erstatningsordning for krigsbarn og erstatningsordninger for romanifolk/tatere og eldre utdanningsskadelidende samer og kvener</w:t>
        </w:r>
      </w:hyperlink>
      <w:r>
        <w:t xml:space="preserve">, chapter 7 opening; §§7.3, 8.2 and 8.3.4. Used for the government's definition and its account of reported experiences, not as independent verification of every allegation or a description of all wartime children.</w:t>
      </w:r>
    </w:p>
    <w:p>
      <w:pPr>
        <w:widowControl/>
        <w:spacing w:after="160" w:line="250"/>
        <w:rPr>
          <w:sz w:val="18"/>
          <w:szCs w:val="18"/>
        </w:rPr>
      </w:pPr>
      <w:r>
        <w:t xml:space="preserve">3. </w:t>
      </w:r>
      <w:hyperlink w:history="1" r:id="rIdjnke7eojenl45c6ynwtba">
        <w:r>
          <w:rPr>
            <w:color w:val="000000"/>
          </w:rPr>
          <w:t xml:space="preserve">NOU 2003:31, Retten til et liv uten vold</w:t>
        </w:r>
      </w:hyperlink>
      <w:r>
        <w:t xml:space="preserve">, §§7.5.1–7.5.3. A historical assessment of barriers and support needs in 2003, not a statement of present benefit rules or individual advice.</w:t>
      </w:r>
    </w:p>
    <w:p>
      <w:pPr>
        <w:pStyle w:val="Heading2"/>
        <w:keepNext/>
        <w:spacing w:after="200" w:before="300"/>
      </w:pPr>
      <w:r>
        <w:t xml:space="preserve">27. What the Church Did</w:t>
      </w:r>
    </w:p>
    <w:p>
      <w:pPr>
        <w:widowControl/>
        <w:spacing w:after="160" w:line="250"/>
        <w:rPr>
          <w:sz w:val="18"/>
          <w:szCs w:val="18"/>
        </w:rPr>
      </w:pPr>
      <w:r>
        <w:t xml:space="preserve">1. </w:t>
      </w:r>
      <w:hyperlink w:history="1" r:id="rIda1v4_rkjkzkd-o1lrdbf2">
        <w:r>
          <w:rPr>
            <w:color w:val="000000"/>
          </w:rPr>
          <w:t xml:space="preserve">Bispemøtet, protocol of 15–19 October 2012</w:t>
        </w:r>
      </w:hyperlink>
      <w:r>
        <w:t>, BM 037/12, pp.12–14, decision and statement on the church's relationship with Jews during the occupation. Primary evidence for the bishops' 2012 acknowledgement; its account of wartime events is retrospective.</w:t>
      </w:r>
    </w:p>
    <w:p>
      <w:pPr>
        <w:widowControl/>
        <w:spacing w:after="160" w:line="250"/>
        <w:rPr>
          <w:sz w:val="18"/>
          <w:szCs w:val="18"/>
        </w:rPr>
      </w:pPr>
      <w:r>
        <w:t xml:space="preserve">2. </w:t>
      </w:r>
      <w:hyperlink w:history="1" r:id="rIdabgy3aljov9cpzq3dflps">
        <w:r>
          <w:rPr>
            <w:color w:val="000000"/>
          </w:rPr>
          <w:t xml:space="preserve">Den norske kirke i møte med jødedom og jøder</w:t>
        </w:r>
      </w:hyperlink>
      <w:r>
        <w:t xml:space="preserve">, 2024, pp.190–193. A commissioned committee report, not itself an adopted doctrinal statement. Earlier liturgies are described through its historical analysis; the original altar-book editions have not been independently checked for this chapter.</w:t>
      </w:r>
    </w:p>
    <w:p>
      <w:pPr>
        <w:pStyle w:val="Heading2"/>
        <w:keepNext/>
        <w:spacing w:after="200" w:before="300"/>
      </w:pPr>
      <w:r>
        <w:t xml:space="preserve">28. After the Ceremony</w:t>
      </w:r>
    </w:p>
    <w:p>
      <w:pPr>
        <w:widowControl/>
        <w:spacing w:after="160" w:line="250"/>
        <w:rPr>
          <w:sz w:val="18"/>
          <w:szCs w:val="18"/>
        </w:rPr>
      </w:pPr>
      <w:r>
        <w:t xml:space="preserve">1. Church of Norway, </w:t>
      </w:r>
      <w:hyperlink w:history="1" r:id="rIdyuqga4fg_9j6aquq7evdb">
        <w:r>
          <w:rPr>
            <w:color w:val="000000"/>
          </w:rPr>
          <w:t xml:space="preserve">Spørsmål og svar om konfirmasjon</w:t>
        </w:r>
      </w:hyperlink>
      <w:r>
        <w:t xml:space="preserve">, sections on the duration of preparation and its Christian content, read 6 September 2026. This describes the institution's offer; it is not a study of participants' later belief or practice. Approximate annual totals on the page are not used.</w:t>
      </w:r>
    </w:p>
    <w:p>
      <w:pPr>
        <w:widowControl/>
        <w:spacing w:after="160" w:line="250"/>
        <w:rPr>
          <w:sz w:val="18"/>
          <w:szCs w:val="18"/>
        </w:rPr>
      </w:pPr>
      <w:r>
        <w:t xml:space="preserve">2. Church of Norway, </w:t>
      </w:r>
      <w:hyperlink w:history="1" r:id="rIdtb4hls_rqxlr1feox8ia-">
        <w:r>
          <w:rPr>
            <w:color w:val="000000"/>
          </w:rPr>
          <w:t xml:space="preserve">Hva skjer i en dåp i Den norske kirke?</w:t>
        </w:r>
      </w:hyperlink>
      <w:r>
        <w:t xml:space="preserve">, closing paragraph under the detailed description of the rite, read 6 September 2026. The page describes presentation and congregational welcome in many places. No particular household's or congregation's subsequent conduct is inferred.</w:t>
      </w:r>
    </w:p>
    <w:p>
      <w:pPr>
        <w:pStyle w:val="Heading2"/>
        <w:keepNext/>
        <w:spacing w:after="200" w:before="300"/>
      </w:pPr>
      <w:r>
        <w:t xml:space="preserve">29. The Machine That Cast Us</w:t>
      </w:r>
    </w:p>
    <w:p>
      <w:pPr>
        <w:widowControl/>
        <w:spacing w:after="160" w:line="250"/>
        <w:rPr>
          <w:sz w:val="18"/>
          <w:szCs w:val="18"/>
        </w:rPr>
      </w:pPr>
      <w:r>
        <w:t>1. Author's direct confirmation, 6 September 2026: the lion and king images are his own figurative language, expressed here in plainer words. The 2024 scene, the coat and the film figure are sourced in the Prologue, note 1. The author's interest in the rowing chant RO is declared in the author's note. The two labels compared here are the manuscript's own: prayer in the Prologue and creative work in the author's note. No new private detail is added.</w:t>
      </w:r>
    </w:p>
    <w:p>
      <w:pPr>
        <w:widowControl/>
        <w:spacing w:after="160" w:line="250"/>
        <w:rPr>
          <w:sz w:val="18"/>
          <w:szCs w:val="18"/>
        </w:rPr>
      </w:pPr>
      <w:r>
        <w:t xml:space="preserve">2. AFP, "Norway dance to Haaland's beat in 'surreal' World Cup run", </w:t>
      </w:r>
      <w:r>
        <w:rPr>
          <w:i/>
          <w:iCs/>
        </w:rPr>
        <w:t xml:space="preserve">Malay Mail</w:t>
      </w:r>
      <w:r>
        <w:t xml:space="preserve">, 6 July 2026, report and photograph. The image is described, not reproduced. </w:t>
      </w:r>
      <w:hyperlink w:history="1" r:id="rIdauodvyksgef_gqb5wiafi">
        <w:r>
          <w:rPr>
            <w:color w:val="000000"/>
          </w:rPr>
          <w:t xml:space="preserve">Report</w:t>
        </w:r>
      </w:hyperlink>
      <w:r>
        <w:t xml:space="preserve">. Match result checked against </w:t>
      </w:r>
      <w:hyperlink w:history="1" r:id="rIdf-_9yy2jwbee2jpekiri6">
        <w:r>
          <w:rPr>
            <w:color w:val="000000"/>
          </w:rPr>
          <w:t xml:space="preserve">FIFA's official schedule</w:t>
        </w:r>
      </w:hyperlink>
      <w:r>
        <w:t xml:space="preserve">.</w:t>
      </w:r>
    </w:p>
    <w:p>
      <w:pPr>
        <w:widowControl/>
        <w:spacing w:after="160" w:line="250"/>
        <w:rPr>
          <w:sz w:val="18"/>
          <w:szCs w:val="18"/>
        </w:rPr>
      </w:pPr>
      <w:r>
        <w:t xml:space="preserve">3. FIFA, "Norway's Viking Row and French clapping: two sets of fans, one language at FIFA World Cup 2026", 29 June 2026. Movement and creator attribution are taken from the organisation's report and interviews. Its wider claims about unity are not treated as measured social outcomes. </w:t>
      </w:r>
      <w:hyperlink w:history="1" r:id="rIdgr0qhrcaqhk_rbtepsqsn">
        <w:r>
          <w:rPr>
            <w:color w:val="000000"/>
          </w:rPr>
          <w:t xml:space="preserve">Article</w:t>
        </w:r>
      </w:hyperlink>
      <w:r>
        <w:t xml:space="preserve">.</w:t>
      </w:r>
    </w:p>
    <w:p>
      <w:pPr>
        <w:widowControl/>
        <w:spacing w:after="160" w:line="250"/>
        <w:rPr>
          <w:sz w:val="18"/>
          <w:szCs w:val="18"/>
        </w:rPr>
      </w:pPr>
      <w:r>
        <w:t>4. The author's earlier RO account places his experience of the public celebration on a screen. No new domestic scene is reconstructed here. Hilmar's place in the author's response rests on the family recollections used in Chapters 1–3. Interpretations of the public scene are the author's, not attributed motives or beliefs of the participants.</w:t>
      </w:r>
    </w:p>
    <w:p>
      <w:pPr>
        <w:pStyle w:val="Heading2"/>
        <w:keepNext/>
        <w:spacing w:after="200" w:before="300"/>
      </w:pPr>
      <w:r>
        <w:t>30. The Word That Attached Itself</w:t>
      </w:r>
    </w:p>
    <w:p>
      <w:pPr>
        <w:widowControl/>
        <w:spacing w:after="160" w:line="250"/>
        <w:rPr>
          <w:sz w:val="18"/>
          <w:szCs w:val="18"/>
        </w:rPr>
      </w:pPr>
      <w:r>
        <w:t>1. L'Événement-Journal, Québec, 23 June 1939, «Juif américain tué», name form "Paul Valentine Bach"; BAnQ record; article page and OCR reviewed. United Press chain publication; the role, citizenship, and New York claims are contemporaneous press assertions, unverified against primary records.</w:t>
      </w:r>
      <w:r>
        <w:t xml:space="preserve"> The relationship between Valentin and his son Michael follows the family account discussed in chapters 31–32.</w:t>
      </w:r>
    </w:p>
    <w:p>
      <w:pPr>
        <w:widowControl/>
        <w:spacing w:after="160" w:line="250"/>
        <w:rPr>
          <w:sz w:val="18"/>
          <w:szCs w:val="18"/>
        </w:rPr>
      </w:pPr>
      <w:r>
        <w:t xml:space="preserve">2. Jabotinsky Institute, Max Seligman defence file, HT 13–3/10 (item 116300), </w:t>
      </w:r>
      <w:hyperlink w:history="1" r:id="rIdypi_aklxmuirfy-ftozji">
        <w:r>
          <w:rPr>
            <w:color w:val="000000"/>
          </w:rPr>
          <w:t xml:space="preserve">Jabotinsky Institute catalogue</w:t>
        </w:r>
      </w:hyperlink>
      <w:r>
        <w:t xml:space="preserve">, PDF p. 59: appeal dated 3 October 1938 describes the arrest on 20 August 1938 and the operation aimed at Tondowsky. Contextual account on PDF pp. 23–24; those two pages do not carry an explicit document date. The arrest account is the defence's submission. These page placements were visually checked on 6 September 2026.</w:t>
      </w:r>
    </w:p>
    <w:p>
      <w:pPr>
        <w:widowControl/>
        <w:spacing w:after="160" w:line="250"/>
        <w:rPr>
          <w:sz w:val="18"/>
          <w:szCs w:val="18"/>
        </w:rPr>
      </w:pPr>
      <w:r>
        <w:t>3. HT 13–2/2, p. 16: note dated 12 September 1938, name form Kotic, no first name or case number — the identification with Yaakov Kotick is probable, not final. The summons sequence is documented in the Seligman file, including the formal list of 20 September and the letter of 26 September.</w:t>
      </w:r>
    </w:p>
    <w:p>
      <w:pPr>
        <w:widowControl/>
        <w:spacing w:after="160" w:line="250"/>
        <w:rPr>
          <w:sz w:val="18"/>
          <w:szCs w:val="18"/>
        </w:rPr>
      </w:pPr>
      <w:r>
        <w:t xml:space="preserve">4. HT 13–3/10, </w:t>
      </w:r>
      <w:hyperlink w:history="1" r:id="rIdcak8pigaqti_9fie4ujg_">
        <w:r>
          <w:rPr>
            <w:color w:val="000000"/>
          </w:rPr>
          <w:t xml:space="preserve">Jabotinsky Institute catalogue</w:t>
        </w:r>
      </w:hyperlink>
      <w:r>
        <w:t xml:space="preserve">, PDF p. 39: Military Prosecutor, Southern Area, 20 September 1938, forwarding summonses for defence witnesses, including Supernumerary P.C. Valentine Back. This is a formal procedural document. The defence's appeal, PDF pp. 59–60, dated 3 October 1938, distinguishes Elagine, described as the informer, from Supernumerary Back. The appeal is an interested submission, not a neutral court transcript; it does not establish that Back never gave information in another matter. Pages visually checked on 6 September 2026.</w:t>
      </w:r>
    </w:p>
    <w:p>
      <w:pPr>
        <w:widowControl/>
        <w:spacing w:after="160" w:line="250"/>
        <w:rPr>
          <w:sz w:val="18"/>
          <w:szCs w:val="18"/>
        </w:rPr>
      </w:pPr>
      <w:r>
        <w:t xml:space="preserve">5. HT 13–3/10, </w:t>
      </w:r>
      <w:hyperlink w:history="1" r:id="rId0dd7wlurd3ymuja7wmroo">
        <w:r>
          <w:rPr>
            <w:color w:val="000000"/>
          </w:rPr>
          <w:t xml:space="preserve">Jabotinsky Institute catalogue</w:t>
        </w:r>
      </w:hyperlink>
      <w:r>
        <w:t xml:space="preserve">, PDF p. 48, Seligman to CID headquarters, 26 September 1938: he reports receiving information that Back had been discharged from his present employment following the summons request. The letter does not name the dismissing employer; it does not say dismissal from the police. The causal connection is reported by the advocate and is not independently confirmed by a personnel record. PDF p. 37, 20 September 1938, separately reports Back employed with the 2nd Battalion, The King's Own Royal Regiment, Sarafand. Both pages visually checked on 6 September 2026; British personnel corroboration remains open.</w:t>
      </w:r>
    </w:p>
    <w:p>
      <w:pPr>
        <w:widowControl/>
        <w:spacing w:after="160" w:line="250"/>
        <w:rPr>
          <w:sz w:val="18"/>
          <w:szCs w:val="18"/>
        </w:rPr>
      </w:pPr>
      <w:r>
        <w:t>6. King's Own Royal Regiment Museum KO0638/01. Photographic collection metadata placing the 2nd Battalion at Sarafand in September 1938. Corroborates unit, place, and month — does not place Valentin Back. No identification of persons in the photographic material.</w:t>
      </w:r>
    </w:p>
    <w:p>
      <w:pPr>
        <w:widowControl/>
        <w:spacing w:after="160" w:line="250"/>
        <w:rPr>
          <w:sz w:val="18"/>
          <w:szCs w:val="18"/>
        </w:rPr>
      </w:pPr>
      <w:r>
        <w:t>7. Transcribed 2nd King's Own medal roll: no Back, Beck or Valentin found. KOLIB0239, the battalion's printed operational notes: no interpreter named. Palestine Police Force administrative annual report, 1938: none of the searched case names found. The coverage of these publications has not been shown to establish or exclude Back's particular employment.</w:t>
      </w:r>
    </w:p>
    <w:p>
      <w:pPr>
        <w:widowControl/>
        <w:spacing w:after="160" w:line="250"/>
        <w:rPr>
          <w:sz w:val="18"/>
          <w:szCs w:val="18"/>
        </w:rPr>
      </w:pPr>
      <w:r>
        <w:t>8. Appeal draft, 3 October 1938, HT 13–3/10, PDF p. 59: death sentence by military court under the Defence Regulations, reported in the defence's own document. The outcome has not been verified against a contemporary official decision in this work. See note 16 for the British files that could establish the official sequence.</w:t>
      </w:r>
    </w:p>
    <w:p>
      <w:pPr>
        <w:widowControl/>
        <w:spacing w:after="160" w:line="250"/>
        <w:rPr>
          <w:sz w:val="18"/>
          <w:szCs w:val="18"/>
        </w:rPr>
      </w:pPr>
      <w:r>
        <w:t>9. Contemporary press reports and later institutional biographies carry the informer label. The label is an allegation, not an established role merely because it was repeated. Dependence among press reports has not been fully mapped. Davar, 23 June 1939, p. 9, is located but unread in this work; its contents are not cited as evidence.</w:t>
      </w:r>
    </w:p>
    <w:p>
      <w:pPr>
        <w:widowControl/>
        <w:spacing w:after="160" w:line="250"/>
        <w:rPr>
          <w:sz w:val="18"/>
          <w:szCs w:val="18"/>
        </w:rPr>
      </w:pPr>
      <w:r>
        <w:t xml:space="preserve">10. Contemporary discovery report: JTA, </w:t>
      </w:r>
      <w:hyperlink w:history="1" r:id="rIdfw4eixf3a3v2d-krltlz3">
        <w:r>
          <w:rPr>
            <w:color w:val="000000"/>
          </w:rPr>
          <w:t xml:space="preserve">Late Palestine News, archive publication dated 23 June 1939</w:t>
        </w:r>
      </w:hyperlink>
      <w:r>
        <w:t xml:space="preserve">, reports a body found early that day. Its present archive text was read on 6 September 2026; the linked original bulletin and original dateline have not been visually checked in this audit. Discovery and publication dates are not proof of the time of the shooting. The </w:t>
      </w:r>
      <w:hyperlink w:history="1" r:id="rIdy-swphd47wxpiytgvxuvj">
        <w:r>
          <w:rPr>
            <w:color w:val="000000"/>
          </w:rPr>
          <w:t xml:space="preserve">Israeli National Insurance memorial record for Valentin Back</w:t>
        </w:r>
      </w:hyperlink>
      <w:r>
        <w:t xml:space="preserve">, date field and biography, records 22 June 1939 and Kiryat Motzkin. This is a retrospective institutional record, not a contemporary death certificate. Exact time of death remains unverified. WO 32/9500 (Palestine operations, April–July 1939) is catalogue-checked and unopened. The memorial also refers to a confession in 1940. No contemporary original has been checked here, so that account is not treated as established.</w:t>
      </w:r>
    </w:p>
    <w:p>
      <w:pPr>
        <w:widowControl/>
        <w:spacing w:after="160" w:line="250"/>
        <w:rPr>
          <w:sz w:val="18"/>
          <w:szCs w:val="18"/>
        </w:rPr>
      </w:pPr>
      <w:r>
        <w:t>11. Israel Rokach, mayor of Tel Aviv, four-page letter to the High Commissioner, 9 November 1942; HT 13–3/10, PDF pp. 101–104. Clemency/advocacy context; outside the defence office but not a neutral judicial finding; basis beyond his stated conversations unknown. Spellings Elagine/Eliegin vary across the sources; the variant Tondovsky also occurs. The letter is preserved within the defence file.</w:t>
      </w:r>
    </w:p>
    <w:p>
      <w:pPr>
        <w:widowControl/>
        <w:spacing w:after="160" w:line="250"/>
        <w:rPr>
          <w:sz w:val="18"/>
          <w:szCs w:val="18"/>
        </w:rPr>
      </w:pPr>
      <w:r>
        <w:t xml:space="preserve">12. </w:t>
      </w:r>
      <w:hyperlink w:history="1" r:id="rIdzuhhinbf_mmklxv4invyo">
        <w:r>
          <w:rPr>
            <w:color w:val="000000"/>
          </w:rPr>
          <w:t xml:space="preserve">Lehi Heritage Association biography, Yaakov Kotick, “Shraga”</w:t>
        </w:r>
      </w:hyperlink>
      <w:r>
        <w:t xml:space="preserve">, paragraph beginning “מי שמסר לבולשת”, read directly on 6 September 2026. Its wording “מיד לאחר גזר דין המוות שהוטל על יעקב” is translated here as “immediately after the death sentence imposed on Yaakov”. This is the retrospective biographer's wording, not a quotation from Kotick's oral-history interview. Jabotinsky scan 72124, PDF p. 90, printed p. 3, instead says “כעבור חדשים מספר”, after some months, and is not evidence for “immediately”. Only the one named memorial biography supports the timing criticism here. The interval from 3 October 1938 to late June 1939 is about 8.5 months. A causal interpretation of the memorial wording remains undocumented, not disproved.</w:t>
      </w:r>
    </w:p>
    <w:p>
      <w:pPr>
        <w:widowControl/>
        <w:spacing w:after="160" w:line="250"/>
        <w:rPr>
          <w:sz w:val="18"/>
          <w:szCs w:val="18"/>
        </w:rPr>
      </w:pPr>
      <w:r>
        <w:t>13. Hebrew University of Jerusalem, oral-history interview by Israel Oron with Yaakov Kotick, conducted before 13 July 1992; transcript p. 5; audio part A c. 38:38–38:45. Only the excerpt has been checked; Valentin Back is not named in it; absence of a name does not establish absence of suspicion. This excerpt is kept separate from the press and memorial accounts.</w:t>
      </w:r>
    </w:p>
    <w:p>
      <w:pPr>
        <w:widowControl/>
        <w:spacing w:after="160" w:line="250"/>
        <w:rPr>
          <w:sz w:val="18"/>
          <w:szCs w:val="18"/>
        </w:rPr>
      </w:pPr>
      <w:r>
        <w:t>14. The name searches concern the Palestine Police Force administrative annual report for 1938, KOLIB0239 and the transcribed 2nd King's Own medal roll. Their negative results do not establish absence from records outside those publications.</w:t>
      </w:r>
    </w:p>
    <w:p>
      <w:pPr>
        <w:widowControl/>
        <w:spacing w:after="160" w:line="250"/>
        <w:rPr>
          <w:sz w:val="18"/>
          <w:szCs w:val="18"/>
        </w:rPr>
      </w:pPr>
      <w:r>
        <w:t>15. Unopened, catalogue-checked files include The National Archives, CO 733/402/14 (capital-sentence returns, 1938–1939), CO 733/379/11 (military-court death sentences, 1938), WO 32/9498 (operations, 1 August–31 October 1938), CO 733/359/10 (CID bulletins), CO 733/359/1 (Jewish supernumeraries) and WO 32/9500 (operations, 1 April–30 July 1939). Additional leads include the BW150 series, King's Own Museum KO0622 and KO1832 items, and MC/100/157 in the Tegart Collection. No case-bearing British file has been read for this account. The Jabotinsky catalogue's Valentin Beck is an index spelling; read document pages govern quotations from those pages. The account rests on the defence archive, Rokach's stated inquiry, contemporary press and later recollection. These sources have different purposes and are not all independent.</w:t>
      </w:r>
    </w:p>
    <w:p>
      <w:pPr>
        <w:pStyle w:val="Heading2"/>
        <w:keepNext/>
        <w:spacing w:after="200" w:before="300"/>
      </w:pPr>
      <w:r>
        <w:t xml:space="preserve">31. Who Gets to Say We</w:t>
      </w:r>
    </w:p>
    <w:p>
      <w:pPr>
        <w:widowControl/>
        <w:spacing w:after="160" w:line="250"/>
        <w:rPr>
          <w:sz w:val="18"/>
          <w:szCs w:val="18"/>
        </w:rPr>
      </w:pPr>
      <w:r>
        <w:t xml:space="preserve">1. Arie Back, account of Yeva, Norwegian translation, introduction; "YEVA BACK"; paragraphs on reading during the afternoon rest, Victor and Valentin, the home restaurant, and breakfast and the dog. The prose paraphrases the checked Norwegian translation. It does not offer English quotations from an unchecked original. The character judgements are Arie's recollections, qualified by his own account of consultation with Elisheva.</w:t>
      </w:r>
    </w:p>
    <w:p>
      <w:pPr>
        <w:widowControl/>
        <w:spacing w:after="160" w:line="250"/>
        <w:rPr>
          <w:sz w:val="18"/>
          <w:szCs w:val="18"/>
        </w:rPr>
      </w:pPr>
      <w:r>
        <w:t xml:space="preserve">2. Grossman family drawing, Photo0078.jpg, visually checked. The sheet visibly places Hava/Yeva Back below Eliah and Rachel Grossman. The image does not establish a date or signature. It is a family diagram rather than a civil registration record.</w:t>
      </w:r>
    </w:p>
    <w:p>
      <w:pPr>
        <w:widowControl/>
        <w:spacing w:after="160" w:line="250"/>
        <w:rPr>
          <w:sz w:val="18"/>
          <w:szCs w:val="18"/>
        </w:rPr>
      </w:pPr>
      <w:r>
        <w:t xml:space="preserve">3. Collected family documents, Norwegian translation, Arie's email to Tor Hilmar Årnes, 13 September 2003, paragraph beginning "Nå til familiehistorien"; "Points concerning the history of my grandfather Pavel", points 4, 7 and 20–23. Name explanations, recollected domestic practice and subsequently gathered information are attributed to their respective speakers. These texts share Arie's testimony and are not counted as separate independent witnesses to every relationship.</w:t>
      </w:r>
    </w:p>
    <w:p>
      <w:pPr>
        <w:pStyle w:val="Heading2"/>
        <w:keepNext/>
        <w:spacing w:after="200" w:before="300"/>
      </w:pPr>
      <w:r>
        <w:t xml:space="preserve">32. Blood, Practice and Witness</w:t>
      </w:r>
    </w:p>
    <w:p>
      <w:pPr>
        <w:widowControl/>
        <w:spacing w:after="160" w:line="250"/>
        <w:rPr>
          <w:sz w:val="18"/>
          <w:szCs w:val="18"/>
        </w:rPr>
      </w:pPr>
      <w:r>
        <w:t xml:space="preserve">1. Arie Back's account of Yeva and correspondence to Tor Hilmar Årnes, including 13 September 2003; </w:t>
      </w:r>
      <w:r>
        <w:rPr>
          <w:i/>
          <w:iCs/>
        </w:rPr>
        <w:t xml:space="preserve">Back_familiehistorie_Yeva_norsk.docx</w:t>
      </w:r>
      <w:r>
        <w:t xml:space="preserve"> and </w:t>
      </w:r>
      <w:r>
        <w:rPr>
          <w:i/>
          <w:iCs/>
        </w:rPr>
        <w:t xml:space="preserve">Samlede_familiedokumenter_norsk.docx</w:t>
      </w:r>
      <w:r>
        <w:t xml:space="preserve">. Family drawing Photo0078.jpg, headed “Eliah and Rachel Grossman”. Source distinctions and locators are given in chapter 31 and in the project's Arie Back source check dated 6 September 2026. The present text uses attributed paraphrase, not quotations from an unchecked English original.</w:t>
      </w:r>
    </w:p>
    <w:p>
      <w:pPr>
        <w:widowControl/>
        <w:spacing w:after="160" w:line="250"/>
        <w:rPr>
          <w:sz w:val="18"/>
          <w:szCs w:val="18"/>
        </w:rPr>
      </w:pPr>
      <w:r>
        <w:t>2. Hilmar material: the recorded interview of 30 July 2026 and the family's review of it, family collection; chapters 1–3. Michael's journeys and the author's memories: the author's own written account, family collection; chapters 4–6.</w:t>
      </w:r>
      <w:r>
        <w:rPr>
          <w:i/>
          <w:iCs/>
        </w:rPr>
      </w:r>
      <w:r/>
      <w:r>
        <w:rPr>
          <w:i/>
          <w:iCs/>
        </w:rPr>
      </w:r>
      <w:r/>
      <w:r>
        <w:rPr>
          <w:i/>
          <w:iCs/>
        </w:rPr>
      </w:r>
      <w:r/>
    </w:p>
    <w:p>
      <w:pPr>
        <w:widowControl/>
        <w:spacing w:after="160" w:line="250"/>
        <w:rPr>
          <w:sz w:val="18"/>
          <w:szCs w:val="18"/>
        </w:rPr>
      </w:pPr>
      <w:r>
        <w:t xml:space="preserve">3. Gerda's letter, 23 May 1947, </w:t>
      </w:r>
      <w:r>
        <w:rPr>
          <w:i/>
          <w:iCs/>
        </w:rPr>
        <w:t xml:space="preserve">Jewish ancestery.pdf</w:t>
      </w:r>
      <w:r>
        <w:t xml:space="preserve">, pp. 7–8; original 2004 Parents' Letter, image 1000025846.jpg. Both documents visually checked in this production round. Their purposes and the sources of authorship are kept distinct in chapters 4 and 6.</w:t>
      </w:r>
    </w:p>
    <w:p>
      <w:pPr>
        <w:pStyle w:val="Heading2"/>
        <w:keepNext/>
        <w:spacing w:after="200" w:before="300"/>
      </w:pPr>
      <w:r>
        <w:t xml:space="preserve">33. Norway Is Not the Kingdom</w:t>
      </w:r>
    </w:p>
    <w:p>
      <w:pPr>
        <w:widowControl/>
        <w:spacing w:after="160" w:line="250"/>
        <w:rPr>
          <w:sz w:val="18"/>
          <w:szCs w:val="18"/>
        </w:rPr>
      </w:pPr>
      <w:r>
        <w:t xml:space="preserve">1. Storting, </w:t>
      </w:r>
      <w:hyperlink w:history="1" r:id="rIdw-amp0rddrhgveakjehhz">
        <w:r>
          <w:rPr>
            <w:color w:val="000000"/>
          </w:rPr>
          <w:t xml:space="preserve">*The Constitution of the Kingdom of Norway*, English translation, May 2018</w:t>
        </w:r>
      </w:hyperlink>
      <w:r>
        <w:t xml:space="preserve">, Article 2, PDF p. 1. The same Norwegian wording is quoted in the committee recommendation </w:t>
      </w:r>
      <w:hyperlink w:history="1" r:id="rId2g-rvzj3xctdefayetm48">
        <w:r>
          <w:rPr>
            <w:color w:val="000000"/>
          </w:rPr>
          <w:t xml:space="preserve">Innst. 467 S (2025–2026), 16 June 2026</w:t>
        </w:r>
      </w:hyperlink>
      <w:r>
        <w:t xml:space="preserve">. This chapter quotes the identified English edition; the committee recommendation is not presented as the result of a parliamentary vote.</w:t>
      </w:r>
    </w:p>
    <w:p>
      <w:pPr>
        <w:widowControl/>
        <w:spacing w:after="160" w:line="250"/>
        <w:rPr>
          <w:sz w:val="18"/>
          <w:szCs w:val="18"/>
        </w:rPr>
      </w:pPr>
      <w:r>
        <w:t xml:space="preserve">2. Grossman family diagram, Photo0078.jpg, undated and unsigned in the visible image; Arie Back's account of Yeva, Norwegian translation, introduction and section "YEVA BACK". These are family testimony and a family diagram. The religious practice of a named person is not established by the drawing.</w:t>
      </w:r>
    </w:p>
    <w:p>
      <w:pPr>
        <w:widowControl/>
        <w:spacing w:after="160" w:line="250"/>
        <w:rPr>
          <w:sz w:val="18"/>
          <w:szCs w:val="18"/>
        </w:rPr>
      </w:pPr>
      <w:r>
        <w:t xml:space="preserve">3. Romans 11:1–2, 17–22, </w:t>
      </w:r>
      <w:hyperlink w:history="1" r:id="rId5bzbrayo5u-rq9mt5pdmf">
        <w:r>
          <w:rPr>
            <w:color w:val="000000"/>
          </w:rPr>
          <w:t xml:space="preserve">Evangelical Heritage Version (EHV)</w:t>
        </w:r>
      </w:hyperlink>
      <w:r>
        <w:t xml:space="preserve">. The discussion is the author's Christian reading of Paul's argument, not a statement on behalf of Jewish religious communities.</w:t>
      </w:r>
    </w:p>
    <w:p>
      <w:pPr>
        <w:widowControl/>
        <w:spacing w:after="160" w:line="250"/>
        <w:rPr>
          <w:sz w:val="18"/>
          <w:szCs w:val="18"/>
        </w:rPr>
      </w:pPr>
      <w:r>
        <w:t xml:space="preserve">4. Philippians 3:4–9, 20–21, </w:t>
      </w:r>
      <w:hyperlink w:history="1" r:id="rIdtaqpchruvdavn37hj-huo">
        <w:r>
          <w:rPr>
            <w:color w:val="000000"/>
          </w:rPr>
          <w:t xml:space="preserve">EHV</w:t>
        </w:r>
      </w:hyperlink>
      <w:r>
        <w:t xml:space="preserve">.</w:t>
      </w:r>
    </w:p>
    <w:p>
      <w:pPr>
        <w:widowControl/>
        <w:spacing w:after="160" w:line="250"/>
        <w:rPr>
          <w:sz w:val="18"/>
          <w:szCs w:val="18"/>
        </w:rPr>
      </w:pPr>
      <w:r>
        <w:t xml:space="preserve">5. John 18:33–38, particularly verse 36, </w:t>
      </w:r>
      <w:hyperlink w:history="1" r:id="rIdwoipyqxgpxwngyff97gx8">
        <w:r>
          <w:rPr>
            <w:color w:val="000000"/>
          </w:rPr>
          <w:t xml:space="preserve">EHV</w:t>
        </w:r>
      </w:hyperlink>
      <w:r>
        <w:t xml:space="preserve">. Biblical paraphrases in this chapter were checked against EHV; they are not presented as verbatim quotations.</w:t>
      </w:r>
    </w:p>
    <w:p>
      <w:pPr>
        <w:pStyle w:val="Heading2"/>
        <w:keepNext/>
        <w:spacing w:after="200" w:before="300"/>
      </w:pPr>
      <w:r>
        <w:t xml:space="preserve">34. The Family Under Judgement</w:t>
      </w:r>
    </w:p>
    <w:p>
      <w:pPr>
        <w:widowControl/>
        <w:spacing w:after="160" w:line="250"/>
        <w:rPr>
          <w:sz w:val="18"/>
          <w:szCs w:val="18"/>
        </w:rPr>
      </w:pPr>
      <w:r>
        <w:t xml:space="preserve">1. Mark 3:19–20, 31–35, </w:t>
      </w:r>
      <w:hyperlink w:history="1" r:id="rIdhfverjh5crsvbe4yt3xug">
        <w:r>
          <w:rPr>
            <w:color w:val="000000"/>
          </w:rPr>
          <w:t xml:space="preserve">EHV</w:t>
        </w:r>
      </w:hyperlink>
      <w:r>
        <w:t xml:space="preserve">. The discussion follows the described relations and Jesus' response; it does not assign an unreported motive to his mother or brothers.</w:t>
      </w:r>
    </w:p>
    <w:p>
      <w:pPr>
        <w:widowControl/>
        <w:spacing w:after="160" w:line="250"/>
        <w:rPr>
          <w:sz w:val="18"/>
          <w:szCs w:val="18"/>
        </w:rPr>
      </w:pPr>
      <w:r>
        <w:t xml:space="preserve">2. Ephesians 6:1–4, </w:t>
      </w:r>
      <w:hyperlink w:history="1" r:id="rIdr3spnvfsbdksxgqdc2gbo">
        <w:r>
          <w:rPr>
            <w:color w:val="000000"/>
          </w:rPr>
          <w:t xml:space="preserve">EHV</w:t>
        </w:r>
      </w:hyperlink>
      <w:r>
        <w:t xml:space="preserve">. The application to parental responsibility is the author's Christian argument.</w:t>
      </w:r>
    </w:p>
    <w:p>
      <w:pPr>
        <w:widowControl/>
        <w:spacing w:after="160" w:line="250"/>
        <w:rPr>
          <w:sz w:val="18"/>
          <w:szCs w:val="18"/>
        </w:rPr>
      </w:pPr>
      <w:r>
        <w:t xml:space="preserve">3. Mark 10:2–12, </w:t>
      </w:r>
      <w:hyperlink w:history="1" r:id="rIdra9cypifobsx165az16zz">
        <w:r>
          <w:rPr>
            <w:color w:val="000000"/>
          </w:rPr>
          <w:t xml:space="preserve">EHV</w:t>
        </w:r>
      </w:hyperlink>
      <w:r>
        <w:t xml:space="preserve">. This chapter does not claim to resolve every Christian dispute about separation, divorce and remarriage or to assess any reader's marriage.</w:t>
      </w:r>
    </w:p>
    <w:p>
      <w:pPr>
        <w:widowControl/>
        <w:spacing w:after="160" w:line="250"/>
        <w:rPr>
          <w:sz w:val="18"/>
          <w:szCs w:val="18"/>
        </w:rPr>
      </w:pPr>
      <w:r>
        <w:t xml:space="preserve">4. 1 Corinthians 7:7–16, 25–35, 39–40, </w:t>
      </w:r>
      <w:hyperlink w:history="1" r:id="rIdhtgrdljunpu40keuqn28u">
        <w:r>
          <w:rPr>
            <w:color w:val="000000"/>
          </w:rPr>
          <w:t xml:space="preserve">EHV</w:t>
        </w:r>
      </w:hyperlink>
      <w:r>
        <w:t xml:space="preserve">. Paul's discussion of different circumstances is kept distinct from a modern legal or clinical assessment. Biblical paraphrases were checked against EHV.</w:t>
      </w:r>
    </w:p>
    <w:p>
      <w:pPr>
        <w:widowControl/>
        <w:spacing w:after="160" w:line="250"/>
        <w:rPr>
          <w:sz w:val="18"/>
          <w:szCs w:val="18"/>
        </w:rPr>
      </w:pPr>
      <w:r>
        <w:t xml:space="preserve">5. The reference to Yeva and Pavel recalls the family testimony identified in chapter 31, particularly Arie Back's account of Yeva and the collected family documents, Pavel points 20–23. No religious practice is inferred from kinship or name.</w:t>
      </w:r>
    </w:p>
    <w:p>
      <w:pPr>
        <w:pStyle w:val="Heading2"/>
        <w:keepNext/>
        <w:spacing w:after="200" w:before="300"/>
      </w:pPr>
      <w:r>
        <w:t xml:space="preserve">35. The Hard Sayings</w:t>
      </w:r>
    </w:p>
    <w:p>
      <w:pPr>
        <w:widowControl/>
        <w:spacing w:after="160" w:line="250"/>
        <w:rPr>
          <w:sz w:val="18"/>
          <w:szCs w:val="18"/>
        </w:rPr>
      </w:pPr>
      <w:r>
        <w:t xml:space="preserve">1. Matthew 10:16–23, 34–42, </w:t>
      </w:r>
      <w:hyperlink w:history="1" r:id="rIdj2brnm6glbk8twzebqjrt">
        <w:r>
          <w:rPr>
            <w:color w:val="000000"/>
          </w:rPr>
          <w:t xml:space="preserve">EHV</w:t>
        </w:r>
      </w:hyperlink>
      <w:r>
        <w:t xml:space="preserve">. The quotation is verse 37, checked word for word against EHV. The address to the Twelve, its warning of household conflict, and its instructions about innocence and flight are kept together. The applications are the author's Christian argument, not a claim to identify any present disagreement as persecution.</w:t>
      </w:r>
    </w:p>
    <w:p>
      <w:pPr>
        <w:widowControl/>
        <w:spacing w:after="160" w:line="250"/>
        <w:rPr>
          <w:sz w:val="18"/>
          <w:szCs w:val="18"/>
        </w:rPr>
      </w:pPr>
      <w:r>
        <w:t xml:space="preserve">2. Mark 3:31–35, </w:t>
      </w:r>
      <w:hyperlink w:history="1" r:id="rId52jcxuwilcpdleatjdqq6">
        <w:r>
          <w:rPr>
            <w:color w:val="000000"/>
          </w:rPr>
          <w:t xml:space="preserve">EHV</w:t>
        </w:r>
      </w:hyperlink>
      <w:r>
        <w:t xml:space="preserve">. The scene is treated in chapter 34; no unreported family motive is supplied here.</w:t>
      </w:r>
    </w:p>
    <w:p>
      <w:pPr>
        <w:pStyle w:val="Heading2"/>
        <w:keepNext/>
        <w:spacing w:after="200" w:before="300"/>
      </w:pPr>
      <w:r>
        <w:t xml:space="preserve">36. Reconciliation Begins Elsewhere</w:t>
      </w:r>
    </w:p>
    <w:p>
      <w:pPr>
        <w:widowControl/>
        <w:spacing w:after="160" w:line="250"/>
        <w:rPr>
          <w:sz w:val="18"/>
          <w:szCs w:val="18"/>
        </w:rPr>
      </w:pPr>
      <w:r>
        <w:t xml:space="preserve">1. Romans 5:1–11, </w:t>
      </w:r>
      <w:hyperlink w:history="1" r:id="rIdmrxkrk1azsy90g8mqqwyc">
        <w:r>
          <w:rPr>
            <w:color w:val="000000"/>
          </w:rPr>
          <w:t xml:space="preserve">EHV</w:t>
        </w:r>
      </w:hyperlink>
      <w:r>
        <w:t xml:space="preserve">. The chapter distinguishes reconciliation to God from any promised result in a human relationship. The passage is not used to justify preventable harm or to prescribe exposure to danger.</w:t>
      </w:r>
    </w:p>
    <w:p>
      <w:pPr>
        <w:widowControl/>
        <w:spacing w:after="160" w:line="250"/>
        <w:rPr>
          <w:sz w:val="18"/>
          <w:szCs w:val="18"/>
        </w:rPr>
      </w:pPr>
      <w:r>
        <w:t xml:space="preserve">2. 2 Corinthians 5:14–21, </w:t>
      </w:r>
      <w:hyperlink w:history="1" r:id="rIdauvgnbde8pmgwqriztizl">
        <w:r>
          <w:rPr>
            <w:color w:val="000000"/>
          </w:rPr>
          <w:t xml:space="preserve">EHV</w:t>
        </w:r>
      </w:hyperlink>
      <w:r>
        <w:t xml:space="preserve">. In this passage the ministry and appeal concern reconciliation to God. The applications to repentance, truth and the limits of control are the author's Christian argument, not an empirical or therapeutic method.</w:t>
      </w:r>
    </w:p>
    <w:p>
      <w:pPr>
        <w:pStyle w:val="Heading2"/>
        <w:keepNext/>
        <w:spacing w:after="200" w:before="300"/>
      </w:pPr>
      <w:r>
        <w:t xml:space="preserve">37. The Fathers and the Children</w:t>
      </w:r>
    </w:p>
    <w:p>
      <w:pPr>
        <w:widowControl/>
        <w:spacing w:after="160" w:line="250"/>
        <w:rPr>
          <w:sz w:val="18"/>
          <w:szCs w:val="18"/>
        </w:rPr>
      </w:pPr>
      <w:r>
        <w:t xml:space="preserve">1. Malachi 4:5–6, numbered 3:23–24 in the Hebrew text. Quotation from </w:t>
      </w:r>
      <w:hyperlink w:history="1" r:id="rIdzsmqltw-5vix5ip2jrtmq">
        <w:r>
          <w:rPr>
            <w:color w:val="000000"/>
          </w:rPr>
          <w:t xml:space="preserve">EHV</w:t>
        </w:r>
      </w:hyperlink>
      <w:r>
        <w:t xml:space="preserve">, checked word for word, with both directions retained. Hebrew numbering checked against </w:t>
      </w:r>
      <w:hyperlink w:history="1" r:id="rIdutu0p43ig37jafnzu7jdx">
        <w:r>
          <w:rPr>
            <w:color w:val="000000"/>
          </w:rPr>
          <w:t xml:space="preserve">Mechon-Mamre's Malachi 3</w:t>
        </w:r>
      </w:hyperlink>
      <w:r>
        <w:t xml:space="preserve">. EHV renders the closing warning as striking the land with complete destruction. The chapter does not convert it into a forecast about Norway.</w:t>
      </w:r>
    </w:p>
    <w:p>
      <w:pPr>
        <w:widowControl/>
        <w:spacing w:after="160" w:line="250"/>
        <w:rPr>
          <w:sz w:val="18"/>
          <w:szCs w:val="18"/>
        </w:rPr>
      </w:pPr>
      <w:r>
        <w:t xml:space="preserve">2. Matthew 11:7–15 and 17:9–13, </w:t>
      </w:r>
      <w:hyperlink w:history="1" r:id="rId2c-xvruu5tpr27e-86huj">
        <w:r>
          <w:rPr>
            <w:color w:val="000000"/>
          </w:rPr>
          <w:t xml:space="preserve">EHV, Matthew 11</w:t>
        </w:r>
      </w:hyperlink>
      <w:r>
        <w:t xml:space="preserve"> and </w:t>
      </w:r>
      <w:hyperlink w:history="1" r:id="rIdafktgfyzfarogc-xouetk">
        <w:r>
          <w:rPr>
            <w:color w:val="000000"/>
          </w:rPr>
          <w:t xml:space="preserve">Matthew 17</w:t>
        </w:r>
      </w:hyperlink>
      <w:r>
        <w:t xml:space="preserve">. The identification of John and his preparation for Christ precede present application. This chapter states the author's Christian reading, not a claim that all Jewish readers share it.</w:t>
      </w:r>
    </w:p>
    <w:p>
      <w:pPr>
        <w:widowControl/>
        <w:spacing w:after="160" w:line="250"/>
        <w:rPr>
          <w:sz w:val="18"/>
          <w:szCs w:val="18"/>
        </w:rPr>
      </w:pPr>
      <w:r>
        <w:t xml:space="preserve">3. Malachi 2:1–14, 3:5–7 and 4:4, EHV: </w:t>
      </w:r>
      <w:hyperlink w:history="1" r:id="rIdt0kkmmpx4hkhozlwgn4fr">
        <w:r>
          <w:rPr>
            <w:color w:val="000000"/>
          </w:rPr>
          <w:t xml:space="preserve">chapter 2</w:t>
        </w:r>
      </w:hyperlink>
      <w:r>
        <w:t xml:space="preserve">, </w:t>
      </w:r>
      <w:hyperlink w:history="1" r:id="rIdn2ac8oejm1tvcy55rer-m">
        <w:r>
          <w:rPr>
            <w:color w:val="000000"/>
          </w:rPr>
          <w:t xml:space="preserve">chapter 3</w:t>
        </w:r>
      </w:hyperlink>
      <w:r>
        <w:t xml:space="preserve">, </w:t>
      </w:r>
      <w:hyperlink w:history="1" r:id="rIdd6dh6dytfgpkf63cvjlh5">
        <w:r>
          <w:rPr>
            <w:color w:val="000000"/>
          </w:rPr>
          <w:t xml:space="preserve">chapter 4</w:t>
        </w:r>
      </w:hyperlink>
      <w:r>
        <w:t xml:space="preserve">. The discussion does not rest on the contested wording of 2:16. Generational application is theological interpretation, not a finding about Norwegian families.</w:t>
      </w:r>
    </w:p>
    <w:p>
      <w:pPr>
        <w:pStyle w:val="Heading2"/>
        <w:keepNext/>
        <w:spacing w:after="200" w:before="300"/>
      </w:pPr>
      <w:r>
        <w:t xml:space="preserve">38. Turn Towards the Father</w:t>
      </w:r>
    </w:p>
    <w:p>
      <w:pPr>
        <w:widowControl/>
        <w:spacing w:after="160" w:line="250"/>
        <w:rPr>
          <w:sz w:val="18"/>
          <w:szCs w:val="18"/>
        </w:rPr>
      </w:pPr>
      <w:r>
        <w:t xml:space="preserve">1. Ephesians 6:1–4 and Colossians 3:20–21, </w:t>
      </w:r>
      <w:hyperlink w:history="1" r:id="rIddxd5e-uhbrxevx7-bzl4d">
        <w:r>
          <w:rPr>
            <w:color w:val="000000"/>
          </w:rPr>
          <w:t xml:space="preserve">EHV, Ephesians 6</w:t>
        </w:r>
      </w:hyperlink>
      <w:r>
        <w:t xml:space="preserve"> and </w:t>
      </w:r>
      <w:hyperlink w:history="1" r:id="rId05958x2kplvyl0k5dkjt6">
        <w:r>
          <w:rPr>
            <w:color w:val="000000"/>
          </w:rPr>
          <w:t xml:space="preserve">Colossians 3</w:t>
        </w:r>
      </w:hyperlink>
      <w:r>
        <w:t xml:space="preserve">. Commands to children and restraints on fathers are retained together. The applications to honour, memory and safety are the author's Christian argument, not an assessment of a reader's family or a direction to resume contact.</w:t>
      </w:r>
    </w:p>
    <w:p>
      <w:pPr>
        <w:widowControl/>
        <w:spacing w:after="160" w:line="250"/>
        <w:rPr>
          <w:sz w:val="18"/>
          <w:szCs w:val="18"/>
        </w:rPr>
      </w:pPr>
      <w:r>
        <w:t xml:space="preserve">2. Colossians 3:12–17, </w:t>
      </w:r>
      <w:hyperlink w:history="1" r:id="rIdn7h7acqj52bfjufkz5tij">
        <w:r>
          <w:rPr>
            <w:color w:val="000000"/>
          </w:rPr>
          <w:t xml:space="preserve">EHV</w:t>
        </w:r>
      </w:hyperlink>
      <w:r>
        <w:t xml:space="preserve">. Forgiveness is situated within the passage's account of life in Christ. No claim is made that another person's response can be controlled.</w:t>
      </w:r>
    </w:p>
    <w:p>
      <w:pPr>
        <w:pStyle w:val="Heading2"/>
        <w:keepNext/>
        <w:spacing w:after="200" w:before="300"/>
      </w:pPr>
      <w:r>
        <w:t xml:space="preserve">39. When the Other Heart Does Not Turn</w:t>
      </w:r>
    </w:p>
    <w:p>
      <w:pPr>
        <w:widowControl/>
        <w:spacing w:after="160" w:line="250"/>
        <w:rPr>
          <w:sz w:val="18"/>
          <w:szCs w:val="18"/>
        </w:rPr>
      </w:pPr>
      <w:r>
        <w:t xml:space="preserve">1. Romans 12:18, </w:t>
      </w:r>
      <w:hyperlink w:history="1" r:id="rId4xxmfmx_4y2f18nkxddcy">
        <w:r>
          <w:rPr>
            <w:color w:val="000000"/>
          </w:rPr>
          <w:t xml:space="preserve">EHV</w:t>
        </w:r>
      </w:hyperlink>
      <w:r>
        <w:t xml:space="preserve">. The quotation was checked word for word. Both qualifications in the instruction are retained.</w:t>
      </w:r>
    </w:p>
    <w:p>
      <w:pPr>
        <w:widowControl/>
        <w:spacing w:after="160" w:line="250"/>
        <w:rPr>
          <w:sz w:val="18"/>
          <w:szCs w:val="18"/>
        </w:rPr>
      </w:pPr>
      <w:r>
        <w:t xml:space="preserve">2. Romans 12:9–21, EHV. The passage joins sincere love, rejection of evil, shared grief, peace and refusal of personal revenge. Applications to particular relationships are the author's Christian argument, not an assessment of an individual reader's circumstances.</w:t>
      </w:r>
    </w:p>
    <w:p>
      <w:pPr>
        <w:widowControl/>
        <w:spacing w:after="160" w:line="250"/>
        <w:rPr>
          <w:sz w:val="18"/>
          <w:szCs w:val="18"/>
        </w:rPr>
      </w:pPr>
      <w:r>
        <w:t xml:space="preserve">3. 1 Corinthians 15:3–26, 54–58, </w:t>
      </w:r>
      <w:hyperlink w:history="1" r:id="rIdehlw0xfpyhqyglo2xrkmh">
        <w:r>
          <w:rPr>
            <w:color w:val="000000"/>
          </w:rPr>
          <w:t xml:space="preserve">EHV</w:t>
        </w:r>
      </w:hyperlink>
      <w:r>
        <w:t xml:space="preserve">. The resurrection claim is retained in its own theological sense; no particular family outcome is asserted.</w:t>
      </w:r>
    </w:p>
    <w:p>
      <w:pPr>
        <w:pStyle w:val="Heading2"/>
        <w:keepNext/>
        <w:spacing w:after="200" w:before="300"/>
      </w:pPr>
      <w:r>
        <w:t xml:space="preserve">40. The Man Who Stays</w:t>
      </w:r>
    </w:p>
    <w:p>
      <w:pPr>
        <w:widowControl/>
        <w:spacing w:after="160" w:line="250"/>
        <w:rPr>
          <w:sz w:val="18"/>
          <w:szCs w:val="18"/>
        </w:rPr>
      </w:pPr>
      <w:r>
        <w:t xml:space="preserve">1. John 21:1–19, </w:t>
      </w:r>
      <w:hyperlink w:history="1" r:id="rIdizaxixxql3a3ruaweklmu">
        <w:r>
          <w:rPr>
            <w:color w:val="000000"/>
          </w:rPr>
          <w:t xml:space="preserve">EHV</w:t>
        </w:r>
      </w:hyperlink>
      <w:r>
        <w:t xml:space="preserve">. Bread, fish, the invitation to breakfast and the conversation are elements of the Gospel account. No additional sensory detail or reconstructed dialogue is supplied.</w:t>
      </w:r>
    </w:p>
    <w:p>
      <w:pPr>
        <w:widowControl/>
        <w:spacing w:after="160" w:line="250"/>
        <w:rPr>
          <w:sz w:val="18"/>
          <w:szCs w:val="18"/>
        </w:rPr>
      </w:pPr>
      <w:r>
        <w:t xml:space="preserve">2. John 21:20–23, EHV. "You follow me." is quoted from verse 22 and matches the checked EHV wording. The passage distinguishes Jesus' words from the subsequent rumour. Peter's commission is not claimed as the author's office.</w:t>
      </w:r>
    </w:p>
    <w:p>
      <w:pPr>
        <w:widowControl/>
        <w:spacing w:after="160" w:line="250"/>
        <w:rPr>
          <w:sz w:val="18"/>
          <w:szCs w:val="18"/>
        </w:rPr>
      </w:pPr>
      <w:r>
        <w:t xml:space="preserve">3. 1 Corinthians 15:3–26, 54–58, </w:t>
      </w:r>
      <w:hyperlink w:history="1" r:id="rIduzy3yclqeefoalpxpozlk">
        <w:r>
          <w:rPr>
            <w:color w:val="000000"/>
          </w:rPr>
          <w:t xml:space="preserve">EHV</w:t>
        </w:r>
      </w:hyperlink>
      <w:r>
        <w:t xml:space="preserve">. The final instruction follows the resurrection argument. Its application here is theological, not a promise of a successful book, nation or family outcome.</w:t>
      </w:r>
    </w:p>
    <w:p>
      <w:pPr>
        <w:pStyle w:val="Heading2"/>
        <w:keepNext/>
        <w:spacing w:after="200" w:before="300"/>
      </w:pPr>
      <w:r>
        <w:t xml:space="preserve">Epilogue. The Next Room</w:t>
      </w:r>
    </w:p>
    <w:p>
      <w:pPr>
        <w:widowControl/>
        <w:spacing w:after="160" w:line="250"/>
        <w:rPr>
          <w:sz w:val="18"/>
          <w:szCs w:val="18"/>
        </w:rPr>
      </w:pPr>
      <w:r>
        <w:t>1. Author's direct description, 6 September 2026: Sunday Communion, living-room setting, usual participants, Jesus Prayer, Maria's bread research, wine, reading with the author's daughter, songs before and after meals, walks with Elisja. The account describes recurring practice rather than one reconstructed occasion. No particular wording of the Jesus Prayer, recipe ingredients, book title or song text is supplied. The bread is described as the family's adaptation, not as a verified ancient recipe.</w:t>
      </w:r>
      <w:r>
        <w:t xml:space="preserve"> The sentence about the author's son repeats the approved wording of the Prologue and Chapter 7 and adds no new detail. The closing reference to Christ follows John 21, as in Chapter 40.</w:t>
      </w:r>
    </w:p>
    <w:p>
      <w:pPr>
        <w:widowControl/>
        <w:spacing w:after="160" w:line="250"/>
        <w:rPr>
          <w:sz w:val="18"/>
          <w:szCs w:val="18"/>
        </w:rPr>
      </w:pPr>
      <w:r>
        <w:t xml:space="preserve">2. Family accounts and their attribution: chapters 1–6 and 31–32.</w:t>
      </w:r>
    </w:p>
    <w:sectPr>
      <w:footerReference w:type="default" r:id="rId7"/>
      <w:pgSz w:w="8640" w:h="12960" w:orient="portrait"/>
      <w:pgMar w:top="1040" w:right="900" w:bottom="960" w:left="1080" w:header="3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lang w:val="en-GB"/>
      </w:rPr>
    </w:rPrDefault>
    <w:pPrDefault>
      <w:pPr>
        <w:widowControl/>
        <w:spacing w:after="4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Georgia" w:cs="Georgia" w:eastAsia="Georgia" w:hAnsi="Georgia"/>
      <w:b/>
      <w:bCs/>
      <w:sz w:val="38"/>
      <w:szCs w:val="38"/>
    </w:rPr>
  </w:style>
  <w:style w:type="paragraph" w:styleId="Heading2">
    <w:name w:val="Heading 2"/>
    <w:basedOn w:val="Normal"/>
    <w:next w:val="Normal"/>
    <w:qFormat/>
    <w:pPr>
      <w:keepNext/>
      <w:outlineLvl w:val="1"/>
    </w:pPr>
    <w:rPr>
      <w:rFonts w:ascii="Georgia" w:cs="Georgia" w:eastAsia="Georgia" w:hAnsi="Georgia"/>
      <w:b/>
      <w:bCs/>
      <w:sz w:val="30"/>
      <w:szCs w:val="30"/>
    </w:rPr>
  </w:style>
  <w:style w:type="paragraph" w:styleId="Heading3">
    <w:name w:val="Heading 3"/>
    <w:basedOn w:val="Normal"/>
    <w:next w:val="Normal"/>
    <w:qFormat/>
    <w:pPr>
      <w:keepNext/>
      <w:outlineLvl w:val="2"/>
    </w:pPr>
    <w:rPr>
      <w:rFonts w:ascii="Georgia" w:cs="Georgia" w:eastAsia="Georgia" w:hAnsi="Georgia"/>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rwwz6he8ggl-15erid6f" Type="http://schemas.openxmlformats.org/officeDocument/2006/relationships/hyperlink" Target="https://support.tiktok.com/en/using-tiktok/exploring-videos/how-tiktok-recommends-content" TargetMode="External"/><Relationship Id="rId2nw33rubsdm5zsf2au5aq" Type="http://schemas.openxmlformats.org/officeDocument/2006/relationships/hyperlink" Target="https://www.anxiousgeneration.com/book" TargetMode="External"/><Relationship Id="rIdo0lojvvz1blsyyekpvgeh" Type="http://schemas.openxmlformats.org/officeDocument/2006/relationships/hyperlink" Target="https://www.nature.com/articles/d41586-024-00902-2" TargetMode="External"/><Relationship Id="rIdbslhg9m9vqln72lbca0wl" Type="http://schemas.openxmlformats.org/officeDocument/2006/relationships/hyperlink" Target="https://internet.psych.wisc.edu/wp-content/uploads/532-Master/532-UnitPages/Unit-11/Odgers_Nature_2024.pdf" TargetMode="External"/><Relationship Id="rIdyyamsdnqvxubkxdd3zv9v" Type="http://schemas.openxmlformats.org/officeDocument/2006/relationships/hyperlink" Target="https://doi.org/10.1186/s12916-025-03944-z" TargetMode="External"/><Relationship Id="rIduhndu_1gloz9acp71rej6" Type="http://schemas.openxmlformats.org/officeDocument/2006/relationships/hyperlink" Target="https://www.nature.com/articles/s44184-022-00015-6" TargetMode="External"/><Relationship Id="rIdnykqa4yc8mvkrrcg3dbw7" Type="http://schemas.openxmlformats.org/officeDocument/2006/relationships/hyperlink" Target="https://www.frontiersin.org/journals/public-health/articles/10.3389/fpubh.2023.1192788/full" TargetMode="External"/><Relationship Id="rIdnbov8eldiwulwxtfwt8vg" Type="http://schemas.openxmlformats.org/officeDocument/2006/relationships/hyperlink" Target="https://doi.org/10.1177/0044118X251321109" TargetMode="External"/><Relationship Id="rIdupxbbmwqlqx0onoypywok" Type="http://schemas.openxmlformats.org/officeDocument/2006/relationships/hyperlink" Target="https://www.fhi.no/nyheter/2026/ungdom-med-god-psykisk-helse-er-meir-aktive-i-sosiale-grupper-pa-nett/" TargetMode="External"/><Relationship Id="rIde9esdacywfu_zuj7yhtoo" Type="http://schemas.openxmlformats.org/officeDocument/2006/relationships/hyperlink" Target="https://doi.org/10.1093/pubmed/fdaf150" TargetMode="External"/><Relationship Id="rIdw7pirbhnodpi-bxr-zddq" Type="http://schemas.openxmlformats.org/officeDocument/2006/relationships/hyperlink" Target="https://www.fhi.no/nyheter/2026/fann-ingen-samanheng-mellom-skjermtid-og-ungdoms-psykiske-plager/" TargetMode="External"/><Relationship Id="rIdaciqtpyiohn_0m2igupmj" Type="http://schemas.openxmlformats.org/officeDocument/2006/relationships/hyperlink" Target="https://www.fhi.no/en/publ/2024/Screen-use-and-children-and-adolescents-emotional-cognitive-and-motor-development/" TargetMode="External"/><Relationship Id="rIdogntyuun3yk_0w8-yzl7u" Type="http://schemas.openxmlformats.org/officeDocument/2006/relationships/hyperlink" Target="https://hdr.undp.org/system/files/documents/global-report-document/hdr2025reporten.pdf" TargetMode="External"/><Relationship Id="rIdwbsuw5_y_77q7zly63v31" Type="http://schemas.openxmlformats.org/officeDocument/2006/relationships/hyperlink" Target="https://hdr.undp.org/data-center/human-development-index" TargetMode="External"/><Relationship Id="rIdaxdlndjqhrl9kmldmfpwq" Type="http://schemas.openxmlformats.org/officeDocument/2006/relationships/hyperlink" Target="https://www.ssb.no/befolkning/fodte-og-dode/statistikk/dode/artikler/svak-okning-i-forventa-levealder" TargetMode="External"/><Relationship Id="rIdbu6nfjqbnzjy7gcagaao-" Type="http://schemas.openxmlformats.org/officeDocument/2006/relationships/hyperlink" Target="https://www.oecd.org/en/publications/health-at-a-glance-2025_15a55280-en/norway_3b4abde5-en.html" TargetMode="External"/><Relationship Id="rId_gjzur9b8g5l7ztnkbhcy" Type="http://schemas.openxmlformats.org/officeDocument/2006/relationships/hyperlink" Target="https://www.oecd.org/en/publications/health-at-a-glance-2025_8f9e3f98-en/full-report/population-coverage-for-healthcare_5c968b73.html" TargetMode="External"/><Relationship Id="rIdqtdki38h6h1g-tqn7do8a" Type="http://schemas.openxmlformats.org/officeDocument/2006/relationships/hyperlink" Target="https://www.ssb.no/en/sosiale-forhold-og-kriminalitet/levekar/statistikk/livskvalitet" TargetMode="External"/><Relationship Id="rIdygwbdewisbk95_kakjtv4" Type="http://schemas.openxmlformats.org/officeDocument/2006/relationships/hyperlink" Target="https://www.oecd-ilibrary.org/en/publications/oecd-survey-on-drivers-of-trust-in-public-institutions-2026-results_c88c8869-en/norway_b64a529e-en.html" TargetMode="External"/><Relationship Id="rIddyjv81rkhmd9zhrhk_mpd" Type="http://schemas.openxmlformats.org/officeDocument/2006/relationships/hyperlink" Target="https://www.oecd.org/en/publications/oecd-survey-on-drivers-of-trust-in-public-institutions-2026-results_9eb63fec-en/full-report/day-to-day-interactions-with-public-institutions-and-their-implications-for-trust_a84f7740.html" TargetMode="External"/><Relationship Id="rIdu7-ynlutn4ng9b4x3ty3q" Type="http://schemas.openxmlformats.org/officeDocument/2006/relationships/hyperlink" Target="https://www.ssb.no/sosiale-forhold-og-kriminalitet/kriminalitet-og-rettsvesen/statistikk/utsatthet-og-uro-for-lovbrudd-levekarsundersokelsen" TargetMode="External"/><Relationship Id="rId2ooxpewqj12gvzlh0c4i-" Type="http://schemas.openxmlformats.org/officeDocument/2006/relationships/hyperlink" Target="https://www.ssb.no/kultur-og-fritid/religion-og-livssyn/statistikk/den-norske-kirke" TargetMode="External"/><Relationship Id="rIdwpheg4enph0ctwwujn6xx" Type="http://schemas.openxmlformats.org/officeDocument/2006/relationships/hyperlink" Target="https://www.stortinget.no/no/Saker-og-publikasjoner/Publikasjoner/Innstillinger/Stortinget/2025-2026/inns-202526-467s/?all=true" TargetMode="External"/><Relationship Id="rIdktaenvriibwaueyikqtc5" Type="http://schemas.openxmlformats.org/officeDocument/2006/relationships/hyperlink" Target="https://www.stortinget.no/globalassets/pdf/english/constitutionenglish.pdf" TargetMode="External"/><Relationship Id="rIdl7hzk6qzrvymdkiw0-jor" Type="http://schemas.openxmlformats.org/officeDocument/2006/relationships/hyperlink" Target="https://www.kirken.no/globalassets/kirken.no/om-kirken/slik-styres-kirken/kirkeradet/arsmeldinger/%C3%A5rsrapport%20den%20norske%20kirke%202025.pdf" TargetMode="External"/><Relationship Id="rIdwdxxr05jjm7hzhcq29mwm" Type="http://schemas.openxmlformats.org/officeDocument/2006/relationships/hyperlink" Target="https://www.ssb.no/kultur-og-fritid/kultur/kulturstatistikk/tros-og-livssynssamfunn-og-den-norske-kirke/tabeller/tabell-3-medlemmer-i-den-norske-kirke-etter-fylke.per-31.desember" TargetMode="External"/><Relationship Id="rId8z_hntb2syozxeyxji4u3" Type="http://schemas.openxmlformats.org/officeDocument/2006/relationships/hyperlink" Target="https://www.kirken.no/nn-NO/om-kirken/aktuelt/medlemsnedgang%20i%20kirken/" TargetMode="External"/><Relationship Id="rIdruxttf3nzca68ypdm103v" Type="http://schemas.openxmlformats.org/officeDocument/2006/relationships/hyperlink" Target="https://www.kirken.no/nb-NO/dap-i-den-norske-kirke/planlegging-og-bestilling/slik-foregar-en-dap/" TargetMode="External"/><Relationship Id="rIdooidl--aytah6re4tefv9" Type="http://schemas.openxmlformats.org/officeDocument/2006/relationships/hyperlink" Target="https://www.ssb.no/kultur-og-fritid/statistikker/kirke_kostra/aar/2017-05-03" TargetMode="External"/><Relationship Id="rIdugxocwfcsuxurhsxtzio_" Type="http://schemas.openxmlformats.org/officeDocument/2006/relationships/hyperlink" Target="https://www.ssb.no/kultur-og-fritid/religion-og-livssyn/statistikk/den-norske-kirke" TargetMode="External"/><Relationship Id="rIdx1z3qaaplqazgnuiwzeza" Type="http://schemas.openxmlformats.org/officeDocument/2006/relationships/hyperlink" Target="https://www.kirken.no/nb-NO/dap-i-den-norske-kirke/" TargetMode="External"/><Relationship Id="rIdiiijfplld-pawxbgrxplx" Type="http://schemas.openxmlformats.org/officeDocument/2006/relationships/hyperlink" Target="https://www.kirken.no/nb-NO/konfirmasjon-i-den-norske-kirke/sporsmal-og-svar-om-konfirmasjon/" TargetMode="External"/><Relationship Id="rIdl6be3jlki6o17_cusnjjr" Type="http://schemas.openxmlformats.org/officeDocument/2006/relationships/hyperlink" Target="https://www.ssb.no/kultur-og-fritid/religion-og-livssyn/statistikk/den-norske-kirke" TargetMode="External"/><Relationship Id="rIdnhlrxw5wri0ymknd_n1y-" Type="http://schemas.openxmlformats.org/officeDocument/2006/relationships/hyperlink" Target="https://www.kirken.no/nb-NO/begravelse-seremoni-i-den-norske-kirke/hva-skjer-i-en-kirkelig-begravelse/" TargetMode="External"/><Relationship Id="rIdluyy2md6wb8tpfn52tpns" Type="http://schemas.openxmlformats.org/officeDocument/2006/relationships/hyperlink" Target="https://www.kirken.no/nb-NO/begravelse-seremoni-i-den-norske-kirke/" TargetMode="External"/><Relationship Id="rIdspn0ijzzutfncpfitldsl" Type="http://schemas.openxmlformats.org/officeDocument/2006/relationships/hyperlink" Target="https://www.ssb.no/befolkning/barn-familier-og-husholdninger/statistikk/familier-og-husholdninger/artikler/stadig-flere-barn-bor-sammen-med-begge-foreldrene" TargetMode="External"/><Relationship Id="rIdz37rsxfvlmqajna-odcjr" Type="http://schemas.openxmlformats.org/officeDocument/2006/relationships/hyperlink" Target="https://www.ssb.no/befolkning/barn-familier-og-husholdninger/statistikk/familier-og-husholdninger" TargetMode="External"/><Relationship Id="rIdc138ycrcppfpw8k1ci5e-" Type="http://schemas.openxmlformats.org/officeDocument/2006/relationships/hyperlink" Target="https://www.ssb.no/befolkning/fodte-og-dode/statistikk/fodte" TargetMode="External"/><Relationship Id="rIdai3rsgui3uq9yyk7zv4yr" Type="http://schemas.openxmlformats.org/officeDocument/2006/relationships/hyperlink" Target="https://www.ssb.no/befolkning/barn-familier-og-husholdninger/statistikk/ekteskap-og-skilsmisser" TargetMode="External"/><Relationship Id="rIdvpecmkawestxgp6i2ifih" Type="http://schemas.openxmlformats.org/officeDocument/2006/relationships/hyperlink" Target="https://www.ssb.no/en/kultur-og-fritid/artikler-og-publikasjoner/_attachment/143348?_ts=141b5a9f360" TargetMode="External"/><Relationship Id="rIdwoegr9big0qkcaocmowhf" Type="http://schemas.openxmlformats.org/officeDocument/2006/relationships/hyperlink" Target="https://www.ssb.no/kultur-og-fritid/tids-og-mediebruk/statistikk/tidsbruksundersokelsen/artikler/fremdeles-kjonnsforskjeller-i-tidsbruken-til-kvinner-og-menn-i-par" TargetMode="External"/><Relationship Id="rIdcwwmyq9mutqqloss4qmmu" Type="http://schemas.openxmlformats.org/officeDocument/2006/relationships/hyperlink" Target="https://www.ssb.no/kultur-og-fritid/tids-og-mediebruk/statistikk/tidsbruksundersokelsen" TargetMode="External"/><Relationship Id="rIdd2yyl6wu_zev-bprswgca" Type="http://schemas.openxmlformats.org/officeDocument/2006/relationships/hyperlink" Target="https://www.ssb.no/kultur-og-fritid/tids-og-mediebruk/statistikk/tidsbruksundersokelsen/artikler/fedre-med-hoy-utdanning-tilbringer-mest-tid-med-barna" TargetMode="External"/><Relationship Id="rIdxtvjo1tez5os_l-qmuang" Type="http://schemas.openxmlformats.org/officeDocument/2006/relationships/hyperlink" Target="https://www.ssb.no/kultur-og-fritid/tids-og-mediebruk/statistikk/tidsbruksundersokelsen/artikler/vi-bruker-stadig-mindre-tid-pa-husarbeid" TargetMode="External"/><Relationship Id="rIdo185wympsnuoba7iromzv" Type="http://schemas.openxmlformats.org/officeDocument/2006/relationships/hyperlink" Target="https://www.ssb.no/utdanning/barnehager/statistikk/barnehager" TargetMode="External"/><Relationship Id="rIdiwcsgacnkwnasn2mbkzmk" Type="http://schemas.openxmlformats.org/officeDocument/2006/relationships/hyperlink" Target="https://www.ssb.no/utdanning/statistikker/barnehager/aar-endelige/2016-04-20" TargetMode="External"/><Relationship Id="rIdjm58xsfhcn18cc_jfwpgv" Type="http://schemas.openxmlformats.org/officeDocument/2006/relationships/hyperlink" Target="https://www.ssb.no/utdanning/barnehager/artikler/barnetilsynsundersokelsen-2023/_/attachment/inline/20f45a44-73bd-48cb-9e92-f68577d56913%3Adcc14345f9015c4a2355e3b48f176a9d35f7cd4a/RAPP2023-49.pdf" TargetMode="External"/><Relationship Id="rIda0x382-ab5muj8rqurjpo" Type="http://schemas.openxmlformats.org/officeDocument/2006/relationships/hyperlink" Target="https://www.udir.no/laring-og-trivsel/rammeplan-for-barnehagen/fagomrader/narmiljo-samfunn/" TargetMode="External"/><Relationship Id="rIdq8jyfrfeegh7u5dgz0gi3" Type="http://schemas.openxmlformats.org/officeDocument/2006/relationships/hyperlink" Target="https://www.udir.no/lk20/overordnet-del/opplaringens-verdigrunnlag/1.2-identitet-og-kulturelt-mangfold/" TargetMode="External"/><Relationship Id="rId9se5yrzcimaqxsg1h6muf" Type="http://schemas.openxmlformats.org/officeDocument/2006/relationships/hyperlink" Target="https://www.udir.no/laring-og-trivsel/rammeplan-for-barnehagen/Hjemmel/" TargetMode="External"/><Relationship Id="rIdeab56orf9bvy2mln_madb" Type="http://schemas.openxmlformats.org/officeDocument/2006/relationships/hyperlink" Target="https://www.udir.no/lk20/overordnet-del/om-overordnet-del/" TargetMode="External"/><Relationship Id="rId-uu1x6mloczfehqmclh98" Type="http://schemas.openxmlformats.org/officeDocument/2006/relationships/hyperlink" Target="https://www.udir.no/regelverkstolkninger/barnehage/lov-om-barnehager-barnehageloven/kapittel-i-barnehagens-formal-og-innhold/-1.-formal" TargetMode="External"/><Relationship Id="rIdprb28365xxh3akq1sicdw" Type="http://schemas.openxmlformats.org/officeDocument/2006/relationships/hyperlink" Target="https://www.udir.no/regelverkstolkninger/barnehage/lov-om-barnehager-barnehageloven/kapittel-i-barnehagens-formal-og-innhold/-2.-barnehagens-innhold" TargetMode="External"/><Relationship Id="rIdb0xka-eq9yvc4ujw-dh01" Type="http://schemas.openxmlformats.org/officeDocument/2006/relationships/hyperlink" Target="https://www.udir.no/laring-og-trivsel/rammeplan-for-barnehagen/samarbeid-hjem-barnehage/" TargetMode="External"/><Relationship Id="rIdc_keffxfknzefa4qvj93h" Type="http://schemas.openxmlformats.org/officeDocument/2006/relationships/hyperlink" Target="https://www.udir.no/laring-og-trivsel/rammeplan-for-barnehagen/verdigrunnlag/mangfold-og-gjensidig-respekt/" TargetMode="External"/><Relationship Id="rIdznkr3tga3unt5a_qv-p6y" Type="http://schemas.openxmlformats.org/officeDocument/2006/relationships/hyperlink" Target="https://www.udir.no/lk20/overordnet-del/3.-prinsipper-for-skolens-praksis/3.3-samarbeid-mellom-hjem-og-skole/" TargetMode="External"/><Relationship Id="rIdae9du5mejjszviipvoznj" Type="http://schemas.openxmlformats.org/officeDocument/2006/relationships/hyperlink" Target="https://brill.com/view/journals/jyt/aop/article-10.1163-24055093-bja10064/article-10.1163-24055093-bja10064.xml" TargetMode="External"/><Relationship Id="rIdhjuvo-1mwmxnta2cblnui" Type="http://schemas.openxmlformats.org/officeDocument/2006/relationships/hyperlink" Target="https://academic.oup.com/restud/article-abstract/79/2/645/1529541" TargetMode="External"/><Relationship Id="rIdv9krqcmp6yzb1-9x4i9a2" Type="http://schemas.openxmlformats.org/officeDocument/2006/relationships/hyperlink" Target="https://cris.maastrichtuniversity.nl/en/publications/the-intergenerational-transmission-of-risk-and-trust-attitudes/" TargetMode="External"/><Relationship Id="rIdgqe40o01femquvg5e6dwo" Type="http://schemas.openxmlformats.org/officeDocument/2006/relationships/hyperlink" Target="https://docserv.uni-duesseldorf.de/servlets/DerivateServlet/Derivate-73708" TargetMode="External"/><Relationship Id="rId4msnu1id36cgwvmfyyan5" Type="http://schemas.openxmlformats.org/officeDocument/2006/relationships/hyperlink" Target="https://academic.oup.com/chidev/article-abstract/93/6/1631/8255014" TargetMode="External"/><Relationship Id="rIdj-djjmkpb2thxsupuyqm2" Type="http://schemas.openxmlformats.org/officeDocument/2006/relationships/hyperlink" Target="https://onlinelibrary.wiley.com/doi/10.1111/padr.12530" TargetMode="External"/><Relationship Id="rId0sbroy8zbiaytjccjfgay" Type="http://schemas.openxmlformats.org/officeDocument/2006/relationships/hyperlink" Target="https://www.ssb.no/en/befolkning/barn-familier-og-husholdninger/statistikk/familier-og-husholdninger" TargetMode="External"/><Relationship Id="rIdksg9_b9w37eqy747rp0za" Type="http://schemas.openxmlformats.org/officeDocument/2006/relationships/hyperlink" Target="https://www.nasjonalarkivet.no/innbyggere-nearingsliv/norges-dokumentarv/folketellingen-1801/" TargetMode="External"/><Relationship Id="rId8ivuzpcc1lyv9xkrsiljy" Type="http://schemas.openxmlformats.org/officeDocument/2006/relationships/hyperlink" Target="https://www.ssb.no/a/histstat/nos/nos_xii_151.pdf" TargetMode="External"/><Relationship Id="rId6kcgcvowtnqaewhfyp0fb" Type="http://schemas.openxmlformats.org/officeDocument/2006/relationships/hyperlink" Target="https://www.ssb.no/befolkning/artikler-og-publikasjoner/hvem-er-hjemmearbeidende-i-dag" TargetMode="External"/><Relationship Id="rIdhdfggggawn_hiy7woblyp" Type="http://schemas.openxmlformats.org/officeDocument/2006/relationships/hyperlink" Target="https://doi.org/10.1111/j.1651-2227.2007.00572.x" TargetMode="External"/><Relationship Id="rIdpomoubnlhpct6f4k_kscw" Type="http://schemas.openxmlformats.org/officeDocument/2006/relationships/hyperlink" Target="https://academic.oup.com/chidev/article-abstract/93/6/1631/8255014" TargetMode="External"/><Relationship Id="rIdiiqapjpumqkzlmnawd96l" Type="http://schemas.openxmlformats.org/officeDocument/2006/relationships/hyperlink" Target="https://cris.vub.be/ws/portalfiles/portal/98700557/Sociological_Forum_2023_Conway.pdf" TargetMode="External"/><Relationship Id="rIdyko3jld438bs6cc29kzba" Type="http://schemas.openxmlformats.org/officeDocument/2006/relationships/hyperlink" Target="https://www.gutenberg.org/files/10378/10378-h/10378-h.htm" TargetMode="External"/><Relationship Id="rIdpkzbqlbpsckxqplli5cxo" Type="http://schemas.openxmlformats.org/officeDocument/2006/relationships/hyperlink" Target="https://www.gutenberg.org/ebooks/10378" TargetMode="External"/><Relationship Id="rIds0muswgipszx5sqhjtcvz" Type="http://schemas.openxmlformats.org/officeDocument/2006/relationships/hyperlink" Target="https://stortinget.no/no/Saker-og-publikasjoner/Publikasjoner/Innstillinger/Stortinget/2024-2025/inns-202425-030s/?m=0" TargetMode="External"/><Relationship Id="rIdgd3sfw2hlgxsmbf5sztqc" Type="http://schemas.openxmlformats.org/officeDocument/2006/relationships/hyperlink" Target="https://www.regjeringen.no/no/dokumenter/nou-2015-7/id2414316/?ch=6" TargetMode="External"/><Relationship Id="rIdmmszq8rapwvukmjbvkqgd" Type="http://schemas.openxmlformats.org/officeDocument/2006/relationships/hyperlink" Target="https://www.regjeringen.no/no/dokumenter/nou-2004-23/id387932/?ch=13" TargetMode="External"/><Relationship Id="rIdgbwdkhgkrdna2hcznpbwr" Type="http://schemas.openxmlformats.org/officeDocument/2006/relationships/hyperlink" Target="https://www.regjeringen.no/no/dokumenter/stmeld-nr-44-2003-2004-/id198295/?ch=3" TargetMode="External"/><Relationship Id="rIdjnke7eojenl45c6ynwtba" Type="http://schemas.openxmlformats.org/officeDocument/2006/relationships/hyperlink" Target="https://www.regjeringen.no/no/dokumenter/nou-2003-31/id148994/?ch=8" TargetMode="External"/><Relationship Id="rIda1v4_rkjkzkd-o1lrdbf2" Type="http://schemas.openxmlformats.org/officeDocument/2006/relationships/hyperlink" Target="https://www.kirken.no/globalassets/kirken.no/migrering/kr_01_1_13_protokoll_bm_mote_okt_2012.pdf" TargetMode="External"/><Relationship Id="rIdabgy3aljov9cpzq3dflps" Type="http://schemas.openxmlformats.org/officeDocument/2006/relationships/hyperlink" Target="https://www.kirken.no/contentassets/022db15433354d03902ebb2ba8f1c57d/den%20norske%20kirke%20i%20m%C3%B8te%20med%20j%C3%B8dedom%20og%20j%C3%B8der.pdf" TargetMode="External"/><Relationship Id="rIdyuqga4fg_9j6aquq7evdb" Type="http://schemas.openxmlformats.org/officeDocument/2006/relationships/hyperlink" Target="https://www.kirken.no/nb-NO/konfirmasjon-i-den-norske-kirke/sporsmal-og-svar-om-konfirmasjon/" TargetMode="External"/><Relationship Id="rIdtb4hls_rqxlr1feox8ia-" Type="http://schemas.openxmlformats.org/officeDocument/2006/relationships/hyperlink" Target="https://www.kirken.no/nb-NO/dap-i-den-norske-kirke/planlegging-og-bestilling/slik-foregar-en-dap/" TargetMode="External"/><Relationship Id="rIdypi_aklxmuirfy-ftozji" Type="http://schemas.openxmlformats.org/officeDocument/2006/relationships/hyperlink" Target="https://en.jabotinsky.org/archive/search-archive/item/?itemId=116300" TargetMode="External"/><Relationship Id="rIdcak8pigaqti_9fie4ujg_" Type="http://schemas.openxmlformats.org/officeDocument/2006/relationships/hyperlink" Target="https://en.jabotinsky.org/archive/search-archive/item/?itemId=116300" TargetMode="External"/><Relationship Id="rId0dd7wlurd3ymuja7wmroo" Type="http://schemas.openxmlformats.org/officeDocument/2006/relationships/hyperlink" Target="https://en.jabotinsky.org/archive/search-archive/item/?itemId=116300" TargetMode="External"/><Relationship Id="rIdfw4eixf3a3v2d-krltlz3" Type="http://schemas.openxmlformats.org/officeDocument/2006/relationships/hyperlink" Target="https://www.jta.org/archive/late-palestine-news-23" TargetMode="External"/><Relationship Id="rIdy-swphd47wxpiytgvxuvj" Type="http://schemas.openxmlformats.org/officeDocument/2006/relationships/hyperlink" Target="https://laad.btl.gov.il/Web/He/TerrorVictims/Page/Default.aspx?ID=41735" TargetMode="External"/><Relationship Id="rIdzuhhinbf_mmklxv4invyo" Type="http://schemas.openxmlformats.org/officeDocument/2006/relationships/hyperlink" Target="https://lehi.org.il/he/%D7%A7%D7%95%D7%98%D7%99%D7%A7-%D7%99%D7%A2%D7%A7%D7%91-%D7%A9%D7%A8%D7%92%D7%90/" TargetMode="External"/><Relationship Id="rIdauodvyksgef_gqb5wiafi" Type="http://schemas.openxmlformats.org/officeDocument/2006/relationships/hyperlink" Target="https://www.malaymail.com/news/sports/2026/07/06/norway-dance-to-haalands-beat-in-surreal-world-cup-run/226506" TargetMode="External"/><Relationship Id="rIdf-_9yy2jwbee2jpekiri6" Type="http://schemas.openxmlformats.org/officeDocument/2006/relationships/hyperlink" Target="https://www.fifa.com/en/en/mens/worldcup/canadamexicousa2026/articles/match-schedule-fixtures-results-teams-stadiums" TargetMode="External"/><Relationship Id="rIdgr0qhrcaqhk_rbtepsqsn" Type="http://schemas.openxmlformats.org/officeDocument/2006/relationships/hyperlink" Target="https://inside.fifa.com/campaigns/football-unites-the-world/news/norway-france-viking-row-clap-fan-friendship-times-square" TargetMode="External"/><Relationship Id="rIdw-amp0rddrhgveakjehhz" Type="http://schemas.openxmlformats.org/officeDocument/2006/relationships/hyperlink" Target="https://www.stortinget.no/globalassets/pdf/english/constitutionenglish.pdf" TargetMode="External"/><Relationship Id="rId2g-rvzj3xctdefayetm48" Type="http://schemas.openxmlformats.org/officeDocument/2006/relationships/hyperlink" Target="https://www.stortinget.no/no/Saker-og-publikasjoner/Publikasjoner/Innstillinger/Stortinget/2025-2026/inns-202526-467s/?all=true" TargetMode="External"/><Relationship Id="rId5bzbrayo5u-rq9mt5pdmf" Type="http://schemas.openxmlformats.org/officeDocument/2006/relationships/hyperlink" Target="https://www.biblegateway.com/passage/?search=Romans+11&amp;version=EHV" TargetMode="External"/><Relationship Id="rIdtaqpchruvdavn37hj-huo" Type="http://schemas.openxmlformats.org/officeDocument/2006/relationships/hyperlink" Target="https://www.biblegateway.com/passage/?search=Philippians+3&amp;version=EHV" TargetMode="External"/><Relationship Id="rIdwoipyqxgpxwngyff97gx8" Type="http://schemas.openxmlformats.org/officeDocument/2006/relationships/hyperlink" Target="https://www.biblegateway.com/passage/?search=John+18&amp;version=EHV" TargetMode="External"/><Relationship Id="rIdhfverjh5crsvbe4yt3xug" Type="http://schemas.openxmlformats.org/officeDocument/2006/relationships/hyperlink" Target="https://www.biblegateway.com/passage/?search=Mark+3&amp;version=EHV" TargetMode="External"/><Relationship Id="rIdr3spnvfsbdksxgqdc2gbo" Type="http://schemas.openxmlformats.org/officeDocument/2006/relationships/hyperlink" Target="https://www.biblegateway.com/passage/?search=Ephesians+6&amp;version=EHV" TargetMode="External"/><Relationship Id="rIdra9cypifobsx165az16zz" Type="http://schemas.openxmlformats.org/officeDocument/2006/relationships/hyperlink" Target="https://www.biblegateway.com/passage/?search=Mark+10&amp;version=EHV" TargetMode="External"/><Relationship Id="rIdhtgrdljunpu40keuqn28u" Type="http://schemas.openxmlformats.org/officeDocument/2006/relationships/hyperlink" Target="https://www.biblegateway.com/passage/?search=1+Corinthians+7&amp;version=EHV" TargetMode="External"/><Relationship Id="rIdj2brnm6glbk8twzebqjrt" Type="http://schemas.openxmlformats.org/officeDocument/2006/relationships/hyperlink" Target="https://www.biblegateway.com/passage/?search=Matthew+10&amp;version=EHV" TargetMode="External"/><Relationship Id="rId52jcxuwilcpdleatjdqq6" Type="http://schemas.openxmlformats.org/officeDocument/2006/relationships/hyperlink" Target="https://www.biblegateway.com/passage/?search=Mark+3&amp;version=EHV" TargetMode="External"/><Relationship Id="rIdmrxkrk1azsy90g8mqqwyc" Type="http://schemas.openxmlformats.org/officeDocument/2006/relationships/hyperlink" Target="https://www.biblegateway.com/passage/?search=Romans+5&amp;version=EHV" TargetMode="External"/><Relationship Id="rIdauvgnbde8pmgwqriztizl" Type="http://schemas.openxmlformats.org/officeDocument/2006/relationships/hyperlink" Target="https://www.biblegateway.com/passage/?search=2+Corinthians+5&amp;version=EHV" TargetMode="External"/><Relationship Id="rIdzsmqltw-5vix5ip2jrtmq" Type="http://schemas.openxmlformats.org/officeDocument/2006/relationships/hyperlink" Target="https://www.biblegateway.com/passage/?search=Malachi+4&amp;version=EHV" TargetMode="External"/><Relationship Id="rIdutu0p43ig37jafnzu7jdx" Type="http://schemas.openxmlformats.org/officeDocument/2006/relationships/hyperlink" Target="https://mechon-mamre.org/p/pt/pt2403.htm" TargetMode="External"/><Relationship Id="rId2c-xvruu5tpr27e-86huj" Type="http://schemas.openxmlformats.org/officeDocument/2006/relationships/hyperlink" Target="https://www.biblegateway.com/passage/?search=Matthew+11&amp;version=EHV" TargetMode="External"/><Relationship Id="rIdafktgfyzfarogc-xouetk" Type="http://schemas.openxmlformats.org/officeDocument/2006/relationships/hyperlink" Target="https://www.biblegateway.com/passage/?search=Matthew+17&amp;version=EHV" TargetMode="External"/><Relationship Id="rIdt0kkmmpx4hkhozlwgn4fr" Type="http://schemas.openxmlformats.org/officeDocument/2006/relationships/hyperlink" Target="https://www.biblegateway.com/passage/?search=Malachi+2&amp;version=EHV" TargetMode="External"/><Relationship Id="rIdn2ac8oejm1tvcy55rer-m" Type="http://schemas.openxmlformats.org/officeDocument/2006/relationships/hyperlink" Target="https://www.biblegateway.com/passage/?search=Malachi+3&amp;version=EHV" TargetMode="External"/><Relationship Id="rIdd6dh6dytfgpkf63cvjlh5" Type="http://schemas.openxmlformats.org/officeDocument/2006/relationships/hyperlink" Target="https://www.biblegateway.com/passage/?search=Malachi+4&amp;version=EHV" TargetMode="External"/><Relationship Id="rIddxd5e-uhbrxevx7-bzl4d" Type="http://schemas.openxmlformats.org/officeDocument/2006/relationships/hyperlink" Target="https://www.biblegateway.com/passage/?search=Ephesians+6&amp;version=EHV" TargetMode="External"/><Relationship Id="rId05958x2kplvyl0k5dkjt6" Type="http://schemas.openxmlformats.org/officeDocument/2006/relationships/hyperlink" Target="https://www.biblegateway.com/passage/?search=Colossians+3&amp;version=EHV" TargetMode="External"/><Relationship Id="rIdn7h7acqj52bfjufkz5tij" Type="http://schemas.openxmlformats.org/officeDocument/2006/relationships/hyperlink" Target="https://www.biblegateway.com/passage/?search=Colossians+3&amp;version=EHV" TargetMode="External"/><Relationship Id="rId4xxmfmx_4y2f18nkxddcy" Type="http://schemas.openxmlformats.org/officeDocument/2006/relationships/hyperlink" Target="https://www.biblegateway.com/passage/?search=Romans+12&amp;version=EHV" TargetMode="External"/><Relationship Id="rIdehlw0xfpyhqyglo2xrkmh" Type="http://schemas.openxmlformats.org/officeDocument/2006/relationships/hyperlink" Target="https://www.biblegateway.com/passage/?search=1+Corinthians+15&amp;version=EHV" TargetMode="External"/><Relationship Id="rIdizaxixxql3a3ruaweklmu" Type="http://schemas.openxmlformats.org/officeDocument/2006/relationships/hyperlink" Target="https://www.biblegateway.com/passage/?search=John+21&amp;version=EHV" TargetMode="External"/><Relationship Id="rIduzy3yclqeefoalpxpozlk" Type="http://schemas.openxmlformats.org/officeDocument/2006/relationships/hyperlink" Target="https://www.biblegateway.com/passage/?search=1+Corinthians+15&amp;version=EHV" TargetMode="External"/><Relationship Id="rId124" Type="http://schemas.openxmlformats.org/officeDocument/2006/relationships/fontTable" Target="fontTable.xml"/><Relationship Id="rId8" Type="http://schemas.openxmlformats.org/officeDocument/2006/relationships/hyperlink" Target="https://www.ssb.no/sosiale-forhold-og-kriminalitet/levekar/statistikk/livskvalitet/artikler-om-livskvalitet/hvor-mange-foler-seg-ensomme-i-norge" TargetMode="External"/><Relationship Id="rId9" Type="http://schemas.openxmlformats.org/officeDocument/2006/relationships/hyperlink" Target="https://www.ssb.no/befolkning/fodte-og-dode/statistikk/fodte/artikler/fruktbarheten-fortsetter-a-ok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Norway Grasping for Air</dc:title>
  <dc:subject>Family history, Norway and Christian reflection</dc:subject>
  <dc:creator>Elias Solbak Årnes</dc:creator>
  <dc:description>Complete edited manuscript</dc:description>
  <cp:lastModifiedBy>Un-named</cp:lastModifiedBy>
  <cp:revision>1</cp:revision>
  <dcterms:created xsi:type="dcterms:W3CDTF">2026-09-06T19:12:41.669Z</dcterms:created>
  <dcterms:modified xsi:type="dcterms:W3CDTF">2026-09-06T19:12:41.670Z</dcterms:modified>
</cp:coreProperties>
</file>

<file path=docProps/custom.xml><?xml version="1.0" encoding="utf-8"?>
<Properties xmlns="http://schemas.openxmlformats.org/officeDocument/2006/custom-properties" xmlns:vt="http://schemas.openxmlformats.org/officeDocument/2006/docPropsVTypes"/>
</file>