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7277" w14:textId="39B8ADF7" w:rsidR="00150BAA" w:rsidRPr="00150BAA" w:rsidRDefault="00150BAA" w:rsidP="00150BAA">
      <w:pPr>
        <w:rPr>
          <w:rFonts w:cstheme="minorHAnsi"/>
          <w:b/>
          <w:bCs/>
          <w:sz w:val="18"/>
          <w:szCs w:val="18"/>
        </w:rPr>
      </w:pPr>
      <w:proofErr w:type="spellStart"/>
      <w:r w:rsidRPr="00150BAA">
        <w:rPr>
          <w:rFonts w:cstheme="minorHAnsi"/>
          <w:b/>
          <w:bCs/>
          <w:sz w:val="18"/>
          <w:szCs w:val="18"/>
        </w:rPr>
        <w:t>PyCity</w:t>
      </w:r>
      <w:proofErr w:type="spellEnd"/>
      <w:r w:rsidRPr="00150BAA">
        <w:rPr>
          <w:rFonts w:cstheme="minorHAnsi"/>
          <w:b/>
          <w:bCs/>
          <w:sz w:val="18"/>
          <w:szCs w:val="18"/>
        </w:rPr>
        <w:t xml:space="preserve"> Schools Analysis</w:t>
      </w:r>
      <w:r w:rsidRPr="00150BAA">
        <w:rPr>
          <w:rFonts w:cstheme="minorHAnsi"/>
          <w:b/>
          <w:bCs/>
          <w:sz w:val="18"/>
          <w:szCs w:val="18"/>
        </w:rPr>
        <w:t xml:space="preserve"> </w:t>
      </w:r>
    </w:p>
    <w:p w14:paraId="68630390" w14:textId="77777777" w:rsidR="00150BAA" w:rsidRPr="00150BAA" w:rsidRDefault="00150BAA" w:rsidP="00150BAA">
      <w:pPr>
        <w:rPr>
          <w:rFonts w:cstheme="minorHAnsi"/>
          <w:b/>
          <w:bCs/>
          <w:sz w:val="18"/>
          <w:szCs w:val="18"/>
        </w:rPr>
      </w:pPr>
      <w:r w:rsidRPr="00150BAA">
        <w:rPr>
          <w:rFonts w:cstheme="minorHAnsi"/>
          <w:b/>
          <w:bCs/>
          <w:sz w:val="18"/>
          <w:szCs w:val="18"/>
        </w:rPr>
        <w:t>Summary of Analysis</w:t>
      </w:r>
    </w:p>
    <w:p w14:paraId="398C9E54" w14:textId="77777777" w:rsidR="00150BAA" w:rsidRPr="00150BAA" w:rsidRDefault="00150BAA" w:rsidP="00150BAA">
      <w:pPr>
        <w:rPr>
          <w:rFonts w:cstheme="minorHAnsi"/>
          <w:sz w:val="18"/>
          <w:szCs w:val="18"/>
        </w:rPr>
      </w:pPr>
      <w:r w:rsidRPr="00150BAA">
        <w:rPr>
          <w:rFonts w:cstheme="minorHAnsi"/>
          <w:sz w:val="18"/>
          <w:szCs w:val="18"/>
        </w:rPr>
        <w:t xml:space="preserve">The </w:t>
      </w:r>
      <w:proofErr w:type="spellStart"/>
      <w:r w:rsidRPr="00150BAA">
        <w:rPr>
          <w:rFonts w:cstheme="minorHAnsi"/>
          <w:sz w:val="18"/>
          <w:szCs w:val="18"/>
        </w:rPr>
        <w:t>PyCity</w:t>
      </w:r>
      <w:proofErr w:type="spellEnd"/>
      <w:r w:rsidRPr="00150BAA">
        <w:rPr>
          <w:rFonts w:cstheme="minorHAnsi"/>
          <w:sz w:val="18"/>
          <w:szCs w:val="18"/>
        </w:rPr>
        <w:t xml:space="preserve"> Schools analysis provides a comprehensive overview of the performance metrics across various schools within the district. The analysis includes key metrics such as the total number of schools, total students, total budget, average math and reading scores, and the percentage of students passing math, reading, and both subjects overall. The data is further broken down by school type, size, and spending per student to identify trends and insights.</w:t>
      </w:r>
    </w:p>
    <w:p w14:paraId="62A2CF62" w14:textId="77777777" w:rsidR="00150BAA" w:rsidRPr="00150BAA" w:rsidRDefault="00150BAA" w:rsidP="00150BAA">
      <w:pPr>
        <w:rPr>
          <w:rFonts w:cstheme="minorHAnsi"/>
          <w:b/>
          <w:bCs/>
          <w:sz w:val="18"/>
          <w:szCs w:val="18"/>
        </w:rPr>
      </w:pPr>
      <w:r w:rsidRPr="00150BAA">
        <w:rPr>
          <w:rFonts w:cstheme="minorHAnsi"/>
          <w:b/>
          <w:bCs/>
          <w:sz w:val="18"/>
          <w:szCs w:val="18"/>
        </w:rPr>
        <w:t>Key Metrics:</w:t>
      </w:r>
    </w:p>
    <w:p w14:paraId="1AFADEC3" w14:textId="77777777" w:rsidR="00150BAA" w:rsidRPr="00150BAA" w:rsidRDefault="00150BAA" w:rsidP="00150BAA">
      <w:pPr>
        <w:numPr>
          <w:ilvl w:val="0"/>
          <w:numId w:val="3"/>
        </w:numPr>
        <w:rPr>
          <w:rFonts w:cstheme="minorHAnsi"/>
          <w:sz w:val="18"/>
          <w:szCs w:val="18"/>
        </w:rPr>
      </w:pPr>
      <w:r w:rsidRPr="00150BAA">
        <w:rPr>
          <w:rFonts w:cstheme="minorHAnsi"/>
          <w:b/>
          <w:bCs/>
          <w:sz w:val="18"/>
          <w:szCs w:val="18"/>
        </w:rPr>
        <w:t>Total Schools</w:t>
      </w:r>
      <w:r w:rsidRPr="00150BAA">
        <w:rPr>
          <w:rFonts w:cstheme="minorHAnsi"/>
          <w:sz w:val="18"/>
          <w:szCs w:val="18"/>
        </w:rPr>
        <w:t>: 15</w:t>
      </w:r>
    </w:p>
    <w:p w14:paraId="2540917E" w14:textId="77777777" w:rsidR="00150BAA" w:rsidRPr="00150BAA" w:rsidRDefault="00150BAA" w:rsidP="00150BAA">
      <w:pPr>
        <w:numPr>
          <w:ilvl w:val="0"/>
          <w:numId w:val="3"/>
        </w:numPr>
        <w:rPr>
          <w:rFonts w:cstheme="minorHAnsi"/>
          <w:sz w:val="18"/>
          <w:szCs w:val="18"/>
        </w:rPr>
      </w:pPr>
      <w:r w:rsidRPr="00150BAA">
        <w:rPr>
          <w:rFonts w:cstheme="minorHAnsi"/>
          <w:b/>
          <w:bCs/>
          <w:sz w:val="18"/>
          <w:szCs w:val="18"/>
        </w:rPr>
        <w:t>Total Students</w:t>
      </w:r>
      <w:r w:rsidRPr="00150BAA">
        <w:rPr>
          <w:rFonts w:cstheme="minorHAnsi"/>
          <w:sz w:val="18"/>
          <w:szCs w:val="18"/>
        </w:rPr>
        <w:t>: 39,170</w:t>
      </w:r>
    </w:p>
    <w:p w14:paraId="391A6085" w14:textId="77777777" w:rsidR="00150BAA" w:rsidRPr="00150BAA" w:rsidRDefault="00150BAA" w:rsidP="00150BAA">
      <w:pPr>
        <w:numPr>
          <w:ilvl w:val="0"/>
          <w:numId w:val="3"/>
        </w:numPr>
        <w:rPr>
          <w:rFonts w:cstheme="minorHAnsi"/>
          <w:sz w:val="18"/>
          <w:szCs w:val="18"/>
        </w:rPr>
      </w:pPr>
      <w:r w:rsidRPr="00150BAA">
        <w:rPr>
          <w:rFonts w:cstheme="minorHAnsi"/>
          <w:b/>
          <w:bCs/>
          <w:sz w:val="18"/>
          <w:szCs w:val="18"/>
        </w:rPr>
        <w:t>Total Budget</w:t>
      </w:r>
      <w:r w:rsidRPr="00150BAA">
        <w:rPr>
          <w:rFonts w:cstheme="minorHAnsi"/>
          <w:sz w:val="18"/>
          <w:szCs w:val="18"/>
        </w:rPr>
        <w:t>: $24,649,428.00</w:t>
      </w:r>
    </w:p>
    <w:p w14:paraId="43F5AEAD" w14:textId="77777777" w:rsidR="00150BAA" w:rsidRPr="00150BAA" w:rsidRDefault="00150BAA" w:rsidP="00150BAA">
      <w:pPr>
        <w:numPr>
          <w:ilvl w:val="0"/>
          <w:numId w:val="3"/>
        </w:numPr>
        <w:rPr>
          <w:rFonts w:cstheme="minorHAnsi"/>
          <w:sz w:val="18"/>
          <w:szCs w:val="18"/>
        </w:rPr>
      </w:pPr>
      <w:r w:rsidRPr="00150BAA">
        <w:rPr>
          <w:rFonts w:cstheme="minorHAnsi"/>
          <w:b/>
          <w:bCs/>
          <w:sz w:val="18"/>
          <w:szCs w:val="18"/>
        </w:rPr>
        <w:t>Average Math Score</w:t>
      </w:r>
      <w:r w:rsidRPr="00150BAA">
        <w:rPr>
          <w:rFonts w:cstheme="minorHAnsi"/>
          <w:sz w:val="18"/>
          <w:szCs w:val="18"/>
        </w:rPr>
        <w:t>: 78.99</w:t>
      </w:r>
    </w:p>
    <w:p w14:paraId="433AECF4" w14:textId="77777777" w:rsidR="00150BAA" w:rsidRPr="00150BAA" w:rsidRDefault="00150BAA" w:rsidP="00150BAA">
      <w:pPr>
        <w:numPr>
          <w:ilvl w:val="0"/>
          <w:numId w:val="3"/>
        </w:numPr>
        <w:rPr>
          <w:rFonts w:cstheme="minorHAnsi"/>
          <w:sz w:val="18"/>
          <w:szCs w:val="18"/>
        </w:rPr>
      </w:pPr>
      <w:r w:rsidRPr="00150BAA">
        <w:rPr>
          <w:rFonts w:cstheme="minorHAnsi"/>
          <w:b/>
          <w:bCs/>
          <w:sz w:val="18"/>
          <w:szCs w:val="18"/>
        </w:rPr>
        <w:t>Average Reading Score</w:t>
      </w:r>
      <w:r w:rsidRPr="00150BAA">
        <w:rPr>
          <w:rFonts w:cstheme="minorHAnsi"/>
          <w:sz w:val="18"/>
          <w:szCs w:val="18"/>
        </w:rPr>
        <w:t>: 81.88</w:t>
      </w:r>
    </w:p>
    <w:p w14:paraId="46A118C5" w14:textId="77777777" w:rsidR="00150BAA" w:rsidRPr="00150BAA" w:rsidRDefault="00150BAA" w:rsidP="00150BAA">
      <w:pPr>
        <w:numPr>
          <w:ilvl w:val="0"/>
          <w:numId w:val="3"/>
        </w:numPr>
        <w:rPr>
          <w:rFonts w:cstheme="minorHAnsi"/>
          <w:sz w:val="18"/>
          <w:szCs w:val="18"/>
        </w:rPr>
      </w:pPr>
      <w:r w:rsidRPr="00150BAA">
        <w:rPr>
          <w:rFonts w:cstheme="minorHAnsi"/>
          <w:b/>
          <w:bCs/>
          <w:sz w:val="18"/>
          <w:szCs w:val="18"/>
        </w:rPr>
        <w:t>% Passing Math</w:t>
      </w:r>
      <w:r w:rsidRPr="00150BAA">
        <w:rPr>
          <w:rFonts w:cstheme="minorHAnsi"/>
          <w:sz w:val="18"/>
          <w:szCs w:val="18"/>
        </w:rPr>
        <w:t>: 74.98%</w:t>
      </w:r>
    </w:p>
    <w:p w14:paraId="2D400606" w14:textId="77777777" w:rsidR="00150BAA" w:rsidRPr="00150BAA" w:rsidRDefault="00150BAA" w:rsidP="00150BAA">
      <w:pPr>
        <w:numPr>
          <w:ilvl w:val="0"/>
          <w:numId w:val="3"/>
        </w:numPr>
        <w:rPr>
          <w:rFonts w:cstheme="minorHAnsi"/>
          <w:sz w:val="18"/>
          <w:szCs w:val="18"/>
        </w:rPr>
      </w:pPr>
      <w:r w:rsidRPr="00150BAA">
        <w:rPr>
          <w:rFonts w:cstheme="minorHAnsi"/>
          <w:b/>
          <w:bCs/>
          <w:sz w:val="18"/>
          <w:szCs w:val="18"/>
        </w:rPr>
        <w:t>% Passing Reading</w:t>
      </w:r>
      <w:r w:rsidRPr="00150BAA">
        <w:rPr>
          <w:rFonts w:cstheme="minorHAnsi"/>
          <w:sz w:val="18"/>
          <w:szCs w:val="18"/>
        </w:rPr>
        <w:t>: 85.81%</w:t>
      </w:r>
    </w:p>
    <w:p w14:paraId="0C33E076" w14:textId="77777777" w:rsidR="00150BAA" w:rsidRPr="00150BAA" w:rsidRDefault="00150BAA" w:rsidP="00150BAA">
      <w:pPr>
        <w:numPr>
          <w:ilvl w:val="0"/>
          <w:numId w:val="3"/>
        </w:numPr>
        <w:rPr>
          <w:rFonts w:cstheme="minorHAnsi"/>
          <w:sz w:val="18"/>
          <w:szCs w:val="18"/>
        </w:rPr>
      </w:pPr>
      <w:r w:rsidRPr="00150BAA">
        <w:rPr>
          <w:rFonts w:cstheme="minorHAnsi"/>
          <w:b/>
          <w:bCs/>
          <w:sz w:val="18"/>
          <w:szCs w:val="18"/>
        </w:rPr>
        <w:t>% Overall Passing</w:t>
      </w:r>
      <w:r w:rsidRPr="00150BAA">
        <w:rPr>
          <w:rFonts w:cstheme="minorHAnsi"/>
          <w:sz w:val="18"/>
          <w:szCs w:val="18"/>
        </w:rPr>
        <w:t>: 65.17%</w:t>
      </w:r>
    </w:p>
    <w:p w14:paraId="3D36BEE6" w14:textId="3DA70E2F" w:rsidR="00150BAA" w:rsidRPr="00150BAA" w:rsidRDefault="00150BAA" w:rsidP="00150BAA">
      <w:pPr>
        <w:rPr>
          <w:rFonts w:cstheme="minorHAnsi"/>
          <w:b/>
          <w:bCs/>
          <w:sz w:val="18"/>
          <w:szCs w:val="18"/>
        </w:rPr>
      </w:pPr>
      <w:r w:rsidRPr="00150BAA">
        <w:rPr>
          <w:rFonts w:cstheme="minorHAnsi"/>
          <w:b/>
          <w:bCs/>
          <w:sz w:val="18"/>
          <w:szCs w:val="18"/>
        </w:rPr>
        <w:t>Conclusion and Comparison</w:t>
      </w:r>
    </w:p>
    <w:p w14:paraId="78464196" w14:textId="77777777" w:rsidR="00150BAA" w:rsidRPr="00150BAA" w:rsidRDefault="00150BAA" w:rsidP="00150BAA">
      <w:pPr>
        <w:numPr>
          <w:ilvl w:val="0"/>
          <w:numId w:val="4"/>
        </w:numPr>
        <w:rPr>
          <w:rFonts w:cstheme="minorHAnsi"/>
          <w:sz w:val="18"/>
          <w:szCs w:val="18"/>
        </w:rPr>
      </w:pPr>
      <w:r w:rsidRPr="00150BAA">
        <w:rPr>
          <w:rFonts w:cstheme="minorHAnsi"/>
          <w:b/>
          <w:bCs/>
          <w:sz w:val="18"/>
          <w:szCs w:val="18"/>
        </w:rPr>
        <w:t>Impact of Per Student Spending on Performance</w:t>
      </w:r>
      <w:r w:rsidRPr="00150BAA">
        <w:rPr>
          <w:rFonts w:cstheme="minorHAnsi"/>
          <w:sz w:val="18"/>
          <w:szCs w:val="18"/>
        </w:rPr>
        <w:t>:</w:t>
      </w:r>
    </w:p>
    <w:p w14:paraId="3A4F14FF" w14:textId="77777777" w:rsidR="00150BAA" w:rsidRPr="00150BAA" w:rsidRDefault="00150BAA" w:rsidP="00150BAA">
      <w:pPr>
        <w:numPr>
          <w:ilvl w:val="1"/>
          <w:numId w:val="4"/>
        </w:numPr>
        <w:rPr>
          <w:rFonts w:cstheme="minorHAnsi"/>
          <w:sz w:val="18"/>
          <w:szCs w:val="18"/>
        </w:rPr>
      </w:pPr>
      <w:r w:rsidRPr="00150BAA">
        <w:rPr>
          <w:rFonts w:cstheme="minorHAnsi"/>
          <w:b/>
          <w:bCs/>
          <w:sz w:val="18"/>
          <w:szCs w:val="18"/>
        </w:rPr>
        <w:t xml:space="preserve">Schools with lower per student spending </w:t>
      </w:r>
      <w:r w:rsidRPr="00150BAA">
        <w:rPr>
          <w:rFonts w:cstheme="minorHAnsi"/>
          <w:sz w:val="18"/>
          <w:szCs w:val="18"/>
        </w:rPr>
        <w:t>(&lt;$585) tend to have higher average scores and passing rates. For instance, schools spending less than $585 per student have an average math score of 83.46 and an overall passing rate of 90.37%. In contrast, schools with higher spending ranges ($645-680) have lower average math scores (76.99) and overall passing rates (53.53%). This suggests that higher spending does not necessarily correlate with better performance, indicating potential inefficiencies in resource allocation.</w:t>
      </w:r>
    </w:p>
    <w:p w14:paraId="06E55E12" w14:textId="77777777" w:rsidR="00150BAA" w:rsidRPr="00150BAA" w:rsidRDefault="00150BAA" w:rsidP="00150BAA">
      <w:pPr>
        <w:numPr>
          <w:ilvl w:val="0"/>
          <w:numId w:val="4"/>
        </w:numPr>
        <w:rPr>
          <w:rFonts w:cstheme="minorHAnsi"/>
          <w:sz w:val="18"/>
          <w:szCs w:val="18"/>
        </w:rPr>
      </w:pPr>
      <w:r w:rsidRPr="00150BAA">
        <w:rPr>
          <w:rFonts w:cstheme="minorHAnsi"/>
          <w:b/>
          <w:bCs/>
          <w:sz w:val="18"/>
          <w:szCs w:val="18"/>
        </w:rPr>
        <w:t>Performance by Grade Level</w:t>
      </w:r>
      <w:r w:rsidRPr="00150BAA">
        <w:rPr>
          <w:rFonts w:cstheme="minorHAnsi"/>
          <w:sz w:val="18"/>
          <w:szCs w:val="18"/>
        </w:rPr>
        <w:t>:</w:t>
      </w:r>
    </w:p>
    <w:p w14:paraId="28568D71" w14:textId="77777777" w:rsidR="00150BAA" w:rsidRPr="00150BAA" w:rsidRDefault="00150BAA" w:rsidP="00150BAA">
      <w:pPr>
        <w:numPr>
          <w:ilvl w:val="1"/>
          <w:numId w:val="4"/>
        </w:numPr>
        <w:rPr>
          <w:rFonts w:cstheme="minorHAnsi"/>
          <w:sz w:val="18"/>
          <w:szCs w:val="18"/>
        </w:rPr>
      </w:pPr>
      <w:r w:rsidRPr="00150BAA">
        <w:rPr>
          <w:rFonts w:cstheme="minorHAnsi"/>
          <w:b/>
          <w:bCs/>
          <w:sz w:val="18"/>
          <w:szCs w:val="18"/>
        </w:rPr>
        <w:t>Math and reading scores</w:t>
      </w:r>
      <w:r w:rsidRPr="00150BAA">
        <w:rPr>
          <w:rFonts w:cstheme="minorHAnsi"/>
          <w:sz w:val="18"/>
          <w:szCs w:val="18"/>
        </w:rPr>
        <w:t> tend to be consistent across different grade levels within the same school. For example, at Cabrera High School, the average math scores for 9th, 10th, 11th, and 12th grades are 83.09, 83.15, 82.77, and 83.28, respectively. Similarly, the reading scores for these grades are 83.68, 84.25, 83.79, and 84.29, indicating a stable performance across grades. This consistency suggests effective teaching methods and curriculum standards across all grade levels within the school.</w:t>
      </w:r>
    </w:p>
    <w:p w14:paraId="1B7CE4AC" w14:textId="1444D421" w:rsidR="00150BAA" w:rsidRPr="00150BAA" w:rsidRDefault="00150BAA" w:rsidP="00150BAA">
      <w:pPr>
        <w:rPr>
          <w:rFonts w:cstheme="minorHAnsi"/>
          <w:sz w:val="18"/>
          <w:szCs w:val="18"/>
        </w:rPr>
      </w:pPr>
      <w:r>
        <w:rPr>
          <w:rFonts w:cstheme="minorHAnsi"/>
          <w:sz w:val="18"/>
          <w:szCs w:val="18"/>
        </w:rPr>
        <w:t xml:space="preserve">In </w:t>
      </w:r>
      <w:r w:rsidRPr="00150BAA">
        <w:rPr>
          <w:rFonts w:cstheme="minorHAnsi"/>
          <w:sz w:val="18"/>
          <w:szCs w:val="18"/>
        </w:rPr>
        <w:t>conclusion</w:t>
      </w:r>
      <w:r>
        <w:rPr>
          <w:rFonts w:cstheme="minorHAnsi"/>
          <w:sz w:val="18"/>
          <w:szCs w:val="18"/>
        </w:rPr>
        <w:t xml:space="preserve"> this data shows the</w:t>
      </w:r>
      <w:r w:rsidRPr="00150BAA">
        <w:rPr>
          <w:rFonts w:cstheme="minorHAnsi"/>
          <w:sz w:val="18"/>
          <w:szCs w:val="18"/>
        </w:rPr>
        <w:t xml:space="preserve"> importance of efficient resource allocation</w:t>
      </w:r>
      <w:r>
        <w:rPr>
          <w:rFonts w:cstheme="minorHAnsi"/>
          <w:sz w:val="18"/>
          <w:szCs w:val="18"/>
        </w:rPr>
        <w:t>s</w:t>
      </w:r>
      <w:r w:rsidRPr="00150BAA">
        <w:rPr>
          <w:rFonts w:cstheme="minorHAnsi"/>
          <w:sz w:val="18"/>
          <w:szCs w:val="18"/>
        </w:rPr>
        <w:t xml:space="preserve"> and consistent </w:t>
      </w:r>
      <w:r>
        <w:rPr>
          <w:rFonts w:cstheme="minorHAnsi"/>
          <w:sz w:val="18"/>
          <w:szCs w:val="18"/>
        </w:rPr>
        <w:t xml:space="preserve">education </w:t>
      </w:r>
      <w:r w:rsidRPr="00150BAA">
        <w:rPr>
          <w:rFonts w:cstheme="minorHAnsi"/>
          <w:sz w:val="18"/>
          <w:szCs w:val="18"/>
        </w:rPr>
        <w:t>to achieve high student performance across different schools and grade levels. </w:t>
      </w:r>
    </w:p>
    <w:p w14:paraId="2E9E03B3" w14:textId="77777777" w:rsidR="00C84663" w:rsidRDefault="00C84663"/>
    <w:sectPr w:rsidR="00C8466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CAF2C" w14:textId="77777777" w:rsidR="00D236E3" w:rsidRDefault="00D236E3" w:rsidP="00150BAA">
      <w:pPr>
        <w:spacing w:after="0" w:line="240" w:lineRule="auto"/>
      </w:pPr>
      <w:r>
        <w:separator/>
      </w:r>
    </w:p>
  </w:endnote>
  <w:endnote w:type="continuationSeparator" w:id="0">
    <w:p w14:paraId="7D1410DE" w14:textId="77777777" w:rsidR="00D236E3" w:rsidRDefault="00D236E3" w:rsidP="00150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38F3F" w14:textId="77777777" w:rsidR="00150BAA" w:rsidRDefault="00150BAA">
    <w:pPr>
      <w:pStyle w:val="Footer"/>
    </w:pPr>
    <w:r>
      <w:rPr>
        <w:noProof/>
      </w:rPr>
      <mc:AlternateContent>
        <mc:Choice Requires="wps">
          <w:drawing>
            <wp:anchor distT="0" distB="0" distL="114300" distR="114300" simplePos="0" relativeHeight="251659264" behindDoc="0" locked="0" layoutInCell="1" allowOverlap="1" wp14:anchorId="7E6E5BC3" wp14:editId="6AC352D4">
              <wp:simplePos x="0" y="0"/>
              <wp:positionH relativeFrom="rightMargin">
                <wp:posOffset>-1125220</wp:posOffset>
              </wp:positionH>
              <wp:positionV relativeFrom="bottomMargin">
                <wp:posOffset>0</wp:posOffset>
              </wp:positionV>
              <wp:extent cx="1125220" cy="239395"/>
              <wp:effectExtent l="0" t="0" r="17780" b="27305"/>
              <wp:wrapNone/>
              <wp:docPr id="1" name="Alliance_Labeling"/>
              <wp:cNvGraphicFramePr/>
              <a:graphic xmlns:a="http://schemas.openxmlformats.org/drawingml/2006/main">
                <a:graphicData uri="http://schemas.microsoft.com/office/word/2010/wordprocessingShape">
                  <wps:wsp>
                    <wps:cNvSpPr txBox="1"/>
                    <wps:spPr>
                      <a:xfrm>
                        <a:off x="0" y="0"/>
                        <a:ext cx="1125220" cy="239395"/>
                      </a:xfrm>
                      <a:prstGeom prst="rect">
                        <a:avLst/>
                      </a:prstGeom>
                      <a:solidFill>
                        <a:srgbClr val="FFFFFF"/>
                      </a:solidFill>
                      <a:ln w="12700" cmpd="sng">
                        <a:solidFill>
                          <a:srgbClr val="000000"/>
                        </a:solidFill>
                      </a:ln>
                    </wps:spPr>
                    <wps:txbx>
                      <w:txbxContent>
                        <w:p w14:paraId="624D8D1E" w14:textId="77777777" w:rsidR="00150BAA" w:rsidRPr="00150BAA" w:rsidRDefault="00150BAA" w:rsidP="00150BAA">
                          <w:pPr>
                            <w:spacing w:after="0" w:line="240" w:lineRule="auto"/>
                            <w:rPr>
                              <w:rFonts w:ascii="Verdana" w:hAnsi="Verdana"/>
                              <w:color w:val="000000"/>
                              <w:sz w:val="20"/>
                            </w:rPr>
                          </w:pPr>
                          <w:r w:rsidRPr="00150BAA">
                            <w:rPr>
                              <w:rFonts w:ascii="Verdana" w:hAnsi="Verdana"/>
                              <w:color w:val="000000"/>
                              <w:sz w:val="20"/>
                            </w:rPr>
                            <w:t>Nissan Internal</w:t>
                          </w:r>
                        </w:p>
                      </w:txbxContent>
                    </wps:txbx>
                    <wps:bodyPr rot="0" spcFirstLastPara="0" vertOverflow="overflow" horzOverflow="overflow" vert="horz" wrap="none" lIns="72000" tIns="36000" rIns="72000" bIns="36000" numCol="1" spcCol="0" rtlCol="0" fromWordArt="0" anchor="ctr" anchorCtr="0" forceAA="0" compatLnSpc="1">
                      <a:prstTxWarp prst="textNoShape">
                        <a:avLst/>
                      </a:prstTxWarp>
                      <a:spAutoFit/>
                    </wps:bodyPr>
                  </wps:wsp>
                </a:graphicData>
              </a:graphic>
            </wp:anchor>
          </w:drawing>
        </mc:Choice>
        <mc:Fallback>
          <w:pict>
            <v:shapetype w14:anchorId="7E6E5BC3" id="_x0000_t202" coordsize="21600,21600" o:spt="202" path="m,l,21600r21600,l21600,xe">
              <v:stroke joinstyle="miter"/>
              <v:path gradientshapeok="t" o:connecttype="rect"/>
            </v:shapetype>
            <v:shape id="Alliance_Labeling" o:spid="_x0000_s1026" type="#_x0000_t202" style="position:absolute;margin-left:-88.6pt;margin-top:0;width:88.6pt;height:18.85pt;z-index:251659264;visibility:visible;mso-wrap-style:none;mso-wrap-distance-left:9pt;mso-wrap-distance-top:0;mso-wrap-distance-right:9pt;mso-wrap-distance-bottom:0;mso-position-horizontal:absolute;mso-position-horizontal-relative:right-margin-area;mso-position-vertical:absolute;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" strokeweight="1pt">
              <v:textbox style="mso-fit-shape-to-text:t" inset="2mm,1mm,2mm,1mm">
                <w:txbxContent>
                  <w:p w14:paraId="624D8D1E" w14:textId="77777777" w:rsidR="00150BAA" w:rsidRPr="00150BAA" w:rsidRDefault="00150BAA" w:rsidP="00150BAA">
                    <w:pPr>
                      <w:spacing w:after="0" w:line="240" w:lineRule="auto"/>
                      <w:rPr>
                        <w:rFonts w:ascii="Verdana" w:hAnsi="Verdana"/>
                        <w:color w:val="000000"/>
                        <w:sz w:val="20"/>
                      </w:rPr>
                    </w:pPr>
                    <w:r w:rsidRPr="00150BAA">
                      <w:rPr>
                        <w:rFonts w:ascii="Verdana" w:hAnsi="Verdana"/>
                        <w:color w:val="000000"/>
                        <w:sz w:val="20"/>
                      </w:rPr>
                      <w:t>Nissan Internal</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E612E" w14:textId="77777777" w:rsidR="00D236E3" w:rsidRDefault="00D236E3" w:rsidP="00150BAA">
      <w:pPr>
        <w:spacing w:after="0" w:line="240" w:lineRule="auto"/>
      </w:pPr>
      <w:r>
        <w:separator/>
      </w:r>
    </w:p>
  </w:footnote>
  <w:footnote w:type="continuationSeparator" w:id="0">
    <w:p w14:paraId="5C6C52B5" w14:textId="77777777" w:rsidR="00D236E3" w:rsidRDefault="00D236E3" w:rsidP="00150B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A1853"/>
    <w:multiLevelType w:val="multilevel"/>
    <w:tmpl w:val="C164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6D1F81"/>
    <w:multiLevelType w:val="multilevel"/>
    <w:tmpl w:val="8E88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451D7"/>
    <w:multiLevelType w:val="multilevel"/>
    <w:tmpl w:val="E5AEF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CB2EF8"/>
    <w:multiLevelType w:val="multilevel"/>
    <w:tmpl w:val="1F567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1142378">
    <w:abstractNumId w:val="0"/>
  </w:num>
  <w:num w:numId="2" w16cid:durableId="1382444222">
    <w:abstractNumId w:val="2"/>
  </w:num>
  <w:num w:numId="3" w16cid:durableId="1488396246">
    <w:abstractNumId w:val="1"/>
  </w:num>
  <w:num w:numId="4" w16cid:durableId="1172578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BAA"/>
    <w:rsid w:val="00123883"/>
    <w:rsid w:val="00150BAA"/>
    <w:rsid w:val="00254663"/>
    <w:rsid w:val="00B15CC1"/>
    <w:rsid w:val="00BF5422"/>
    <w:rsid w:val="00C84663"/>
    <w:rsid w:val="00D23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AE3516"/>
  <w15:chartTrackingRefBased/>
  <w15:docId w15:val="{2F9CDBF1-23F9-4A4B-8553-8C06E94F8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0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BAA"/>
  </w:style>
  <w:style w:type="paragraph" w:styleId="Footer">
    <w:name w:val="footer"/>
    <w:basedOn w:val="Normal"/>
    <w:link w:val="FooterChar"/>
    <w:uiPriority w:val="99"/>
    <w:unhideWhenUsed/>
    <w:rsid w:val="00150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499477">
      <w:bodyDiv w:val="1"/>
      <w:marLeft w:val="0"/>
      <w:marRight w:val="0"/>
      <w:marTop w:val="0"/>
      <w:marBottom w:val="0"/>
      <w:divBdr>
        <w:top w:val="none" w:sz="0" w:space="0" w:color="auto"/>
        <w:left w:val="none" w:sz="0" w:space="0" w:color="auto"/>
        <w:bottom w:val="none" w:sz="0" w:space="0" w:color="auto"/>
        <w:right w:val="none" w:sz="0" w:space="0" w:color="auto"/>
      </w:divBdr>
    </w:div>
    <w:div w:id="185757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301</Words>
  <Characters>1738</Characters>
  <Application>Microsoft Office Word</Application>
  <DocSecurity>0</DocSecurity>
  <Lines>30</Lines>
  <Paragraphs>18</Paragraphs>
  <ScaleCrop>false</ScaleCrop>
  <Company>Nissan Americas</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Arnett, Chase</dc:creator>
  <cp:keywords>Nissan;N-I;Nissan Internal</cp:keywords>
  <dc:description/>
  <cp:lastModifiedBy>Arnett, Chase</cp:lastModifiedBy>
  <cp:revision>2</cp:revision>
  <dcterms:created xsi:type="dcterms:W3CDTF">2024-09-29T22:49:00Z</dcterms:created>
  <dcterms:modified xsi:type="dcterms:W3CDTF">2024-09-29T22:56:00Z</dcterms:modified>
  <cp:category>N-I</cp:category>
</cp:coreProperties>
</file>