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23D" w:rsidRDefault="00F93150">
      <w:r>
        <w:t>Time-Varying Parameter Values for SS3.30</w:t>
      </w:r>
    </w:p>
    <w:p w:rsidR="00F93150" w:rsidRDefault="00F93150">
      <w:r>
        <w:t>The approach to allowing parameters to have time-varying values has been completely overhauled in the transition from SS3.24</w:t>
      </w:r>
      <w:r w:rsidR="00240B68">
        <w:t xml:space="preserve"> to SS3.30.  Fortunately</w:t>
      </w:r>
      <w:r>
        <w:t>, the sstrans.exe will do the conversion for you, but you should review the new control file closely before simply running with it, especially for time-varying catchability parameters.</w:t>
      </w:r>
    </w:p>
    <w:p w:rsidR="00F93150" w:rsidRDefault="00050E30">
      <w:r w:rsidRPr="00050E30">
        <w:rPr>
          <w:u w:val="single"/>
        </w:rPr>
        <w:t>Motivation</w:t>
      </w:r>
      <w:r>
        <w:t xml:space="preserve">:  </w:t>
      </w:r>
      <w:r w:rsidR="00F93150">
        <w:t>In SS3.24, the group of biology parameters (termed MGparm) and the selectivity parameters used the same long parameter line approach, but it was implemented with entirely different code</w:t>
      </w:r>
      <w:r w:rsidR="00240B68">
        <w:t>, and hence</w:t>
      </w:r>
      <w:r w:rsidR="00F93150">
        <w:t xml:space="preserve"> was inefficient.  The spawner-recruitment parameters used short parameter lines and a different approach for linkage to an environmental variable and the R1 offset provided a limited type of block.  The catchability parameters also used short parameter lines and had its own approach to doing environmental linkage and random dev</w:t>
      </w:r>
      <w:r w:rsidR="00240B68">
        <w:t>iation</w:t>
      </w:r>
      <w:r w:rsidR="00F93150">
        <w:t>s, but not blocks.  The tagging parameters had long parameter lines, but there was no code to interpret any time</w:t>
      </w:r>
      <w:r w:rsidR="00240B68">
        <w:t>-</w:t>
      </w:r>
      <w:r w:rsidR="00F93150">
        <w:t>vary</w:t>
      </w:r>
      <w:r w:rsidR="00240B68">
        <w:t>ing</w:t>
      </w:r>
      <w:r w:rsidR="00F93150">
        <w:t xml:space="preserve"> info in those lines.  The situation was begging for a more modular approach.</w:t>
      </w:r>
    </w:p>
    <w:p w:rsidR="008474A4" w:rsidRDefault="00240B68">
      <w:r>
        <w:rPr>
          <w:u w:val="single"/>
        </w:rPr>
        <w:t xml:space="preserve">New </w:t>
      </w:r>
      <w:r w:rsidR="00050E30" w:rsidRPr="00050E30">
        <w:rPr>
          <w:u w:val="single"/>
        </w:rPr>
        <w:t>Code Flow</w:t>
      </w:r>
      <w:r w:rsidR="00050E30">
        <w:t xml:space="preserve">:  </w:t>
      </w:r>
      <w:r w:rsidR="00F93150">
        <w:t xml:space="preserve">In SS3.30, MG, Sel, SRR, Q, and Tag </w:t>
      </w:r>
      <w:r w:rsidR="003A5F17">
        <w:t>base parameters all will use long parameter lines and will invoke blocks, trends, env</w:t>
      </w:r>
      <w:r>
        <w:t>ironmental</w:t>
      </w:r>
      <w:r w:rsidR="003A5F17">
        <w:t xml:space="preserve"> linkages, and random dev</w:t>
      </w:r>
      <w:r>
        <w:t>iation</w:t>
      </w:r>
      <w:r w:rsidR="003A5F17">
        <w:t>s using identical syntax.   As SS3.30 executes the SS_readcontrol code, it calls a function in SS_global called “create_timevary” whenever a base parameter has any one of the 4 types of time</w:t>
      </w:r>
      <w:r>
        <w:t>-</w:t>
      </w:r>
      <w:r w:rsidR="003A5F17">
        <w:t>vary</w:t>
      </w:r>
      <w:r>
        <w:t>ing</w:t>
      </w:r>
      <w:r w:rsidR="003A5F17">
        <w:t xml:space="preserve"> options.  In fact, block/trend, env and devs all can be applied to the same base parameter.  Only blocks and trends are mutually exclusive.  “Create_timevary” creates all needed information to describe and index </w:t>
      </w:r>
      <w:r w:rsidR="00050E30">
        <w:t>a list of time</w:t>
      </w:r>
      <w:r w:rsidR="003A5F17">
        <w:t xml:space="preserve"> varying parameter</w:t>
      </w:r>
      <w:r w:rsidR="00050E30">
        <w:t xml:space="preserve"> specifications</w:t>
      </w:r>
      <w:r w:rsidR="003A5F17">
        <w:t xml:space="preserve">.  Then as </w:t>
      </w:r>
      <w:r w:rsidR="00050E30">
        <w:t>SS gets into iterative parameter updating it starts by calling a function in SS_timevaryparm that processes each time varying parameter specification (each of which can contain any combination of block/trend, env and dev specs) and creates a time series of the parameter value</w:t>
      </w:r>
      <w:r w:rsidR="008474A4">
        <w:t xml:space="preserve"> that are used as </w:t>
      </w:r>
      <w:r w:rsidR="00050E30">
        <w:t xml:space="preserve">SS </w:t>
      </w:r>
      <w:r w:rsidR="008474A4">
        <w:t xml:space="preserve">subsequently </w:t>
      </w:r>
      <w:r w:rsidR="00050E30">
        <w:t>loops through the y</w:t>
      </w:r>
      <w:r w:rsidR="008474A4">
        <w:t>ears.</w:t>
      </w:r>
    </w:p>
    <w:p w:rsidR="00F93150" w:rsidRDefault="00240B68">
      <w:r>
        <w:rPr>
          <w:u w:val="single"/>
        </w:rPr>
        <w:t xml:space="preserve">New Parameter Order: </w:t>
      </w:r>
      <w:bookmarkStart w:id="0" w:name="_GoBack"/>
      <w:bookmarkEnd w:id="0"/>
      <w:r>
        <w:t>The order of parameters has</w:t>
      </w:r>
      <w:r w:rsidR="008474A4">
        <w:t xml:space="preserve"> </w:t>
      </w:r>
      <w:r>
        <w:t>changed and the</w:t>
      </w:r>
      <w:r w:rsidR="006D7A50">
        <w:t xml:space="preserve"> re-ordering is handled by </w:t>
      </w:r>
      <w:r>
        <w:t xml:space="preserve">the </w:t>
      </w:r>
      <w:r w:rsidR="006D7A50">
        <w:t>sstrans</w:t>
      </w:r>
      <w:r>
        <w:t>.exe</w:t>
      </w:r>
      <w:r w:rsidR="006D7A50">
        <w:t>.  Previously</w:t>
      </w:r>
      <w:r>
        <w:t>,</w:t>
      </w:r>
      <w:r w:rsidR="006D7A50">
        <w:t xml:space="preserve"> for each of MG and Sel parameters all env link parameters were listed first, then block/trend parameters and then dev parameters.  In SS3</w:t>
      </w:r>
      <w:r>
        <w:t>.</w:t>
      </w:r>
      <w:r w:rsidR="006D7A50">
        <w:t>30, these parameters are re-organized such that all parameters that affect a base parameter are clustered together with block/trend first, then env, then dev.  So</w:t>
      </w:r>
      <w:r>
        <w:t>,</w:t>
      </w:r>
      <w:r w:rsidR="006D7A50">
        <w:t xml:space="preserve"> if MG base parameters </w:t>
      </w:r>
      <w:r>
        <w:t>3</w:t>
      </w:r>
      <w:r w:rsidR="00322173">
        <w:t xml:space="preserve"> and 7 </w:t>
      </w:r>
      <w:r w:rsidR="006D7A50">
        <w:t>had time varying changes, the order would look like:</w:t>
      </w:r>
    </w:p>
    <w:tbl>
      <w:tblPr>
        <w:tblStyle w:val="TableGrid"/>
        <w:tblW w:w="0" w:type="auto"/>
        <w:tblLook w:val="04A0" w:firstRow="1" w:lastRow="0" w:firstColumn="1" w:lastColumn="0" w:noHBand="0" w:noVBand="1"/>
      </w:tblPr>
      <w:tblGrid>
        <w:gridCol w:w="4675"/>
        <w:gridCol w:w="4675"/>
      </w:tblGrid>
      <w:tr w:rsidR="006D7A50" w:rsidTr="006D7A50">
        <w:tc>
          <w:tcPr>
            <w:tcW w:w="4675" w:type="dxa"/>
          </w:tcPr>
          <w:p w:rsidR="006D7A50" w:rsidRDefault="006D7A50">
            <w:r>
              <w:t>MG base parm 3</w:t>
            </w:r>
          </w:p>
        </w:tc>
        <w:tc>
          <w:tcPr>
            <w:tcW w:w="4675" w:type="dxa"/>
          </w:tcPr>
          <w:p w:rsidR="006D7A50" w:rsidRDefault="006D7A50">
            <w:r>
              <w:t>Block parm 3-1</w:t>
            </w:r>
          </w:p>
        </w:tc>
      </w:tr>
      <w:tr w:rsidR="006D7A50" w:rsidTr="006D7A50">
        <w:tc>
          <w:tcPr>
            <w:tcW w:w="4675" w:type="dxa"/>
          </w:tcPr>
          <w:p w:rsidR="006D7A50" w:rsidRDefault="006D7A50"/>
        </w:tc>
        <w:tc>
          <w:tcPr>
            <w:tcW w:w="4675" w:type="dxa"/>
          </w:tcPr>
          <w:p w:rsidR="006D7A50" w:rsidRDefault="006D7A50">
            <w:r>
              <w:t>Block parm 3-2</w:t>
            </w:r>
          </w:p>
        </w:tc>
      </w:tr>
      <w:tr w:rsidR="006D7A50" w:rsidTr="006D7A50">
        <w:tc>
          <w:tcPr>
            <w:tcW w:w="4675" w:type="dxa"/>
          </w:tcPr>
          <w:p w:rsidR="006D7A50" w:rsidRDefault="006D7A50"/>
        </w:tc>
        <w:tc>
          <w:tcPr>
            <w:tcW w:w="4675" w:type="dxa"/>
          </w:tcPr>
          <w:p w:rsidR="00322173" w:rsidRDefault="00322173">
            <w:r>
              <w:t>Env link parm 3-1</w:t>
            </w:r>
          </w:p>
        </w:tc>
      </w:tr>
      <w:tr w:rsidR="006D7A50" w:rsidTr="006D7A50">
        <w:tc>
          <w:tcPr>
            <w:tcW w:w="4675" w:type="dxa"/>
          </w:tcPr>
          <w:p w:rsidR="006D7A50" w:rsidRDefault="006D7A50"/>
        </w:tc>
        <w:tc>
          <w:tcPr>
            <w:tcW w:w="4675" w:type="dxa"/>
          </w:tcPr>
          <w:p w:rsidR="006D7A50" w:rsidRDefault="00322173">
            <w:r>
              <w:t>Dev se parm 3</w:t>
            </w:r>
          </w:p>
        </w:tc>
      </w:tr>
      <w:tr w:rsidR="006D7A50" w:rsidTr="006D7A50">
        <w:tc>
          <w:tcPr>
            <w:tcW w:w="4675" w:type="dxa"/>
          </w:tcPr>
          <w:p w:rsidR="006D7A50" w:rsidRDefault="006D7A50"/>
        </w:tc>
        <w:tc>
          <w:tcPr>
            <w:tcW w:w="4675" w:type="dxa"/>
          </w:tcPr>
          <w:p w:rsidR="006D7A50" w:rsidRDefault="00322173">
            <w:r>
              <w:t>Dev rho parm 3</w:t>
            </w:r>
          </w:p>
        </w:tc>
      </w:tr>
      <w:tr w:rsidR="006D7A50" w:rsidTr="006D7A50">
        <w:tc>
          <w:tcPr>
            <w:tcW w:w="4675" w:type="dxa"/>
          </w:tcPr>
          <w:p w:rsidR="006D7A50" w:rsidRDefault="00322173">
            <w:r>
              <w:t>MG base parm 7</w:t>
            </w:r>
          </w:p>
        </w:tc>
        <w:tc>
          <w:tcPr>
            <w:tcW w:w="4675" w:type="dxa"/>
          </w:tcPr>
          <w:p w:rsidR="006D7A50" w:rsidRDefault="00322173">
            <w:r>
              <w:t>Block parm 7-1</w:t>
            </w:r>
          </w:p>
        </w:tc>
      </w:tr>
      <w:tr w:rsidR="006D7A50" w:rsidTr="006D7A50">
        <w:tc>
          <w:tcPr>
            <w:tcW w:w="4675" w:type="dxa"/>
          </w:tcPr>
          <w:p w:rsidR="006D7A50" w:rsidRDefault="006D7A50"/>
        </w:tc>
        <w:tc>
          <w:tcPr>
            <w:tcW w:w="4675" w:type="dxa"/>
          </w:tcPr>
          <w:p w:rsidR="006D7A50" w:rsidRDefault="00322173">
            <w:r>
              <w:t>Dev se parm 7</w:t>
            </w:r>
          </w:p>
        </w:tc>
      </w:tr>
      <w:tr w:rsidR="006D7A50" w:rsidTr="006D7A50">
        <w:tc>
          <w:tcPr>
            <w:tcW w:w="4675" w:type="dxa"/>
          </w:tcPr>
          <w:p w:rsidR="006D7A50" w:rsidRDefault="006D7A50"/>
        </w:tc>
        <w:tc>
          <w:tcPr>
            <w:tcW w:w="4675" w:type="dxa"/>
          </w:tcPr>
          <w:p w:rsidR="006D7A50" w:rsidRDefault="00322173">
            <w:r>
              <w:t>Dev rho parm 7</w:t>
            </w:r>
          </w:p>
        </w:tc>
      </w:tr>
    </w:tbl>
    <w:p w:rsidR="006D7A50" w:rsidRDefault="006D7A50"/>
    <w:p w:rsidR="00322173" w:rsidRDefault="00322173">
      <w:r w:rsidRPr="00322173">
        <w:rPr>
          <w:u w:val="single"/>
        </w:rPr>
        <w:t>Link Functions</w:t>
      </w:r>
      <w:r>
        <w:t>:  The functional form by which a time vary parameter</w:t>
      </w:r>
      <w:r w:rsidR="00537877">
        <w:t>, Q,</w:t>
      </w:r>
      <w:r>
        <w:t xml:space="preserve"> changes a base parameter</w:t>
      </w:r>
      <w:r w:rsidR="00537877">
        <w:t>, P,</w:t>
      </w:r>
      <w:r>
        <w:t xml:space="preserve"> is a link function:  P’(y)=f(P,Q).  </w:t>
      </w:r>
      <w:r w:rsidR="007E5FFB">
        <w:t xml:space="preserve">Typically this is additive or multiplicative function, but the parameter mirroring feature is essentially a link that takes no parameter.  </w:t>
      </w:r>
      <w:r w:rsidR="00537877">
        <w:t xml:space="preserve">Another type of link in SS is between a model state variable, such as available biomass, and the expected value for a survey.  </w:t>
      </w:r>
      <w:r w:rsidR="007E5FFB">
        <w:t>Typically,</w:t>
      </w:r>
      <w:r w:rsidR="00537877">
        <w:t xml:space="preserve"> this is a </w:t>
      </w:r>
      <w:r w:rsidR="00537877">
        <w:lastRenderedPageBreak/>
        <w:t>simple proportional link taking one parameter, q.  But the q power feature is essentially a 2 parameter link function.  So</w:t>
      </w:r>
      <w:r w:rsidR="007E5FFB">
        <w:t>,</w:t>
      </w:r>
      <w:r w:rsidR="00537877">
        <w:t xml:space="preserve"> a parameter link function can change q over time, and a survey link function then uses the annual value of q to link the annual value of a state variable to the expected value for a survey.  </w:t>
      </w:r>
      <w:r>
        <w:t xml:space="preserve">In SS 3.24, various usages of positive and negative codes and other conventions were used to invoke </w:t>
      </w:r>
      <w:r w:rsidR="00537877">
        <w:t xml:space="preserve">additive vs multiplication links and other options.  </w:t>
      </w:r>
      <w:r w:rsidR="007E5FFB">
        <w:t>But as 3.30 builds capability to allow an environment index to be a “survey” of a parameter deviation, we need a larger family of link functions such as logistic and even dome-shaped.</w:t>
      </w:r>
    </w:p>
    <w:p w:rsidR="007E5FFB" w:rsidRDefault="007E5FFB">
      <w:r>
        <w:t>The table below shows the link specifications in 3.24 and the corresponding link specification in 3.30.  Take special note of the env linkage specification where two bits of information are coded into one number.  An env link specification of 204 is parsed by SS to use link type 2 using env variable 4.</w:t>
      </w:r>
    </w:p>
    <w:p w:rsidR="007E5FFB" w:rsidRDefault="00E44064">
      <w:r>
        <w:t>In version 3.24, the linkage options were:</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354"/>
        <w:gridCol w:w="1330"/>
        <w:gridCol w:w="1230"/>
        <w:gridCol w:w="855"/>
        <w:gridCol w:w="856"/>
        <w:gridCol w:w="855"/>
        <w:gridCol w:w="1520"/>
        <w:gridCol w:w="1350"/>
      </w:tblGrid>
      <w:tr w:rsidR="00E44064" w:rsidRPr="008F2AB7" w:rsidTr="00E44064">
        <w:trPr>
          <w:cantSplit/>
          <w:trHeight w:val="339"/>
        </w:trPr>
        <w:tc>
          <w:tcPr>
            <w:tcW w:w="724" w:type="pct"/>
            <w:vAlign w:val="center"/>
          </w:tcPr>
          <w:p w:rsidR="00E44064" w:rsidRPr="008F2AB7" w:rsidRDefault="00E44064" w:rsidP="00093011">
            <w:pPr>
              <w:widowControl w:val="0"/>
              <w:rPr>
                <w:bCs/>
                <w:color w:val="000000"/>
                <w:sz w:val="20"/>
                <w:szCs w:val="20"/>
              </w:rPr>
            </w:pPr>
          </w:p>
        </w:tc>
        <w:tc>
          <w:tcPr>
            <w:tcW w:w="711" w:type="pct"/>
            <w:noWrap/>
            <w:vAlign w:val="center"/>
            <w:hideMark/>
          </w:tcPr>
          <w:p w:rsidR="00E44064" w:rsidRPr="008F2AB7" w:rsidRDefault="00E44064" w:rsidP="00093011">
            <w:pPr>
              <w:widowControl w:val="0"/>
              <w:rPr>
                <w:bCs/>
                <w:color w:val="000000"/>
                <w:sz w:val="20"/>
                <w:szCs w:val="20"/>
              </w:rPr>
            </w:pPr>
            <w:r w:rsidRPr="008F2AB7">
              <w:rPr>
                <w:bCs/>
                <w:color w:val="000000"/>
                <w:sz w:val="20"/>
                <w:szCs w:val="20"/>
              </w:rPr>
              <w:t>Environ</w:t>
            </w:r>
          </w:p>
        </w:tc>
        <w:tc>
          <w:tcPr>
            <w:tcW w:w="2030" w:type="pct"/>
            <w:gridSpan w:val="4"/>
            <w:noWrap/>
            <w:vAlign w:val="center"/>
            <w:hideMark/>
          </w:tcPr>
          <w:p w:rsidR="00E44064" w:rsidRPr="008F2AB7" w:rsidRDefault="00E44064" w:rsidP="00093011">
            <w:pPr>
              <w:widowControl w:val="0"/>
              <w:rPr>
                <w:bCs/>
                <w:color w:val="000000"/>
                <w:sz w:val="20"/>
                <w:szCs w:val="20"/>
              </w:rPr>
            </w:pPr>
            <w:r w:rsidRPr="008F2AB7">
              <w:rPr>
                <w:bCs/>
                <w:color w:val="000000"/>
                <w:sz w:val="20"/>
                <w:szCs w:val="20"/>
              </w:rPr>
              <w:t>Annual Devs</w:t>
            </w:r>
          </w:p>
        </w:tc>
        <w:tc>
          <w:tcPr>
            <w:tcW w:w="1535" w:type="pct"/>
            <w:gridSpan w:val="2"/>
            <w:noWrap/>
            <w:vAlign w:val="center"/>
            <w:hideMark/>
          </w:tcPr>
          <w:p w:rsidR="00E44064" w:rsidRPr="008F2AB7" w:rsidRDefault="00E44064" w:rsidP="00093011">
            <w:pPr>
              <w:widowControl w:val="0"/>
              <w:rPr>
                <w:bCs/>
                <w:color w:val="000000"/>
                <w:sz w:val="20"/>
                <w:szCs w:val="20"/>
              </w:rPr>
            </w:pPr>
            <w:r w:rsidRPr="008F2AB7">
              <w:rPr>
                <w:bCs/>
                <w:color w:val="000000"/>
                <w:sz w:val="20"/>
                <w:szCs w:val="20"/>
              </w:rPr>
              <w:t>Blocks</w:t>
            </w:r>
          </w:p>
        </w:tc>
      </w:tr>
      <w:tr w:rsidR="00E44064" w:rsidRPr="008F2AB7" w:rsidTr="00093011">
        <w:trPr>
          <w:cantSplit/>
          <w:trHeight w:val="339"/>
        </w:trPr>
        <w:tc>
          <w:tcPr>
            <w:tcW w:w="724" w:type="pct"/>
            <w:vAlign w:val="center"/>
          </w:tcPr>
          <w:p w:rsidR="00E44064" w:rsidRPr="008F2AB7" w:rsidRDefault="00E44064" w:rsidP="00093011">
            <w:pPr>
              <w:widowControl w:val="0"/>
              <w:rPr>
                <w:color w:val="000000"/>
                <w:sz w:val="20"/>
                <w:szCs w:val="20"/>
              </w:rPr>
            </w:pPr>
            <w:r w:rsidRPr="008F2AB7">
              <w:rPr>
                <w:color w:val="000000"/>
                <w:sz w:val="20"/>
                <w:szCs w:val="20"/>
              </w:rPr>
              <w:t>NAME:</w:t>
            </w:r>
          </w:p>
        </w:tc>
        <w:tc>
          <w:tcPr>
            <w:tcW w:w="711"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Env Var</w:t>
            </w:r>
          </w:p>
        </w:tc>
        <w:tc>
          <w:tcPr>
            <w:tcW w:w="658"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Use dev</w:t>
            </w:r>
          </w:p>
        </w:tc>
        <w:tc>
          <w:tcPr>
            <w:tcW w:w="457"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Dev minyr</w:t>
            </w:r>
          </w:p>
        </w:tc>
        <w:tc>
          <w:tcPr>
            <w:tcW w:w="458"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Dev maxyr</w:t>
            </w:r>
          </w:p>
        </w:tc>
        <w:tc>
          <w:tcPr>
            <w:tcW w:w="457"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 xml:space="preserve">Dev </w:t>
            </w:r>
          </w:p>
          <w:p w:rsidR="00E44064" w:rsidRPr="008F2AB7" w:rsidRDefault="00E44064" w:rsidP="00093011">
            <w:pPr>
              <w:widowControl w:val="0"/>
              <w:rPr>
                <w:color w:val="000000"/>
                <w:sz w:val="20"/>
                <w:szCs w:val="20"/>
              </w:rPr>
            </w:pPr>
            <w:r w:rsidRPr="008F2AB7">
              <w:rPr>
                <w:color w:val="000000"/>
                <w:sz w:val="20"/>
                <w:szCs w:val="20"/>
              </w:rPr>
              <w:t>stddev</w:t>
            </w:r>
          </w:p>
        </w:tc>
        <w:tc>
          <w:tcPr>
            <w:tcW w:w="813"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Block</w:t>
            </w:r>
          </w:p>
        </w:tc>
        <w:tc>
          <w:tcPr>
            <w:tcW w:w="722"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Block Fxn</w:t>
            </w:r>
          </w:p>
        </w:tc>
      </w:tr>
      <w:tr w:rsidR="00E44064" w:rsidRPr="008F2AB7" w:rsidTr="00093011">
        <w:trPr>
          <w:cantSplit/>
          <w:trHeight w:val="339"/>
        </w:trPr>
        <w:tc>
          <w:tcPr>
            <w:tcW w:w="724" w:type="pct"/>
            <w:vAlign w:val="center"/>
          </w:tcPr>
          <w:p w:rsidR="00E44064" w:rsidRPr="008F2AB7" w:rsidRDefault="00E44064" w:rsidP="00093011">
            <w:pPr>
              <w:widowControl w:val="0"/>
              <w:rPr>
                <w:color w:val="000000"/>
                <w:sz w:val="20"/>
                <w:szCs w:val="20"/>
              </w:rPr>
            </w:pPr>
            <w:r w:rsidRPr="008F2AB7">
              <w:rPr>
                <w:color w:val="000000"/>
                <w:sz w:val="20"/>
                <w:szCs w:val="20"/>
              </w:rPr>
              <w:t>ELEMENT:</w:t>
            </w:r>
          </w:p>
        </w:tc>
        <w:tc>
          <w:tcPr>
            <w:tcW w:w="711"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8</w:t>
            </w:r>
          </w:p>
        </w:tc>
        <w:tc>
          <w:tcPr>
            <w:tcW w:w="658"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9</w:t>
            </w:r>
          </w:p>
        </w:tc>
        <w:tc>
          <w:tcPr>
            <w:tcW w:w="457"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10</w:t>
            </w:r>
          </w:p>
        </w:tc>
        <w:tc>
          <w:tcPr>
            <w:tcW w:w="458"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11</w:t>
            </w:r>
          </w:p>
        </w:tc>
        <w:tc>
          <w:tcPr>
            <w:tcW w:w="457"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12</w:t>
            </w:r>
          </w:p>
        </w:tc>
        <w:tc>
          <w:tcPr>
            <w:tcW w:w="813"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13</w:t>
            </w:r>
          </w:p>
        </w:tc>
        <w:tc>
          <w:tcPr>
            <w:tcW w:w="722"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14</w:t>
            </w:r>
          </w:p>
        </w:tc>
      </w:tr>
      <w:tr w:rsidR="00E44064" w:rsidRPr="008F2AB7" w:rsidTr="00093011">
        <w:trPr>
          <w:cantSplit/>
          <w:trHeight w:val="339"/>
        </w:trPr>
        <w:tc>
          <w:tcPr>
            <w:tcW w:w="724" w:type="pct"/>
            <w:vAlign w:val="center"/>
          </w:tcPr>
          <w:p w:rsidR="00E44064" w:rsidRPr="008F2AB7" w:rsidRDefault="00E44064" w:rsidP="00093011">
            <w:pPr>
              <w:widowControl w:val="0"/>
              <w:rPr>
                <w:color w:val="000000"/>
                <w:sz w:val="20"/>
                <w:szCs w:val="20"/>
              </w:rPr>
            </w:pPr>
            <w:r w:rsidRPr="008F2AB7">
              <w:rPr>
                <w:color w:val="000000"/>
                <w:sz w:val="20"/>
                <w:szCs w:val="20"/>
              </w:rPr>
              <w:t>OPTIONS:</w:t>
            </w:r>
          </w:p>
        </w:tc>
        <w:tc>
          <w:tcPr>
            <w:tcW w:w="711"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&gt;0:  mult</w:t>
            </w:r>
          </w:p>
        </w:tc>
        <w:tc>
          <w:tcPr>
            <w:tcW w:w="658"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1:  mult</w:t>
            </w:r>
          </w:p>
        </w:tc>
        <w:tc>
          <w:tcPr>
            <w:tcW w:w="457"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1973</w:t>
            </w:r>
          </w:p>
        </w:tc>
        <w:tc>
          <w:tcPr>
            <w:tcW w:w="458"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1985</w:t>
            </w:r>
          </w:p>
        </w:tc>
        <w:tc>
          <w:tcPr>
            <w:tcW w:w="457"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0.4</w:t>
            </w:r>
          </w:p>
        </w:tc>
        <w:tc>
          <w:tcPr>
            <w:tcW w:w="813"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&gt;0:block index</w:t>
            </w:r>
          </w:p>
        </w:tc>
        <w:tc>
          <w:tcPr>
            <w:tcW w:w="722"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0:  mult</w:t>
            </w:r>
          </w:p>
        </w:tc>
      </w:tr>
      <w:tr w:rsidR="00E44064" w:rsidRPr="008F2AB7" w:rsidTr="00093011">
        <w:trPr>
          <w:cantSplit/>
          <w:trHeight w:val="339"/>
        </w:trPr>
        <w:tc>
          <w:tcPr>
            <w:tcW w:w="724" w:type="pct"/>
            <w:vAlign w:val="center"/>
          </w:tcPr>
          <w:p w:rsidR="00E44064" w:rsidRPr="008F2AB7" w:rsidRDefault="00E44064" w:rsidP="00093011">
            <w:pPr>
              <w:widowControl w:val="0"/>
              <w:rPr>
                <w:color w:val="000000"/>
                <w:sz w:val="20"/>
                <w:szCs w:val="20"/>
              </w:rPr>
            </w:pPr>
          </w:p>
        </w:tc>
        <w:tc>
          <w:tcPr>
            <w:tcW w:w="711"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&lt;0:  additive</w:t>
            </w:r>
          </w:p>
        </w:tc>
        <w:tc>
          <w:tcPr>
            <w:tcW w:w="658"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2:  additive</w:t>
            </w:r>
          </w:p>
        </w:tc>
        <w:tc>
          <w:tcPr>
            <w:tcW w:w="457" w:type="pct"/>
            <w:noWrap/>
            <w:vAlign w:val="center"/>
            <w:hideMark/>
          </w:tcPr>
          <w:p w:rsidR="00E44064" w:rsidRPr="008F2AB7" w:rsidRDefault="00E44064" w:rsidP="00093011">
            <w:pPr>
              <w:widowControl w:val="0"/>
              <w:rPr>
                <w:color w:val="000000"/>
                <w:sz w:val="20"/>
                <w:szCs w:val="20"/>
              </w:rPr>
            </w:pPr>
          </w:p>
        </w:tc>
        <w:tc>
          <w:tcPr>
            <w:tcW w:w="458" w:type="pct"/>
            <w:noWrap/>
            <w:vAlign w:val="center"/>
            <w:hideMark/>
          </w:tcPr>
          <w:p w:rsidR="00E44064" w:rsidRPr="008F2AB7" w:rsidRDefault="00E44064" w:rsidP="00093011">
            <w:pPr>
              <w:widowControl w:val="0"/>
              <w:rPr>
                <w:color w:val="000000"/>
                <w:sz w:val="20"/>
                <w:szCs w:val="20"/>
              </w:rPr>
            </w:pPr>
          </w:p>
        </w:tc>
        <w:tc>
          <w:tcPr>
            <w:tcW w:w="457" w:type="pct"/>
            <w:noWrap/>
            <w:vAlign w:val="center"/>
            <w:hideMark/>
          </w:tcPr>
          <w:p w:rsidR="00E44064" w:rsidRPr="008F2AB7" w:rsidRDefault="00E44064" w:rsidP="00093011">
            <w:pPr>
              <w:widowControl w:val="0"/>
              <w:rPr>
                <w:color w:val="000000"/>
                <w:sz w:val="20"/>
                <w:szCs w:val="20"/>
              </w:rPr>
            </w:pPr>
          </w:p>
        </w:tc>
        <w:tc>
          <w:tcPr>
            <w:tcW w:w="813" w:type="pct"/>
            <w:noWrap/>
            <w:vAlign w:val="center"/>
            <w:hideMark/>
          </w:tcPr>
          <w:p w:rsidR="00E44064" w:rsidRPr="008F2AB7" w:rsidRDefault="00E44064" w:rsidP="00093011">
            <w:pPr>
              <w:widowControl w:val="0"/>
              <w:rPr>
                <w:color w:val="000000"/>
                <w:sz w:val="20"/>
                <w:szCs w:val="20"/>
              </w:rPr>
            </w:pPr>
          </w:p>
        </w:tc>
        <w:tc>
          <w:tcPr>
            <w:tcW w:w="722"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1:  additive</w:t>
            </w:r>
          </w:p>
        </w:tc>
      </w:tr>
      <w:tr w:rsidR="00E44064" w:rsidRPr="008F2AB7" w:rsidTr="00093011">
        <w:trPr>
          <w:cantSplit/>
          <w:trHeight w:val="339"/>
        </w:trPr>
        <w:tc>
          <w:tcPr>
            <w:tcW w:w="724" w:type="pct"/>
            <w:vAlign w:val="center"/>
          </w:tcPr>
          <w:p w:rsidR="00E44064" w:rsidRPr="008F2AB7" w:rsidRDefault="00E44064" w:rsidP="00093011">
            <w:pPr>
              <w:widowControl w:val="0"/>
              <w:rPr>
                <w:color w:val="000000"/>
                <w:sz w:val="20"/>
                <w:szCs w:val="20"/>
              </w:rPr>
            </w:pPr>
          </w:p>
        </w:tc>
        <w:tc>
          <w:tcPr>
            <w:tcW w:w="711"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abs(value):  env index</w:t>
            </w:r>
          </w:p>
        </w:tc>
        <w:tc>
          <w:tcPr>
            <w:tcW w:w="658"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3:  additive</w:t>
            </w:r>
          </w:p>
          <w:p w:rsidR="00E44064" w:rsidRPr="008F2AB7" w:rsidRDefault="00E44064" w:rsidP="00093011">
            <w:pPr>
              <w:widowControl w:val="0"/>
              <w:rPr>
                <w:color w:val="000000"/>
                <w:sz w:val="20"/>
                <w:szCs w:val="20"/>
              </w:rPr>
            </w:pPr>
            <w:r w:rsidRPr="008F2AB7">
              <w:rPr>
                <w:color w:val="000000"/>
                <w:sz w:val="20"/>
                <w:szCs w:val="20"/>
              </w:rPr>
              <w:t>randwalk</w:t>
            </w:r>
          </w:p>
        </w:tc>
        <w:tc>
          <w:tcPr>
            <w:tcW w:w="457" w:type="pct"/>
            <w:noWrap/>
            <w:vAlign w:val="center"/>
            <w:hideMark/>
          </w:tcPr>
          <w:p w:rsidR="00E44064" w:rsidRPr="008F2AB7" w:rsidRDefault="00E44064" w:rsidP="00093011">
            <w:pPr>
              <w:widowControl w:val="0"/>
              <w:rPr>
                <w:color w:val="000000"/>
                <w:sz w:val="20"/>
                <w:szCs w:val="20"/>
              </w:rPr>
            </w:pPr>
          </w:p>
        </w:tc>
        <w:tc>
          <w:tcPr>
            <w:tcW w:w="458" w:type="pct"/>
            <w:noWrap/>
            <w:vAlign w:val="center"/>
            <w:hideMark/>
          </w:tcPr>
          <w:p w:rsidR="00E44064" w:rsidRPr="008F2AB7" w:rsidRDefault="00E44064" w:rsidP="00093011">
            <w:pPr>
              <w:widowControl w:val="0"/>
              <w:rPr>
                <w:color w:val="000000"/>
                <w:sz w:val="20"/>
                <w:szCs w:val="20"/>
              </w:rPr>
            </w:pPr>
          </w:p>
        </w:tc>
        <w:tc>
          <w:tcPr>
            <w:tcW w:w="457" w:type="pct"/>
            <w:noWrap/>
            <w:vAlign w:val="center"/>
            <w:hideMark/>
          </w:tcPr>
          <w:p w:rsidR="00E44064" w:rsidRPr="008F2AB7" w:rsidRDefault="00E44064" w:rsidP="00093011">
            <w:pPr>
              <w:widowControl w:val="0"/>
              <w:rPr>
                <w:color w:val="000000"/>
                <w:sz w:val="20"/>
                <w:szCs w:val="20"/>
              </w:rPr>
            </w:pPr>
          </w:p>
        </w:tc>
        <w:tc>
          <w:tcPr>
            <w:tcW w:w="813" w:type="pct"/>
            <w:noWrap/>
            <w:vAlign w:val="center"/>
            <w:hideMark/>
          </w:tcPr>
          <w:p w:rsidR="00E44064" w:rsidRPr="008F2AB7" w:rsidRDefault="00E44064" w:rsidP="00093011">
            <w:pPr>
              <w:widowControl w:val="0"/>
              <w:rPr>
                <w:color w:val="000000"/>
                <w:sz w:val="20"/>
                <w:szCs w:val="20"/>
              </w:rPr>
            </w:pPr>
          </w:p>
        </w:tc>
        <w:tc>
          <w:tcPr>
            <w:tcW w:w="722"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2:  replace</w:t>
            </w:r>
          </w:p>
        </w:tc>
      </w:tr>
      <w:tr w:rsidR="00E44064" w:rsidRPr="008F2AB7" w:rsidTr="00093011">
        <w:trPr>
          <w:cantSplit/>
          <w:trHeight w:val="339"/>
        </w:trPr>
        <w:tc>
          <w:tcPr>
            <w:tcW w:w="724" w:type="pct"/>
            <w:vAlign w:val="center"/>
          </w:tcPr>
          <w:p w:rsidR="00E44064" w:rsidRPr="008F2AB7" w:rsidRDefault="00E44064" w:rsidP="00093011">
            <w:pPr>
              <w:widowControl w:val="0"/>
              <w:rPr>
                <w:color w:val="000000"/>
                <w:sz w:val="20"/>
                <w:szCs w:val="20"/>
              </w:rPr>
            </w:pPr>
          </w:p>
        </w:tc>
        <w:tc>
          <w:tcPr>
            <w:tcW w:w="711" w:type="pct"/>
            <w:noWrap/>
            <w:vAlign w:val="center"/>
            <w:hideMark/>
          </w:tcPr>
          <w:p w:rsidR="00E44064" w:rsidRPr="008F2AB7" w:rsidRDefault="00E44064" w:rsidP="00093011">
            <w:pPr>
              <w:widowControl w:val="0"/>
              <w:rPr>
                <w:color w:val="000000"/>
                <w:sz w:val="20"/>
                <w:szCs w:val="20"/>
              </w:rPr>
            </w:pPr>
          </w:p>
        </w:tc>
        <w:tc>
          <w:tcPr>
            <w:tcW w:w="658" w:type="pct"/>
            <w:noWrap/>
            <w:vAlign w:val="center"/>
            <w:hideMark/>
          </w:tcPr>
          <w:p w:rsidR="00E44064" w:rsidRPr="008F2AB7" w:rsidRDefault="00E44064" w:rsidP="00093011">
            <w:pPr>
              <w:widowControl w:val="0"/>
              <w:rPr>
                <w:color w:val="000000"/>
                <w:sz w:val="20"/>
                <w:szCs w:val="20"/>
              </w:rPr>
            </w:pPr>
            <w:r>
              <w:rPr>
                <w:color w:val="000000"/>
                <w:sz w:val="20"/>
                <w:szCs w:val="20"/>
              </w:rPr>
              <w:t>4:  mean reverting randwalk</w:t>
            </w:r>
          </w:p>
        </w:tc>
        <w:tc>
          <w:tcPr>
            <w:tcW w:w="457" w:type="pct"/>
            <w:noWrap/>
            <w:vAlign w:val="center"/>
            <w:hideMark/>
          </w:tcPr>
          <w:p w:rsidR="00E44064" w:rsidRPr="008F2AB7" w:rsidRDefault="00E44064" w:rsidP="00093011">
            <w:pPr>
              <w:widowControl w:val="0"/>
              <w:rPr>
                <w:color w:val="000000"/>
                <w:sz w:val="20"/>
                <w:szCs w:val="20"/>
              </w:rPr>
            </w:pPr>
          </w:p>
        </w:tc>
        <w:tc>
          <w:tcPr>
            <w:tcW w:w="458" w:type="pct"/>
            <w:noWrap/>
            <w:vAlign w:val="center"/>
            <w:hideMark/>
          </w:tcPr>
          <w:p w:rsidR="00E44064" w:rsidRPr="008F2AB7" w:rsidRDefault="00E44064" w:rsidP="00093011">
            <w:pPr>
              <w:widowControl w:val="0"/>
              <w:rPr>
                <w:color w:val="000000"/>
                <w:sz w:val="20"/>
                <w:szCs w:val="20"/>
              </w:rPr>
            </w:pPr>
          </w:p>
        </w:tc>
        <w:tc>
          <w:tcPr>
            <w:tcW w:w="457" w:type="pct"/>
            <w:noWrap/>
            <w:vAlign w:val="center"/>
            <w:hideMark/>
          </w:tcPr>
          <w:p w:rsidR="00E44064" w:rsidRPr="008F2AB7" w:rsidRDefault="00E44064" w:rsidP="00093011">
            <w:pPr>
              <w:widowControl w:val="0"/>
              <w:rPr>
                <w:color w:val="000000"/>
                <w:sz w:val="20"/>
                <w:szCs w:val="20"/>
              </w:rPr>
            </w:pPr>
          </w:p>
        </w:tc>
        <w:tc>
          <w:tcPr>
            <w:tcW w:w="813" w:type="pct"/>
            <w:noWrap/>
            <w:vAlign w:val="center"/>
            <w:hideMark/>
          </w:tcPr>
          <w:p w:rsidR="00E44064" w:rsidRPr="008F2AB7" w:rsidRDefault="00E44064" w:rsidP="00093011">
            <w:pPr>
              <w:widowControl w:val="0"/>
              <w:rPr>
                <w:color w:val="000000"/>
                <w:sz w:val="20"/>
                <w:szCs w:val="20"/>
              </w:rPr>
            </w:pPr>
          </w:p>
        </w:tc>
        <w:tc>
          <w:tcPr>
            <w:tcW w:w="722"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3:  randwalk</w:t>
            </w:r>
          </w:p>
        </w:tc>
      </w:tr>
      <w:tr w:rsidR="00E44064" w:rsidRPr="008F2AB7" w:rsidTr="00093011">
        <w:trPr>
          <w:cantSplit/>
          <w:trHeight w:val="339"/>
        </w:trPr>
        <w:tc>
          <w:tcPr>
            <w:tcW w:w="724" w:type="pct"/>
            <w:vAlign w:val="center"/>
          </w:tcPr>
          <w:p w:rsidR="00E44064" w:rsidRPr="008F2AB7" w:rsidRDefault="00E44064" w:rsidP="00093011">
            <w:pPr>
              <w:widowControl w:val="0"/>
              <w:rPr>
                <w:color w:val="000000"/>
                <w:sz w:val="20"/>
                <w:szCs w:val="20"/>
              </w:rPr>
            </w:pPr>
          </w:p>
        </w:tc>
        <w:tc>
          <w:tcPr>
            <w:tcW w:w="711" w:type="pct"/>
            <w:noWrap/>
            <w:vAlign w:val="center"/>
          </w:tcPr>
          <w:p w:rsidR="00E44064" w:rsidRPr="008F2AB7" w:rsidRDefault="00E44064" w:rsidP="00093011">
            <w:pPr>
              <w:widowControl w:val="0"/>
              <w:rPr>
                <w:color w:val="000000"/>
                <w:sz w:val="20"/>
                <w:szCs w:val="20"/>
              </w:rPr>
            </w:pPr>
          </w:p>
        </w:tc>
        <w:tc>
          <w:tcPr>
            <w:tcW w:w="658" w:type="pct"/>
            <w:noWrap/>
            <w:vAlign w:val="center"/>
          </w:tcPr>
          <w:p w:rsidR="00E44064" w:rsidRDefault="00E44064" w:rsidP="00093011">
            <w:pPr>
              <w:widowControl w:val="0"/>
              <w:rPr>
                <w:color w:val="000000"/>
                <w:sz w:val="20"/>
                <w:szCs w:val="20"/>
              </w:rPr>
            </w:pPr>
          </w:p>
        </w:tc>
        <w:tc>
          <w:tcPr>
            <w:tcW w:w="457" w:type="pct"/>
            <w:noWrap/>
            <w:vAlign w:val="center"/>
          </w:tcPr>
          <w:p w:rsidR="00E44064" w:rsidRPr="008F2AB7" w:rsidRDefault="00E44064" w:rsidP="00093011">
            <w:pPr>
              <w:widowControl w:val="0"/>
              <w:rPr>
                <w:color w:val="000000"/>
                <w:sz w:val="20"/>
                <w:szCs w:val="20"/>
              </w:rPr>
            </w:pPr>
          </w:p>
        </w:tc>
        <w:tc>
          <w:tcPr>
            <w:tcW w:w="458" w:type="pct"/>
            <w:noWrap/>
            <w:vAlign w:val="center"/>
          </w:tcPr>
          <w:p w:rsidR="00E44064" w:rsidRPr="008F2AB7" w:rsidRDefault="00E44064" w:rsidP="00093011">
            <w:pPr>
              <w:widowControl w:val="0"/>
              <w:rPr>
                <w:color w:val="000000"/>
                <w:sz w:val="20"/>
                <w:szCs w:val="20"/>
              </w:rPr>
            </w:pPr>
          </w:p>
        </w:tc>
        <w:tc>
          <w:tcPr>
            <w:tcW w:w="457" w:type="pct"/>
            <w:noWrap/>
            <w:vAlign w:val="center"/>
          </w:tcPr>
          <w:p w:rsidR="00E44064" w:rsidRPr="008F2AB7" w:rsidRDefault="00E44064" w:rsidP="00093011">
            <w:pPr>
              <w:widowControl w:val="0"/>
              <w:rPr>
                <w:color w:val="000000"/>
                <w:sz w:val="20"/>
                <w:szCs w:val="20"/>
              </w:rPr>
            </w:pPr>
          </w:p>
        </w:tc>
        <w:tc>
          <w:tcPr>
            <w:tcW w:w="813" w:type="pct"/>
            <w:noWrap/>
            <w:vAlign w:val="center"/>
          </w:tcPr>
          <w:p w:rsidR="00E44064" w:rsidRPr="008F2AB7" w:rsidRDefault="00806AF4" w:rsidP="00093011">
            <w:pPr>
              <w:widowControl w:val="0"/>
              <w:rPr>
                <w:color w:val="000000"/>
                <w:sz w:val="20"/>
                <w:szCs w:val="20"/>
              </w:rPr>
            </w:pPr>
            <w:r>
              <w:rPr>
                <w:color w:val="000000"/>
                <w:sz w:val="20"/>
                <w:szCs w:val="20"/>
              </w:rPr>
              <w:t>-1:</w:t>
            </w:r>
            <w:r w:rsidR="00E44064">
              <w:rPr>
                <w:color w:val="000000"/>
                <w:sz w:val="20"/>
                <w:szCs w:val="20"/>
              </w:rPr>
              <w:t xml:space="preserve"> trend</w:t>
            </w:r>
            <w:r>
              <w:rPr>
                <w:color w:val="000000"/>
                <w:sz w:val="20"/>
                <w:szCs w:val="20"/>
              </w:rPr>
              <w:t xml:space="preserve"> with final as offset from baseparm, and offset value is in log space*</w:t>
            </w:r>
          </w:p>
        </w:tc>
        <w:tc>
          <w:tcPr>
            <w:tcW w:w="722" w:type="pct"/>
            <w:noWrap/>
            <w:vAlign w:val="center"/>
          </w:tcPr>
          <w:p w:rsidR="00E44064" w:rsidRPr="008F2AB7" w:rsidRDefault="005E7398" w:rsidP="00093011">
            <w:pPr>
              <w:widowControl w:val="0"/>
              <w:rPr>
                <w:color w:val="000000"/>
                <w:sz w:val="20"/>
                <w:szCs w:val="20"/>
              </w:rPr>
            </w:pPr>
            <w:r>
              <w:rPr>
                <w:color w:val="000000"/>
                <w:sz w:val="20"/>
                <w:szCs w:val="20"/>
              </w:rPr>
              <w:t>NA</w:t>
            </w:r>
          </w:p>
        </w:tc>
      </w:tr>
      <w:tr w:rsidR="00E44064" w:rsidRPr="008F2AB7" w:rsidTr="00093011">
        <w:trPr>
          <w:cantSplit/>
          <w:trHeight w:val="339"/>
        </w:trPr>
        <w:tc>
          <w:tcPr>
            <w:tcW w:w="724" w:type="pct"/>
            <w:vAlign w:val="center"/>
          </w:tcPr>
          <w:p w:rsidR="00E44064" w:rsidRPr="008F2AB7" w:rsidRDefault="00E44064" w:rsidP="00093011">
            <w:pPr>
              <w:widowControl w:val="0"/>
              <w:rPr>
                <w:color w:val="000000"/>
                <w:sz w:val="20"/>
                <w:szCs w:val="20"/>
              </w:rPr>
            </w:pPr>
          </w:p>
        </w:tc>
        <w:tc>
          <w:tcPr>
            <w:tcW w:w="711" w:type="pct"/>
            <w:noWrap/>
            <w:vAlign w:val="center"/>
          </w:tcPr>
          <w:p w:rsidR="00E44064" w:rsidRPr="008F2AB7" w:rsidRDefault="00E44064" w:rsidP="00093011">
            <w:pPr>
              <w:widowControl w:val="0"/>
              <w:rPr>
                <w:color w:val="000000"/>
                <w:sz w:val="20"/>
                <w:szCs w:val="20"/>
              </w:rPr>
            </w:pPr>
          </w:p>
        </w:tc>
        <w:tc>
          <w:tcPr>
            <w:tcW w:w="658" w:type="pct"/>
            <w:noWrap/>
            <w:vAlign w:val="center"/>
          </w:tcPr>
          <w:p w:rsidR="00E44064" w:rsidRDefault="00E44064" w:rsidP="00093011">
            <w:pPr>
              <w:widowControl w:val="0"/>
              <w:rPr>
                <w:color w:val="000000"/>
                <w:sz w:val="20"/>
                <w:szCs w:val="20"/>
              </w:rPr>
            </w:pPr>
          </w:p>
        </w:tc>
        <w:tc>
          <w:tcPr>
            <w:tcW w:w="457" w:type="pct"/>
            <w:noWrap/>
            <w:vAlign w:val="center"/>
          </w:tcPr>
          <w:p w:rsidR="00E44064" w:rsidRPr="008F2AB7" w:rsidRDefault="00E44064" w:rsidP="00093011">
            <w:pPr>
              <w:widowControl w:val="0"/>
              <w:rPr>
                <w:color w:val="000000"/>
                <w:sz w:val="20"/>
                <w:szCs w:val="20"/>
              </w:rPr>
            </w:pPr>
          </w:p>
        </w:tc>
        <w:tc>
          <w:tcPr>
            <w:tcW w:w="458" w:type="pct"/>
            <w:noWrap/>
            <w:vAlign w:val="center"/>
          </w:tcPr>
          <w:p w:rsidR="00E44064" w:rsidRPr="008F2AB7" w:rsidRDefault="00E44064" w:rsidP="00093011">
            <w:pPr>
              <w:widowControl w:val="0"/>
              <w:rPr>
                <w:color w:val="000000"/>
                <w:sz w:val="20"/>
                <w:szCs w:val="20"/>
              </w:rPr>
            </w:pPr>
          </w:p>
        </w:tc>
        <w:tc>
          <w:tcPr>
            <w:tcW w:w="457" w:type="pct"/>
            <w:noWrap/>
            <w:vAlign w:val="center"/>
          </w:tcPr>
          <w:p w:rsidR="00E44064" w:rsidRPr="008F2AB7" w:rsidRDefault="00E44064" w:rsidP="00093011">
            <w:pPr>
              <w:widowControl w:val="0"/>
              <w:rPr>
                <w:color w:val="000000"/>
                <w:sz w:val="20"/>
                <w:szCs w:val="20"/>
              </w:rPr>
            </w:pPr>
          </w:p>
        </w:tc>
        <w:tc>
          <w:tcPr>
            <w:tcW w:w="813" w:type="pct"/>
            <w:noWrap/>
            <w:vAlign w:val="center"/>
          </w:tcPr>
          <w:p w:rsidR="00E44064" w:rsidRPr="008F2AB7" w:rsidRDefault="00806AF4" w:rsidP="00093011">
            <w:pPr>
              <w:widowControl w:val="0"/>
              <w:rPr>
                <w:color w:val="000000"/>
                <w:sz w:val="20"/>
                <w:szCs w:val="20"/>
              </w:rPr>
            </w:pPr>
            <w:r>
              <w:rPr>
                <w:color w:val="000000"/>
                <w:sz w:val="20"/>
                <w:szCs w:val="20"/>
              </w:rPr>
              <w:t>-2:  trend with final as standalone value</w:t>
            </w:r>
          </w:p>
        </w:tc>
        <w:tc>
          <w:tcPr>
            <w:tcW w:w="722" w:type="pct"/>
            <w:noWrap/>
            <w:vAlign w:val="center"/>
          </w:tcPr>
          <w:p w:rsidR="00E44064" w:rsidRPr="008F2AB7" w:rsidRDefault="005E7398" w:rsidP="00093011">
            <w:pPr>
              <w:widowControl w:val="0"/>
              <w:rPr>
                <w:color w:val="000000"/>
                <w:sz w:val="20"/>
                <w:szCs w:val="20"/>
              </w:rPr>
            </w:pPr>
            <w:r>
              <w:rPr>
                <w:color w:val="000000"/>
                <w:sz w:val="20"/>
                <w:szCs w:val="20"/>
              </w:rPr>
              <w:t>NA</w:t>
            </w:r>
          </w:p>
        </w:tc>
      </w:tr>
      <w:tr w:rsidR="00806AF4" w:rsidRPr="008F2AB7" w:rsidTr="00093011">
        <w:trPr>
          <w:cantSplit/>
          <w:trHeight w:val="339"/>
        </w:trPr>
        <w:tc>
          <w:tcPr>
            <w:tcW w:w="724" w:type="pct"/>
            <w:vAlign w:val="center"/>
          </w:tcPr>
          <w:p w:rsidR="00806AF4" w:rsidRPr="008F2AB7" w:rsidRDefault="00806AF4" w:rsidP="00093011">
            <w:pPr>
              <w:widowControl w:val="0"/>
              <w:rPr>
                <w:color w:val="000000"/>
                <w:sz w:val="20"/>
                <w:szCs w:val="20"/>
              </w:rPr>
            </w:pPr>
          </w:p>
        </w:tc>
        <w:tc>
          <w:tcPr>
            <w:tcW w:w="711" w:type="pct"/>
            <w:noWrap/>
            <w:vAlign w:val="center"/>
          </w:tcPr>
          <w:p w:rsidR="00806AF4" w:rsidRPr="008F2AB7" w:rsidRDefault="00806AF4" w:rsidP="00093011">
            <w:pPr>
              <w:widowControl w:val="0"/>
              <w:rPr>
                <w:color w:val="000000"/>
                <w:sz w:val="20"/>
                <w:szCs w:val="20"/>
              </w:rPr>
            </w:pPr>
          </w:p>
        </w:tc>
        <w:tc>
          <w:tcPr>
            <w:tcW w:w="658" w:type="pct"/>
            <w:noWrap/>
            <w:vAlign w:val="center"/>
          </w:tcPr>
          <w:p w:rsidR="00806AF4" w:rsidRDefault="00806AF4" w:rsidP="00093011">
            <w:pPr>
              <w:widowControl w:val="0"/>
              <w:rPr>
                <w:color w:val="000000"/>
                <w:sz w:val="20"/>
                <w:szCs w:val="20"/>
              </w:rPr>
            </w:pPr>
          </w:p>
        </w:tc>
        <w:tc>
          <w:tcPr>
            <w:tcW w:w="457" w:type="pct"/>
            <w:noWrap/>
            <w:vAlign w:val="center"/>
          </w:tcPr>
          <w:p w:rsidR="00806AF4" w:rsidRPr="008F2AB7" w:rsidRDefault="00806AF4" w:rsidP="00093011">
            <w:pPr>
              <w:widowControl w:val="0"/>
              <w:rPr>
                <w:color w:val="000000"/>
                <w:sz w:val="20"/>
                <w:szCs w:val="20"/>
              </w:rPr>
            </w:pPr>
          </w:p>
        </w:tc>
        <w:tc>
          <w:tcPr>
            <w:tcW w:w="458" w:type="pct"/>
            <w:noWrap/>
            <w:vAlign w:val="center"/>
          </w:tcPr>
          <w:p w:rsidR="00806AF4" w:rsidRPr="008F2AB7" w:rsidRDefault="00806AF4" w:rsidP="00093011">
            <w:pPr>
              <w:widowControl w:val="0"/>
              <w:rPr>
                <w:color w:val="000000"/>
                <w:sz w:val="20"/>
                <w:szCs w:val="20"/>
              </w:rPr>
            </w:pPr>
          </w:p>
        </w:tc>
        <w:tc>
          <w:tcPr>
            <w:tcW w:w="457" w:type="pct"/>
            <w:noWrap/>
            <w:vAlign w:val="center"/>
          </w:tcPr>
          <w:p w:rsidR="00806AF4" w:rsidRPr="008F2AB7" w:rsidRDefault="00806AF4" w:rsidP="00093011">
            <w:pPr>
              <w:widowControl w:val="0"/>
              <w:rPr>
                <w:color w:val="000000"/>
                <w:sz w:val="20"/>
                <w:szCs w:val="20"/>
              </w:rPr>
            </w:pPr>
          </w:p>
        </w:tc>
        <w:tc>
          <w:tcPr>
            <w:tcW w:w="813" w:type="pct"/>
            <w:noWrap/>
            <w:vAlign w:val="center"/>
          </w:tcPr>
          <w:p w:rsidR="00806AF4" w:rsidRDefault="00806AF4" w:rsidP="005A7900">
            <w:pPr>
              <w:widowControl w:val="0"/>
              <w:rPr>
                <w:color w:val="000000"/>
                <w:sz w:val="20"/>
                <w:szCs w:val="20"/>
              </w:rPr>
            </w:pPr>
            <w:r>
              <w:rPr>
                <w:color w:val="000000"/>
                <w:sz w:val="20"/>
                <w:szCs w:val="20"/>
              </w:rPr>
              <w:t>&lt;=-3:  cycl</w:t>
            </w:r>
            <w:r w:rsidR="005A7900">
              <w:rPr>
                <w:color w:val="000000"/>
                <w:sz w:val="20"/>
                <w:szCs w:val="20"/>
              </w:rPr>
              <w:t>e with one parameter per season</w:t>
            </w:r>
          </w:p>
        </w:tc>
        <w:tc>
          <w:tcPr>
            <w:tcW w:w="722" w:type="pct"/>
            <w:noWrap/>
            <w:vAlign w:val="center"/>
          </w:tcPr>
          <w:p w:rsidR="00806AF4" w:rsidRPr="008F2AB7" w:rsidRDefault="005E7398" w:rsidP="00093011">
            <w:pPr>
              <w:widowControl w:val="0"/>
              <w:rPr>
                <w:color w:val="000000"/>
                <w:sz w:val="20"/>
                <w:szCs w:val="20"/>
              </w:rPr>
            </w:pPr>
            <w:r>
              <w:rPr>
                <w:color w:val="000000"/>
                <w:sz w:val="20"/>
                <w:szCs w:val="20"/>
              </w:rPr>
              <w:t>NA</w:t>
            </w:r>
          </w:p>
        </w:tc>
      </w:tr>
    </w:tbl>
    <w:p w:rsidR="00E44064" w:rsidRDefault="005A7900" w:rsidP="005A7900">
      <w:pPr>
        <w:widowControl w:val="0"/>
        <w:spacing w:before="120"/>
      </w:pPr>
      <w:r>
        <w:rPr>
          <w:noProof/>
        </w:rPr>
        <w:lastRenderedPageBreak/>
        <mc:AlternateContent>
          <mc:Choice Requires="wps">
            <w:drawing>
              <wp:anchor distT="45720" distB="45720" distL="114300" distR="114300" simplePos="0" relativeHeight="251661312" behindDoc="0" locked="0" layoutInCell="1" allowOverlap="1" wp14:anchorId="3DB45DE5" wp14:editId="4B82E99D">
                <wp:simplePos x="0" y="0"/>
                <wp:positionH relativeFrom="margin">
                  <wp:align>left</wp:align>
                </wp:positionH>
                <wp:positionV relativeFrom="paragraph">
                  <wp:posOffset>1268730</wp:posOffset>
                </wp:positionV>
                <wp:extent cx="6353175" cy="1404620"/>
                <wp:effectExtent l="0" t="0" r="28575" b="254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404620"/>
                        </a:xfrm>
                        <a:prstGeom prst="rect">
                          <a:avLst/>
                        </a:prstGeom>
                        <a:solidFill>
                          <a:srgbClr val="FFFFFF"/>
                        </a:solidFill>
                        <a:ln w="9525">
                          <a:solidFill>
                            <a:srgbClr val="000000"/>
                          </a:solidFill>
                          <a:miter lim="800000"/>
                          <a:headEnd/>
                          <a:tailEnd/>
                        </a:ln>
                      </wps:spPr>
                      <wps:txbx>
                        <w:txbxContent>
                          <w:p w:rsidR="005A7900" w:rsidRDefault="005A7900" w:rsidP="005A7900">
                            <w:pPr>
                              <w:rPr>
                                <w:sz w:val="16"/>
                                <w:szCs w:val="16"/>
                              </w:rPr>
                            </w:pPr>
                            <w:r>
                              <w:rPr>
                                <w:sz w:val="16"/>
                                <w:szCs w:val="16"/>
                              </w:rPr>
                              <w:t>**Fractional approach inflection year for trend.  If the trend parameter upper bound is set &lt;=1.1, then the parameter is treated as being the fraction of the time between start year and end year, else the parameter is treated as having units of year.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B45DE5" id="_x0000_t202" coordsize="21600,21600" o:spt="202" path="m,l,21600r21600,l21600,xe">
                <v:stroke joinstyle="miter"/>
                <v:path gradientshapeok="t" o:connecttype="rect"/>
              </v:shapetype>
              <v:shape id="Text Box 2" o:spid="_x0000_s1026" type="#_x0000_t202" style="position:absolute;margin-left:0;margin-top:99.9pt;width:500.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">
                <v:textbox style="mso-fit-shape-to-text:t">
                  <w:txbxContent>
                    <w:p w:rsidR="005A7900" w:rsidRDefault="005A7900" w:rsidP="005A7900">
                      <w:pPr>
                        <w:rPr>
                          <w:sz w:val="16"/>
                          <w:szCs w:val="16"/>
                        </w:rPr>
                      </w:pPr>
                      <w:r>
                        <w:rPr>
                          <w:sz w:val="16"/>
                          <w:szCs w:val="16"/>
                        </w:rPr>
                        <w:t>**Fractional approach inflection year for trend.  If the trend parameter upper bound is set &lt;=1.1, then the parameter is treated as being the fraction of the time between start year and end year, else the parameter is treated as having units of year.</w:t>
                      </w:r>
                    </w:p>
                  </w:txbxContent>
                </v:textbox>
                <w10:wrap type="topAndBottom" anchorx="margin"/>
              </v:shape>
            </w:pict>
          </mc:Fallback>
        </mc:AlternateContent>
      </w:r>
      <w:r w:rsidR="00806AF4">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181610</wp:posOffset>
                </wp:positionV>
                <wp:extent cx="6353175" cy="1404620"/>
                <wp:effectExtent l="0" t="0" r="28575" b="209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404620"/>
                        </a:xfrm>
                        <a:prstGeom prst="rect">
                          <a:avLst/>
                        </a:prstGeom>
                        <a:solidFill>
                          <a:srgbClr val="FFFFFF"/>
                        </a:solidFill>
                        <a:ln w="9525">
                          <a:solidFill>
                            <a:srgbClr val="000000"/>
                          </a:solidFill>
                          <a:miter lim="800000"/>
                          <a:headEnd/>
                          <a:tailEnd/>
                        </a:ln>
                      </wps:spPr>
                      <wps:txbx>
                        <w:txbxContent>
                          <w:p w:rsidR="005A7900" w:rsidRDefault="005A7900" w:rsidP="00806AF4">
                            <w:pPr>
                              <w:rPr>
                                <w:sz w:val="16"/>
                                <w:szCs w:val="16"/>
                              </w:rPr>
                            </w:pPr>
                            <w:r>
                              <w:rPr>
                                <w:sz w:val="16"/>
                                <w:szCs w:val="16"/>
                              </w:rPr>
                              <w:t>*Logistic approach to trend as offset from baseparm:</w:t>
                            </w:r>
                          </w:p>
                          <w:p w:rsidR="00806AF4" w:rsidRPr="005A7900" w:rsidRDefault="00806AF4" w:rsidP="00806AF4">
                            <w:pPr>
                              <w:rPr>
                                <w:sz w:val="16"/>
                                <w:szCs w:val="16"/>
                              </w:rPr>
                            </w:pPr>
                            <w:r w:rsidRPr="005A7900">
                              <w:rPr>
                                <w:sz w:val="16"/>
                                <w:szCs w:val="16"/>
                              </w:rPr>
                              <w:t>temp=log((MGparm_1(j,2)-MGparm_1(j,1)+0.0000002)/(MGparm(j)-MGparm_1(j,1)+0.0000001)-1.)/(-2.);   // transform the base parameter</w:t>
                            </w:r>
                          </w:p>
                          <w:p w:rsidR="00806AF4" w:rsidRPr="005A7900" w:rsidRDefault="00806AF4" w:rsidP="00806AF4">
                            <w:pPr>
                              <w:rPr>
                                <w:sz w:val="16"/>
                                <w:szCs w:val="16"/>
                              </w:rPr>
                            </w:pPr>
                            <w:r w:rsidRPr="005A7900">
                              <w:rPr>
                                <w:sz w:val="16"/>
                                <w:szCs w:val="16"/>
                              </w:rPr>
                              <w:t>temp+=MGparm(k+1);     //  add the offset  Note that offset value is in the transform space</w:t>
                            </w:r>
                          </w:p>
                          <w:p w:rsidR="00806AF4" w:rsidRPr="005A7900" w:rsidRDefault="00806AF4" w:rsidP="00806AF4">
                            <w:pPr>
                              <w:rPr>
                                <w:sz w:val="16"/>
                                <w:szCs w:val="16"/>
                              </w:rPr>
                            </w:pPr>
                            <w:r w:rsidRPr="005A7900">
                              <w:rPr>
                                <w:sz w:val="16"/>
                                <w:szCs w:val="16"/>
                              </w:rPr>
                              <w:t>temp1=MGparm_1(j,1)+(MGparm_1(j,2)-MGparm_1(j,1))/(1.+mfexp(-2.*temp));   // backtransform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14.3pt;width:500.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">
                <v:textbox style="mso-fit-shape-to-text:t">
                  <w:txbxContent>
                    <w:p w:rsidR="005A7900" w:rsidRDefault="005A7900" w:rsidP="00806AF4">
                      <w:pPr>
                        <w:rPr>
                          <w:sz w:val="16"/>
                          <w:szCs w:val="16"/>
                        </w:rPr>
                      </w:pPr>
                      <w:r>
                        <w:rPr>
                          <w:sz w:val="16"/>
                          <w:szCs w:val="16"/>
                        </w:rPr>
                        <w:t>*Logistic approach to trend as offset from baseparm:</w:t>
                      </w:r>
                    </w:p>
                    <w:p w:rsidR="00806AF4" w:rsidRPr="005A7900" w:rsidRDefault="00806AF4" w:rsidP="00806AF4">
                      <w:pPr>
                        <w:rPr>
                          <w:sz w:val="16"/>
                          <w:szCs w:val="16"/>
                        </w:rPr>
                      </w:pPr>
                      <w:r w:rsidRPr="005A7900">
                        <w:rPr>
                          <w:sz w:val="16"/>
                          <w:szCs w:val="16"/>
                        </w:rPr>
                        <w:t>temp=log((MGparm_1(j,2)-MGparm_1(j,1)+0.0000002)/(MGparm(j)-MGparm_1(j,1)+0.0000001)-1.)/(-2.);   // transform the base parameter</w:t>
                      </w:r>
                    </w:p>
                    <w:p w:rsidR="00806AF4" w:rsidRPr="005A7900" w:rsidRDefault="00806AF4" w:rsidP="00806AF4">
                      <w:pPr>
                        <w:rPr>
                          <w:sz w:val="16"/>
                          <w:szCs w:val="16"/>
                        </w:rPr>
                      </w:pPr>
                      <w:r w:rsidRPr="005A7900">
                        <w:rPr>
                          <w:sz w:val="16"/>
                          <w:szCs w:val="16"/>
                        </w:rPr>
                        <w:t>temp+=MGparm(k+1);     //  add the offset  Note that offset value is in the transform space</w:t>
                      </w:r>
                    </w:p>
                    <w:p w:rsidR="00806AF4" w:rsidRPr="005A7900" w:rsidRDefault="00806AF4" w:rsidP="00806AF4">
                      <w:pPr>
                        <w:rPr>
                          <w:sz w:val="16"/>
                          <w:szCs w:val="16"/>
                        </w:rPr>
                      </w:pPr>
                      <w:r w:rsidRPr="005A7900">
                        <w:rPr>
                          <w:sz w:val="16"/>
                          <w:szCs w:val="16"/>
                        </w:rPr>
                        <w:t>temp1=MGparm_1(j,1)+(MGparm_1(j,2)-MGparm_1(j,1))/(1.+mfexp(-2.*temp));   // backtransform</w:t>
                      </w:r>
                    </w:p>
                  </w:txbxContent>
                </v:textbox>
                <w10:wrap type="topAndBottom" anchorx="margin"/>
              </v:shape>
            </w:pict>
          </mc:Fallback>
        </mc:AlternateContent>
      </w:r>
      <w:r w:rsidR="00E44064">
        <w:t>The available options for time-varying parameters in SS 3.30 are described in the table below.</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354"/>
        <w:gridCol w:w="1330"/>
        <w:gridCol w:w="1230"/>
        <w:gridCol w:w="761"/>
        <w:gridCol w:w="720"/>
        <w:gridCol w:w="1085"/>
        <w:gridCol w:w="1520"/>
        <w:gridCol w:w="1350"/>
      </w:tblGrid>
      <w:tr w:rsidR="00E44064" w:rsidRPr="008F2AB7" w:rsidTr="00E44064">
        <w:trPr>
          <w:cantSplit/>
          <w:trHeight w:val="339"/>
        </w:trPr>
        <w:tc>
          <w:tcPr>
            <w:tcW w:w="724" w:type="pct"/>
            <w:vAlign w:val="center"/>
          </w:tcPr>
          <w:p w:rsidR="00E44064" w:rsidRPr="008F2AB7" w:rsidRDefault="00E44064" w:rsidP="00093011">
            <w:pPr>
              <w:widowControl w:val="0"/>
              <w:rPr>
                <w:bCs/>
                <w:color w:val="000000"/>
                <w:sz w:val="20"/>
                <w:szCs w:val="20"/>
              </w:rPr>
            </w:pPr>
          </w:p>
        </w:tc>
        <w:tc>
          <w:tcPr>
            <w:tcW w:w="711" w:type="pct"/>
            <w:noWrap/>
            <w:vAlign w:val="center"/>
            <w:hideMark/>
          </w:tcPr>
          <w:p w:rsidR="00E44064" w:rsidRPr="008F2AB7" w:rsidRDefault="00E44064" w:rsidP="00093011">
            <w:pPr>
              <w:widowControl w:val="0"/>
              <w:rPr>
                <w:bCs/>
                <w:color w:val="000000"/>
                <w:sz w:val="20"/>
                <w:szCs w:val="20"/>
              </w:rPr>
            </w:pPr>
            <w:r w:rsidRPr="008F2AB7">
              <w:rPr>
                <w:bCs/>
                <w:color w:val="000000"/>
                <w:sz w:val="20"/>
                <w:szCs w:val="20"/>
              </w:rPr>
              <w:t>Environ</w:t>
            </w:r>
          </w:p>
        </w:tc>
        <w:tc>
          <w:tcPr>
            <w:tcW w:w="2030" w:type="pct"/>
            <w:gridSpan w:val="4"/>
            <w:noWrap/>
            <w:vAlign w:val="center"/>
            <w:hideMark/>
          </w:tcPr>
          <w:p w:rsidR="00E44064" w:rsidRPr="008F2AB7" w:rsidRDefault="00E44064" w:rsidP="00093011">
            <w:pPr>
              <w:widowControl w:val="0"/>
              <w:rPr>
                <w:bCs/>
                <w:color w:val="000000"/>
                <w:sz w:val="20"/>
                <w:szCs w:val="20"/>
              </w:rPr>
            </w:pPr>
            <w:r w:rsidRPr="008F2AB7">
              <w:rPr>
                <w:bCs/>
                <w:color w:val="000000"/>
                <w:sz w:val="20"/>
                <w:szCs w:val="20"/>
              </w:rPr>
              <w:t>Annual Devs</w:t>
            </w:r>
          </w:p>
        </w:tc>
        <w:tc>
          <w:tcPr>
            <w:tcW w:w="1535" w:type="pct"/>
            <w:gridSpan w:val="2"/>
            <w:noWrap/>
            <w:vAlign w:val="center"/>
            <w:hideMark/>
          </w:tcPr>
          <w:p w:rsidR="00E44064" w:rsidRPr="008F2AB7" w:rsidRDefault="00E44064" w:rsidP="00093011">
            <w:pPr>
              <w:widowControl w:val="0"/>
              <w:rPr>
                <w:bCs/>
                <w:color w:val="000000"/>
                <w:sz w:val="20"/>
                <w:szCs w:val="20"/>
              </w:rPr>
            </w:pPr>
            <w:r w:rsidRPr="008F2AB7">
              <w:rPr>
                <w:bCs/>
                <w:color w:val="000000"/>
                <w:sz w:val="20"/>
                <w:szCs w:val="20"/>
              </w:rPr>
              <w:t>Blocks</w:t>
            </w:r>
          </w:p>
        </w:tc>
      </w:tr>
      <w:tr w:rsidR="00E44064" w:rsidRPr="008F2AB7" w:rsidTr="00E44064">
        <w:trPr>
          <w:cantSplit/>
          <w:trHeight w:val="339"/>
        </w:trPr>
        <w:tc>
          <w:tcPr>
            <w:tcW w:w="724" w:type="pct"/>
            <w:vAlign w:val="center"/>
          </w:tcPr>
          <w:p w:rsidR="00E44064" w:rsidRPr="008F2AB7" w:rsidRDefault="00E44064" w:rsidP="00093011">
            <w:pPr>
              <w:widowControl w:val="0"/>
              <w:rPr>
                <w:color w:val="000000"/>
                <w:sz w:val="20"/>
                <w:szCs w:val="20"/>
              </w:rPr>
            </w:pPr>
            <w:r w:rsidRPr="008F2AB7">
              <w:rPr>
                <w:color w:val="000000"/>
                <w:sz w:val="20"/>
                <w:szCs w:val="20"/>
              </w:rPr>
              <w:t>NAME:</w:t>
            </w:r>
          </w:p>
        </w:tc>
        <w:tc>
          <w:tcPr>
            <w:tcW w:w="711"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 xml:space="preserve">Env </w:t>
            </w:r>
            <w:r w:rsidR="000B70AB">
              <w:rPr>
                <w:color w:val="000000"/>
                <w:sz w:val="20"/>
                <w:szCs w:val="20"/>
              </w:rPr>
              <w:t xml:space="preserve">Link &amp; </w:t>
            </w:r>
            <w:r w:rsidRPr="008F2AB7">
              <w:rPr>
                <w:color w:val="000000"/>
                <w:sz w:val="20"/>
                <w:szCs w:val="20"/>
              </w:rPr>
              <w:t>Var</w:t>
            </w:r>
          </w:p>
        </w:tc>
        <w:tc>
          <w:tcPr>
            <w:tcW w:w="658" w:type="pct"/>
            <w:noWrap/>
            <w:vAlign w:val="center"/>
            <w:hideMark/>
          </w:tcPr>
          <w:p w:rsidR="00E44064" w:rsidRPr="008F2AB7" w:rsidRDefault="000B70AB" w:rsidP="00093011">
            <w:pPr>
              <w:widowControl w:val="0"/>
              <w:rPr>
                <w:color w:val="000000"/>
                <w:sz w:val="20"/>
                <w:szCs w:val="20"/>
              </w:rPr>
            </w:pPr>
            <w:r>
              <w:rPr>
                <w:color w:val="000000"/>
                <w:sz w:val="20"/>
                <w:szCs w:val="20"/>
              </w:rPr>
              <w:t>Dev Link</w:t>
            </w:r>
          </w:p>
        </w:tc>
        <w:tc>
          <w:tcPr>
            <w:tcW w:w="407"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Dev minyr</w:t>
            </w:r>
          </w:p>
        </w:tc>
        <w:tc>
          <w:tcPr>
            <w:tcW w:w="385"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Dev maxyr</w:t>
            </w:r>
          </w:p>
        </w:tc>
        <w:tc>
          <w:tcPr>
            <w:tcW w:w="580"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 xml:space="preserve">Dev </w:t>
            </w:r>
          </w:p>
          <w:p w:rsidR="00E44064" w:rsidRPr="008F2AB7" w:rsidRDefault="003F7971" w:rsidP="00093011">
            <w:pPr>
              <w:widowControl w:val="0"/>
              <w:rPr>
                <w:color w:val="000000"/>
                <w:sz w:val="20"/>
                <w:szCs w:val="20"/>
              </w:rPr>
            </w:pPr>
            <w:r>
              <w:rPr>
                <w:color w:val="000000"/>
                <w:sz w:val="20"/>
                <w:szCs w:val="20"/>
              </w:rPr>
              <w:t>P</w:t>
            </w:r>
            <w:r w:rsidR="00E44064">
              <w:rPr>
                <w:color w:val="000000"/>
                <w:sz w:val="20"/>
                <w:szCs w:val="20"/>
              </w:rPr>
              <w:t>hase</w:t>
            </w:r>
            <w:r>
              <w:rPr>
                <w:color w:val="000000"/>
                <w:sz w:val="20"/>
                <w:szCs w:val="20"/>
              </w:rPr>
              <w:t>*</w:t>
            </w:r>
          </w:p>
        </w:tc>
        <w:tc>
          <w:tcPr>
            <w:tcW w:w="813"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Block</w:t>
            </w:r>
          </w:p>
        </w:tc>
        <w:tc>
          <w:tcPr>
            <w:tcW w:w="722"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Block Fxn</w:t>
            </w:r>
          </w:p>
        </w:tc>
      </w:tr>
      <w:tr w:rsidR="00E44064" w:rsidRPr="008F2AB7" w:rsidTr="00E44064">
        <w:trPr>
          <w:cantSplit/>
          <w:trHeight w:val="339"/>
        </w:trPr>
        <w:tc>
          <w:tcPr>
            <w:tcW w:w="724" w:type="pct"/>
            <w:vAlign w:val="center"/>
          </w:tcPr>
          <w:p w:rsidR="00E44064" w:rsidRPr="008F2AB7" w:rsidRDefault="00E44064" w:rsidP="00093011">
            <w:pPr>
              <w:widowControl w:val="0"/>
              <w:rPr>
                <w:color w:val="000000"/>
                <w:sz w:val="20"/>
                <w:szCs w:val="20"/>
              </w:rPr>
            </w:pPr>
            <w:r w:rsidRPr="008F2AB7">
              <w:rPr>
                <w:color w:val="000000"/>
                <w:sz w:val="20"/>
                <w:szCs w:val="20"/>
              </w:rPr>
              <w:t>ELEMENT:</w:t>
            </w:r>
          </w:p>
        </w:tc>
        <w:tc>
          <w:tcPr>
            <w:tcW w:w="711"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8</w:t>
            </w:r>
          </w:p>
        </w:tc>
        <w:tc>
          <w:tcPr>
            <w:tcW w:w="658"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9</w:t>
            </w:r>
          </w:p>
        </w:tc>
        <w:tc>
          <w:tcPr>
            <w:tcW w:w="407"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10</w:t>
            </w:r>
          </w:p>
        </w:tc>
        <w:tc>
          <w:tcPr>
            <w:tcW w:w="385"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11</w:t>
            </w:r>
          </w:p>
        </w:tc>
        <w:tc>
          <w:tcPr>
            <w:tcW w:w="580"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12</w:t>
            </w:r>
          </w:p>
        </w:tc>
        <w:tc>
          <w:tcPr>
            <w:tcW w:w="813"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13</w:t>
            </w:r>
          </w:p>
        </w:tc>
        <w:tc>
          <w:tcPr>
            <w:tcW w:w="722"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14</w:t>
            </w:r>
          </w:p>
        </w:tc>
      </w:tr>
      <w:tr w:rsidR="003F7971" w:rsidRPr="008F2AB7" w:rsidTr="00E44064">
        <w:trPr>
          <w:cantSplit/>
          <w:trHeight w:val="339"/>
        </w:trPr>
        <w:tc>
          <w:tcPr>
            <w:tcW w:w="724" w:type="pct"/>
            <w:vAlign w:val="center"/>
          </w:tcPr>
          <w:p w:rsidR="003F7971" w:rsidRPr="008F2AB7" w:rsidRDefault="003F7971" w:rsidP="00093011">
            <w:pPr>
              <w:widowControl w:val="0"/>
              <w:rPr>
                <w:color w:val="000000"/>
                <w:sz w:val="20"/>
                <w:szCs w:val="20"/>
              </w:rPr>
            </w:pPr>
            <w:r>
              <w:rPr>
                <w:color w:val="000000"/>
                <w:sz w:val="20"/>
                <w:szCs w:val="20"/>
              </w:rPr>
              <w:t>PARSING:</w:t>
            </w:r>
          </w:p>
        </w:tc>
        <w:tc>
          <w:tcPr>
            <w:tcW w:w="711" w:type="pct"/>
            <w:noWrap/>
            <w:vAlign w:val="center"/>
          </w:tcPr>
          <w:p w:rsidR="003F7971" w:rsidRDefault="003F7971" w:rsidP="00093011">
            <w:pPr>
              <w:widowControl w:val="0"/>
              <w:rPr>
                <w:color w:val="000000"/>
                <w:sz w:val="20"/>
                <w:szCs w:val="20"/>
              </w:rPr>
            </w:pPr>
            <w:r>
              <w:rPr>
                <w:color w:val="000000"/>
                <w:sz w:val="20"/>
                <w:szCs w:val="20"/>
              </w:rPr>
              <w:t>Link = int(value/100.)</w:t>
            </w:r>
          </w:p>
          <w:p w:rsidR="003F7971" w:rsidRPr="008F2AB7" w:rsidRDefault="003F7971" w:rsidP="00093011">
            <w:pPr>
              <w:widowControl w:val="0"/>
              <w:rPr>
                <w:color w:val="000000"/>
                <w:sz w:val="20"/>
                <w:szCs w:val="20"/>
              </w:rPr>
            </w:pPr>
            <w:r>
              <w:rPr>
                <w:color w:val="000000"/>
                <w:sz w:val="20"/>
                <w:szCs w:val="20"/>
              </w:rPr>
              <w:t>Env_var = value-Link*100.</w:t>
            </w:r>
          </w:p>
        </w:tc>
        <w:tc>
          <w:tcPr>
            <w:tcW w:w="658" w:type="pct"/>
            <w:noWrap/>
            <w:vAlign w:val="center"/>
          </w:tcPr>
          <w:p w:rsidR="003F7971" w:rsidRPr="008F2AB7" w:rsidRDefault="003F7971" w:rsidP="00093011">
            <w:pPr>
              <w:widowControl w:val="0"/>
              <w:rPr>
                <w:color w:val="000000"/>
                <w:sz w:val="20"/>
                <w:szCs w:val="20"/>
              </w:rPr>
            </w:pPr>
          </w:p>
        </w:tc>
        <w:tc>
          <w:tcPr>
            <w:tcW w:w="407" w:type="pct"/>
            <w:noWrap/>
            <w:vAlign w:val="center"/>
          </w:tcPr>
          <w:p w:rsidR="003F7971" w:rsidRPr="008F2AB7" w:rsidRDefault="003F7971" w:rsidP="00093011">
            <w:pPr>
              <w:widowControl w:val="0"/>
              <w:rPr>
                <w:color w:val="000000"/>
                <w:sz w:val="20"/>
                <w:szCs w:val="20"/>
              </w:rPr>
            </w:pPr>
          </w:p>
        </w:tc>
        <w:tc>
          <w:tcPr>
            <w:tcW w:w="385" w:type="pct"/>
            <w:noWrap/>
            <w:vAlign w:val="center"/>
          </w:tcPr>
          <w:p w:rsidR="003F7971" w:rsidRPr="008F2AB7" w:rsidRDefault="003F7971" w:rsidP="00093011">
            <w:pPr>
              <w:widowControl w:val="0"/>
              <w:rPr>
                <w:color w:val="000000"/>
                <w:sz w:val="20"/>
                <w:szCs w:val="20"/>
              </w:rPr>
            </w:pPr>
          </w:p>
        </w:tc>
        <w:tc>
          <w:tcPr>
            <w:tcW w:w="580" w:type="pct"/>
            <w:noWrap/>
            <w:vAlign w:val="center"/>
          </w:tcPr>
          <w:p w:rsidR="003F7971" w:rsidRDefault="003F7971" w:rsidP="00093011">
            <w:pPr>
              <w:widowControl w:val="0"/>
              <w:rPr>
                <w:color w:val="000000"/>
                <w:sz w:val="20"/>
                <w:szCs w:val="20"/>
              </w:rPr>
            </w:pPr>
          </w:p>
        </w:tc>
        <w:tc>
          <w:tcPr>
            <w:tcW w:w="813" w:type="pct"/>
            <w:noWrap/>
            <w:vAlign w:val="center"/>
          </w:tcPr>
          <w:p w:rsidR="003F7971" w:rsidRPr="008F2AB7" w:rsidRDefault="003F7971" w:rsidP="00093011">
            <w:pPr>
              <w:widowControl w:val="0"/>
              <w:rPr>
                <w:color w:val="000000"/>
                <w:sz w:val="20"/>
                <w:szCs w:val="20"/>
              </w:rPr>
            </w:pPr>
          </w:p>
        </w:tc>
        <w:tc>
          <w:tcPr>
            <w:tcW w:w="722" w:type="pct"/>
            <w:noWrap/>
            <w:vAlign w:val="center"/>
          </w:tcPr>
          <w:p w:rsidR="003F7971" w:rsidRPr="008F2AB7" w:rsidRDefault="003F7971" w:rsidP="00093011">
            <w:pPr>
              <w:widowControl w:val="0"/>
              <w:rPr>
                <w:color w:val="000000"/>
                <w:sz w:val="20"/>
                <w:szCs w:val="20"/>
              </w:rPr>
            </w:pPr>
          </w:p>
        </w:tc>
      </w:tr>
      <w:tr w:rsidR="00E44064" w:rsidRPr="008F2AB7" w:rsidTr="003F7971">
        <w:trPr>
          <w:cantSplit/>
          <w:trHeight w:val="339"/>
        </w:trPr>
        <w:tc>
          <w:tcPr>
            <w:tcW w:w="724" w:type="pct"/>
            <w:vAlign w:val="center"/>
          </w:tcPr>
          <w:p w:rsidR="00E44064" w:rsidRPr="008F2AB7" w:rsidRDefault="00E44064" w:rsidP="00093011">
            <w:pPr>
              <w:widowControl w:val="0"/>
              <w:rPr>
                <w:color w:val="000000"/>
                <w:sz w:val="20"/>
                <w:szCs w:val="20"/>
              </w:rPr>
            </w:pPr>
            <w:r w:rsidRPr="008F2AB7">
              <w:rPr>
                <w:color w:val="000000"/>
                <w:sz w:val="20"/>
                <w:szCs w:val="20"/>
              </w:rPr>
              <w:t>OPTIONS:</w:t>
            </w:r>
          </w:p>
        </w:tc>
        <w:tc>
          <w:tcPr>
            <w:tcW w:w="711" w:type="pct"/>
            <w:noWrap/>
            <w:vAlign w:val="center"/>
          </w:tcPr>
          <w:p w:rsidR="00E44064" w:rsidRPr="008F2AB7" w:rsidRDefault="000B70AB" w:rsidP="000B70AB">
            <w:pPr>
              <w:widowControl w:val="0"/>
              <w:rPr>
                <w:color w:val="000000"/>
                <w:sz w:val="20"/>
                <w:szCs w:val="20"/>
              </w:rPr>
            </w:pPr>
            <w:r>
              <w:rPr>
                <w:color w:val="000000"/>
                <w:sz w:val="20"/>
                <w:szCs w:val="20"/>
              </w:rPr>
              <w:t>Link=1:  P’=P*exp(L1*env)</w:t>
            </w:r>
          </w:p>
        </w:tc>
        <w:tc>
          <w:tcPr>
            <w:tcW w:w="658"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1:  mult</w:t>
            </w:r>
          </w:p>
        </w:tc>
        <w:tc>
          <w:tcPr>
            <w:tcW w:w="407"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1973</w:t>
            </w:r>
          </w:p>
        </w:tc>
        <w:tc>
          <w:tcPr>
            <w:tcW w:w="385"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1985</w:t>
            </w:r>
          </w:p>
        </w:tc>
        <w:tc>
          <w:tcPr>
            <w:tcW w:w="580" w:type="pct"/>
            <w:noWrap/>
            <w:vAlign w:val="center"/>
            <w:hideMark/>
          </w:tcPr>
          <w:p w:rsidR="00E44064" w:rsidRPr="008F2AB7" w:rsidRDefault="00E44064" w:rsidP="00093011">
            <w:pPr>
              <w:widowControl w:val="0"/>
              <w:rPr>
                <w:color w:val="000000"/>
                <w:sz w:val="20"/>
                <w:szCs w:val="20"/>
              </w:rPr>
            </w:pPr>
            <w:r>
              <w:rPr>
                <w:color w:val="000000"/>
                <w:sz w:val="20"/>
                <w:szCs w:val="20"/>
              </w:rPr>
              <w:t>&lt;integer&gt;</w:t>
            </w:r>
          </w:p>
        </w:tc>
        <w:tc>
          <w:tcPr>
            <w:tcW w:w="813"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&gt;0:block index</w:t>
            </w:r>
          </w:p>
        </w:tc>
        <w:tc>
          <w:tcPr>
            <w:tcW w:w="722" w:type="pct"/>
            <w:noWrap/>
            <w:vAlign w:val="center"/>
            <w:hideMark/>
          </w:tcPr>
          <w:p w:rsidR="00E44064" w:rsidRPr="008F2AB7" w:rsidRDefault="00E44064" w:rsidP="005E7398">
            <w:pPr>
              <w:widowControl w:val="0"/>
              <w:rPr>
                <w:color w:val="000000"/>
                <w:sz w:val="20"/>
                <w:szCs w:val="20"/>
              </w:rPr>
            </w:pPr>
            <w:r w:rsidRPr="008F2AB7">
              <w:rPr>
                <w:color w:val="000000"/>
                <w:sz w:val="20"/>
                <w:szCs w:val="20"/>
              </w:rPr>
              <w:t xml:space="preserve">0:  </w:t>
            </w:r>
            <w:r w:rsidR="005E7398">
              <w:rPr>
                <w:color w:val="000000"/>
                <w:sz w:val="20"/>
                <w:szCs w:val="20"/>
              </w:rPr>
              <w:t>mult; *exp(X)</w:t>
            </w:r>
          </w:p>
        </w:tc>
      </w:tr>
      <w:tr w:rsidR="00E44064" w:rsidRPr="008F2AB7" w:rsidTr="003F7971">
        <w:trPr>
          <w:cantSplit/>
          <w:trHeight w:val="339"/>
        </w:trPr>
        <w:tc>
          <w:tcPr>
            <w:tcW w:w="724" w:type="pct"/>
            <w:vAlign w:val="center"/>
          </w:tcPr>
          <w:p w:rsidR="00E44064" w:rsidRPr="008F2AB7" w:rsidRDefault="00E44064" w:rsidP="00093011">
            <w:pPr>
              <w:widowControl w:val="0"/>
              <w:rPr>
                <w:color w:val="000000"/>
                <w:sz w:val="20"/>
                <w:szCs w:val="20"/>
              </w:rPr>
            </w:pPr>
          </w:p>
        </w:tc>
        <w:tc>
          <w:tcPr>
            <w:tcW w:w="711" w:type="pct"/>
            <w:noWrap/>
            <w:vAlign w:val="center"/>
          </w:tcPr>
          <w:p w:rsidR="00E44064" w:rsidRPr="008F2AB7" w:rsidRDefault="000B70AB" w:rsidP="000B70AB">
            <w:pPr>
              <w:widowControl w:val="0"/>
              <w:rPr>
                <w:color w:val="000000"/>
                <w:sz w:val="20"/>
                <w:szCs w:val="20"/>
              </w:rPr>
            </w:pPr>
            <w:r>
              <w:rPr>
                <w:color w:val="000000"/>
                <w:sz w:val="20"/>
                <w:szCs w:val="20"/>
              </w:rPr>
              <w:t>Link=2:  P’=P+L1*env</w:t>
            </w:r>
          </w:p>
        </w:tc>
        <w:tc>
          <w:tcPr>
            <w:tcW w:w="658" w:type="pct"/>
            <w:noWrap/>
            <w:vAlign w:val="center"/>
            <w:hideMark/>
          </w:tcPr>
          <w:p w:rsidR="00E44064" w:rsidRPr="008F2AB7" w:rsidRDefault="00E44064" w:rsidP="00093011">
            <w:pPr>
              <w:widowControl w:val="0"/>
              <w:rPr>
                <w:color w:val="000000"/>
                <w:sz w:val="20"/>
                <w:szCs w:val="20"/>
              </w:rPr>
            </w:pPr>
            <w:r w:rsidRPr="008F2AB7">
              <w:rPr>
                <w:color w:val="000000"/>
                <w:sz w:val="20"/>
                <w:szCs w:val="20"/>
              </w:rPr>
              <w:t>2:  additive</w:t>
            </w:r>
          </w:p>
        </w:tc>
        <w:tc>
          <w:tcPr>
            <w:tcW w:w="407" w:type="pct"/>
            <w:noWrap/>
            <w:vAlign w:val="center"/>
            <w:hideMark/>
          </w:tcPr>
          <w:p w:rsidR="00E44064" w:rsidRPr="008F2AB7" w:rsidRDefault="00E44064" w:rsidP="00093011">
            <w:pPr>
              <w:widowControl w:val="0"/>
              <w:rPr>
                <w:color w:val="000000"/>
                <w:sz w:val="20"/>
                <w:szCs w:val="20"/>
              </w:rPr>
            </w:pPr>
          </w:p>
        </w:tc>
        <w:tc>
          <w:tcPr>
            <w:tcW w:w="385" w:type="pct"/>
            <w:noWrap/>
            <w:vAlign w:val="center"/>
            <w:hideMark/>
          </w:tcPr>
          <w:p w:rsidR="00E44064" w:rsidRPr="008F2AB7" w:rsidRDefault="00E44064" w:rsidP="00093011">
            <w:pPr>
              <w:widowControl w:val="0"/>
              <w:rPr>
                <w:color w:val="000000"/>
                <w:sz w:val="20"/>
                <w:szCs w:val="20"/>
              </w:rPr>
            </w:pPr>
          </w:p>
        </w:tc>
        <w:tc>
          <w:tcPr>
            <w:tcW w:w="580" w:type="pct"/>
            <w:noWrap/>
            <w:vAlign w:val="center"/>
          </w:tcPr>
          <w:p w:rsidR="00E44064" w:rsidRPr="008F2AB7" w:rsidRDefault="00E44064" w:rsidP="00093011">
            <w:pPr>
              <w:widowControl w:val="0"/>
              <w:rPr>
                <w:color w:val="000000"/>
                <w:sz w:val="20"/>
                <w:szCs w:val="20"/>
              </w:rPr>
            </w:pPr>
          </w:p>
        </w:tc>
        <w:tc>
          <w:tcPr>
            <w:tcW w:w="813" w:type="pct"/>
            <w:noWrap/>
            <w:vAlign w:val="center"/>
          </w:tcPr>
          <w:p w:rsidR="00E44064" w:rsidRPr="008F2AB7" w:rsidRDefault="00E44064" w:rsidP="00093011">
            <w:pPr>
              <w:widowControl w:val="0"/>
              <w:rPr>
                <w:color w:val="000000"/>
                <w:sz w:val="20"/>
                <w:szCs w:val="20"/>
              </w:rPr>
            </w:pPr>
          </w:p>
        </w:tc>
        <w:tc>
          <w:tcPr>
            <w:tcW w:w="722" w:type="pct"/>
            <w:noWrap/>
            <w:vAlign w:val="center"/>
            <w:hideMark/>
          </w:tcPr>
          <w:p w:rsidR="00E44064" w:rsidRPr="008F2AB7" w:rsidRDefault="00E44064" w:rsidP="005E7398">
            <w:pPr>
              <w:widowControl w:val="0"/>
              <w:rPr>
                <w:color w:val="000000"/>
                <w:sz w:val="20"/>
                <w:szCs w:val="20"/>
              </w:rPr>
            </w:pPr>
            <w:r w:rsidRPr="008F2AB7">
              <w:rPr>
                <w:color w:val="000000"/>
                <w:sz w:val="20"/>
                <w:szCs w:val="20"/>
              </w:rPr>
              <w:t xml:space="preserve">1:  </w:t>
            </w:r>
            <w:r w:rsidR="005E7398">
              <w:rPr>
                <w:color w:val="000000"/>
                <w:sz w:val="20"/>
                <w:szCs w:val="20"/>
              </w:rPr>
              <w:t>additive, +X</w:t>
            </w:r>
          </w:p>
        </w:tc>
      </w:tr>
      <w:tr w:rsidR="000B70AB" w:rsidRPr="008F2AB7" w:rsidTr="003F7971">
        <w:trPr>
          <w:cantSplit/>
          <w:trHeight w:val="339"/>
        </w:trPr>
        <w:tc>
          <w:tcPr>
            <w:tcW w:w="724" w:type="pct"/>
            <w:vAlign w:val="center"/>
          </w:tcPr>
          <w:p w:rsidR="000B70AB" w:rsidRPr="008F2AB7" w:rsidRDefault="000B70AB" w:rsidP="00093011">
            <w:pPr>
              <w:widowControl w:val="0"/>
              <w:rPr>
                <w:color w:val="000000"/>
                <w:sz w:val="20"/>
                <w:szCs w:val="20"/>
              </w:rPr>
            </w:pPr>
          </w:p>
        </w:tc>
        <w:tc>
          <w:tcPr>
            <w:tcW w:w="711" w:type="pct"/>
            <w:noWrap/>
            <w:vAlign w:val="center"/>
          </w:tcPr>
          <w:p w:rsidR="000B70AB" w:rsidRDefault="000B70AB" w:rsidP="00093011">
            <w:pPr>
              <w:widowControl w:val="0"/>
              <w:rPr>
                <w:color w:val="000000"/>
                <w:sz w:val="20"/>
                <w:szCs w:val="20"/>
              </w:rPr>
            </w:pPr>
            <w:r>
              <w:rPr>
                <w:color w:val="000000"/>
                <w:sz w:val="20"/>
                <w:szCs w:val="20"/>
              </w:rPr>
              <w:t>Link=3:</w:t>
            </w:r>
          </w:p>
          <w:p w:rsidR="000B70AB" w:rsidRPr="008F2AB7" w:rsidRDefault="000B70AB" w:rsidP="00093011">
            <w:pPr>
              <w:widowControl w:val="0"/>
              <w:rPr>
                <w:color w:val="000000"/>
                <w:sz w:val="20"/>
                <w:szCs w:val="20"/>
              </w:rPr>
            </w:pPr>
            <w:r>
              <w:rPr>
                <w:color w:val="000000"/>
                <w:sz w:val="20"/>
                <w:szCs w:val="20"/>
              </w:rPr>
              <w:t>Reserve for density dependence</w:t>
            </w:r>
          </w:p>
        </w:tc>
        <w:tc>
          <w:tcPr>
            <w:tcW w:w="658" w:type="pct"/>
            <w:vMerge w:val="restart"/>
            <w:noWrap/>
            <w:vAlign w:val="center"/>
            <w:hideMark/>
          </w:tcPr>
          <w:p w:rsidR="000B70AB" w:rsidRPr="008F2AB7" w:rsidRDefault="000B70AB" w:rsidP="000B70AB">
            <w:pPr>
              <w:widowControl w:val="0"/>
              <w:rPr>
                <w:color w:val="000000"/>
                <w:sz w:val="20"/>
                <w:szCs w:val="20"/>
              </w:rPr>
            </w:pPr>
            <w:r>
              <w:rPr>
                <w:color w:val="000000"/>
                <w:sz w:val="20"/>
                <w:szCs w:val="20"/>
              </w:rPr>
              <w:t xml:space="preserve">Random walk options are now implemented by using rho in the objective function </w:t>
            </w:r>
          </w:p>
        </w:tc>
        <w:tc>
          <w:tcPr>
            <w:tcW w:w="407" w:type="pct"/>
            <w:noWrap/>
            <w:vAlign w:val="center"/>
            <w:hideMark/>
          </w:tcPr>
          <w:p w:rsidR="000B70AB" w:rsidRPr="008F2AB7" w:rsidRDefault="000B70AB" w:rsidP="00093011">
            <w:pPr>
              <w:widowControl w:val="0"/>
              <w:rPr>
                <w:color w:val="000000"/>
                <w:sz w:val="20"/>
                <w:szCs w:val="20"/>
              </w:rPr>
            </w:pPr>
          </w:p>
        </w:tc>
        <w:tc>
          <w:tcPr>
            <w:tcW w:w="385" w:type="pct"/>
            <w:noWrap/>
            <w:vAlign w:val="center"/>
            <w:hideMark/>
          </w:tcPr>
          <w:p w:rsidR="000B70AB" w:rsidRPr="008F2AB7" w:rsidRDefault="000B70AB" w:rsidP="00093011">
            <w:pPr>
              <w:widowControl w:val="0"/>
              <w:rPr>
                <w:color w:val="000000"/>
                <w:sz w:val="20"/>
                <w:szCs w:val="20"/>
              </w:rPr>
            </w:pPr>
          </w:p>
        </w:tc>
        <w:tc>
          <w:tcPr>
            <w:tcW w:w="580" w:type="pct"/>
            <w:noWrap/>
            <w:vAlign w:val="center"/>
            <w:hideMark/>
          </w:tcPr>
          <w:p w:rsidR="000B70AB" w:rsidRPr="008F2AB7" w:rsidRDefault="000B70AB" w:rsidP="00093011">
            <w:pPr>
              <w:widowControl w:val="0"/>
              <w:rPr>
                <w:color w:val="000000"/>
                <w:sz w:val="20"/>
                <w:szCs w:val="20"/>
              </w:rPr>
            </w:pPr>
          </w:p>
        </w:tc>
        <w:tc>
          <w:tcPr>
            <w:tcW w:w="813" w:type="pct"/>
            <w:noWrap/>
            <w:vAlign w:val="center"/>
            <w:hideMark/>
          </w:tcPr>
          <w:p w:rsidR="000B70AB" w:rsidRPr="008F2AB7" w:rsidRDefault="000B70AB" w:rsidP="00093011">
            <w:pPr>
              <w:widowControl w:val="0"/>
              <w:rPr>
                <w:color w:val="000000"/>
                <w:sz w:val="20"/>
                <w:szCs w:val="20"/>
              </w:rPr>
            </w:pPr>
          </w:p>
        </w:tc>
        <w:tc>
          <w:tcPr>
            <w:tcW w:w="722" w:type="pct"/>
            <w:noWrap/>
            <w:vAlign w:val="center"/>
            <w:hideMark/>
          </w:tcPr>
          <w:p w:rsidR="000B70AB" w:rsidRPr="008F2AB7" w:rsidRDefault="000B70AB" w:rsidP="00093011">
            <w:pPr>
              <w:widowControl w:val="0"/>
              <w:rPr>
                <w:color w:val="000000"/>
                <w:sz w:val="20"/>
                <w:szCs w:val="20"/>
              </w:rPr>
            </w:pPr>
            <w:r w:rsidRPr="008F2AB7">
              <w:rPr>
                <w:color w:val="000000"/>
                <w:sz w:val="20"/>
                <w:szCs w:val="20"/>
              </w:rPr>
              <w:t>2:  replace</w:t>
            </w:r>
            <w:r>
              <w:rPr>
                <w:color w:val="000000"/>
                <w:sz w:val="20"/>
                <w:szCs w:val="20"/>
              </w:rPr>
              <w:t>; =X</w:t>
            </w:r>
          </w:p>
        </w:tc>
      </w:tr>
      <w:tr w:rsidR="000B70AB" w:rsidRPr="008F2AB7" w:rsidTr="00E44064">
        <w:trPr>
          <w:cantSplit/>
          <w:trHeight w:val="339"/>
        </w:trPr>
        <w:tc>
          <w:tcPr>
            <w:tcW w:w="724" w:type="pct"/>
            <w:vAlign w:val="center"/>
          </w:tcPr>
          <w:p w:rsidR="000B70AB" w:rsidRPr="008F2AB7" w:rsidRDefault="000B70AB" w:rsidP="00093011">
            <w:pPr>
              <w:widowControl w:val="0"/>
              <w:rPr>
                <w:color w:val="000000"/>
                <w:sz w:val="20"/>
                <w:szCs w:val="20"/>
              </w:rPr>
            </w:pPr>
          </w:p>
        </w:tc>
        <w:tc>
          <w:tcPr>
            <w:tcW w:w="711" w:type="pct"/>
            <w:noWrap/>
            <w:vAlign w:val="center"/>
            <w:hideMark/>
          </w:tcPr>
          <w:p w:rsidR="000B70AB" w:rsidRDefault="000B70AB" w:rsidP="00093011">
            <w:pPr>
              <w:widowControl w:val="0"/>
              <w:rPr>
                <w:color w:val="000000"/>
                <w:sz w:val="20"/>
                <w:szCs w:val="20"/>
              </w:rPr>
            </w:pPr>
            <w:r>
              <w:rPr>
                <w:color w:val="000000"/>
                <w:sz w:val="20"/>
                <w:szCs w:val="20"/>
              </w:rPr>
              <w:t>Link 4:  logistic</w:t>
            </w:r>
          </w:p>
          <w:p w:rsidR="000B70AB" w:rsidRDefault="000B70AB" w:rsidP="00093011">
            <w:pPr>
              <w:widowControl w:val="0"/>
              <w:rPr>
                <w:color w:val="000000"/>
                <w:sz w:val="20"/>
                <w:szCs w:val="20"/>
              </w:rPr>
            </w:pPr>
            <w:r>
              <w:rPr>
                <w:color w:val="000000"/>
                <w:sz w:val="20"/>
                <w:szCs w:val="20"/>
              </w:rPr>
              <w:t>P’=P*2.0/</w:t>
            </w:r>
          </w:p>
          <w:p w:rsidR="000B70AB" w:rsidRPr="008F2AB7" w:rsidRDefault="000B70AB" w:rsidP="00093011">
            <w:pPr>
              <w:widowControl w:val="0"/>
              <w:rPr>
                <w:color w:val="000000"/>
                <w:sz w:val="20"/>
                <w:szCs w:val="20"/>
              </w:rPr>
            </w:pPr>
            <w:r>
              <w:rPr>
                <w:color w:val="000000"/>
                <w:sz w:val="20"/>
                <w:szCs w:val="20"/>
              </w:rPr>
              <w:t>(1+exp(-L1*(env-L2))</w:t>
            </w:r>
          </w:p>
        </w:tc>
        <w:tc>
          <w:tcPr>
            <w:tcW w:w="658" w:type="pct"/>
            <w:vMerge/>
            <w:noWrap/>
            <w:vAlign w:val="center"/>
            <w:hideMark/>
          </w:tcPr>
          <w:p w:rsidR="000B70AB" w:rsidRPr="008F2AB7" w:rsidRDefault="000B70AB" w:rsidP="000B70AB">
            <w:pPr>
              <w:widowControl w:val="0"/>
              <w:rPr>
                <w:color w:val="000000"/>
                <w:sz w:val="20"/>
                <w:szCs w:val="20"/>
              </w:rPr>
            </w:pPr>
          </w:p>
        </w:tc>
        <w:tc>
          <w:tcPr>
            <w:tcW w:w="407" w:type="pct"/>
            <w:noWrap/>
            <w:vAlign w:val="center"/>
            <w:hideMark/>
          </w:tcPr>
          <w:p w:rsidR="000B70AB" w:rsidRPr="008F2AB7" w:rsidRDefault="000B70AB" w:rsidP="00093011">
            <w:pPr>
              <w:widowControl w:val="0"/>
              <w:rPr>
                <w:color w:val="000000"/>
                <w:sz w:val="20"/>
                <w:szCs w:val="20"/>
              </w:rPr>
            </w:pPr>
          </w:p>
        </w:tc>
        <w:tc>
          <w:tcPr>
            <w:tcW w:w="385" w:type="pct"/>
            <w:noWrap/>
            <w:vAlign w:val="center"/>
            <w:hideMark/>
          </w:tcPr>
          <w:p w:rsidR="000B70AB" w:rsidRPr="008F2AB7" w:rsidRDefault="000B70AB" w:rsidP="00093011">
            <w:pPr>
              <w:widowControl w:val="0"/>
              <w:rPr>
                <w:color w:val="000000"/>
                <w:sz w:val="20"/>
                <w:szCs w:val="20"/>
              </w:rPr>
            </w:pPr>
          </w:p>
        </w:tc>
        <w:tc>
          <w:tcPr>
            <w:tcW w:w="580" w:type="pct"/>
            <w:noWrap/>
            <w:vAlign w:val="center"/>
            <w:hideMark/>
          </w:tcPr>
          <w:p w:rsidR="000B70AB" w:rsidRPr="008F2AB7" w:rsidRDefault="000B70AB" w:rsidP="00093011">
            <w:pPr>
              <w:widowControl w:val="0"/>
              <w:rPr>
                <w:color w:val="000000"/>
                <w:sz w:val="20"/>
                <w:szCs w:val="20"/>
              </w:rPr>
            </w:pPr>
          </w:p>
        </w:tc>
        <w:tc>
          <w:tcPr>
            <w:tcW w:w="813" w:type="pct"/>
            <w:noWrap/>
            <w:vAlign w:val="center"/>
            <w:hideMark/>
          </w:tcPr>
          <w:p w:rsidR="000B70AB" w:rsidRPr="008F2AB7" w:rsidRDefault="000B70AB" w:rsidP="00093011">
            <w:pPr>
              <w:widowControl w:val="0"/>
              <w:rPr>
                <w:color w:val="000000"/>
                <w:sz w:val="20"/>
                <w:szCs w:val="20"/>
              </w:rPr>
            </w:pPr>
          </w:p>
        </w:tc>
        <w:tc>
          <w:tcPr>
            <w:tcW w:w="722" w:type="pct"/>
            <w:noWrap/>
            <w:vAlign w:val="center"/>
            <w:hideMark/>
          </w:tcPr>
          <w:p w:rsidR="000B70AB" w:rsidRPr="008F2AB7" w:rsidRDefault="000B70AB" w:rsidP="00093011">
            <w:pPr>
              <w:widowControl w:val="0"/>
              <w:rPr>
                <w:color w:val="000000"/>
                <w:sz w:val="20"/>
                <w:szCs w:val="20"/>
              </w:rPr>
            </w:pPr>
            <w:r w:rsidRPr="008F2AB7">
              <w:rPr>
                <w:color w:val="000000"/>
                <w:sz w:val="20"/>
                <w:szCs w:val="20"/>
              </w:rPr>
              <w:t xml:space="preserve">3:  </w:t>
            </w:r>
            <w:r>
              <w:rPr>
                <w:color w:val="000000"/>
                <w:sz w:val="20"/>
                <w:szCs w:val="20"/>
              </w:rPr>
              <w:t xml:space="preserve">additive </w:t>
            </w:r>
            <w:r w:rsidRPr="008F2AB7">
              <w:rPr>
                <w:color w:val="000000"/>
                <w:sz w:val="20"/>
                <w:szCs w:val="20"/>
              </w:rPr>
              <w:t>randwalk</w:t>
            </w:r>
            <w:r>
              <w:rPr>
                <w:color w:val="000000"/>
                <w:sz w:val="20"/>
                <w:szCs w:val="20"/>
              </w:rPr>
              <w:t xml:space="preserve"> across blocks</w:t>
            </w:r>
          </w:p>
        </w:tc>
      </w:tr>
      <w:tr w:rsidR="003F7971" w:rsidRPr="008F2AB7" w:rsidTr="00E44064">
        <w:trPr>
          <w:cantSplit/>
          <w:trHeight w:val="339"/>
        </w:trPr>
        <w:tc>
          <w:tcPr>
            <w:tcW w:w="724" w:type="pct"/>
            <w:vAlign w:val="center"/>
          </w:tcPr>
          <w:p w:rsidR="003F7971" w:rsidRPr="008F2AB7" w:rsidRDefault="003F7971" w:rsidP="003F7971">
            <w:pPr>
              <w:widowControl w:val="0"/>
              <w:rPr>
                <w:color w:val="000000"/>
                <w:sz w:val="20"/>
                <w:szCs w:val="20"/>
              </w:rPr>
            </w:pPr>
          </w:p>
        </w:tc>
        <w:tc>
          <w:tcPr>
            <w:tcW w:w="711" w:type="pct"/>
            <w:noWrap/>
            <w:vAlign w:val="center"/>
          </w:tcPr>
          <w:p w:rsidR="003F7971" w:rsidRPr="008F2AB7" w:rsidRDefault="003F7971" w:rsidP="003F7971">
            <w:pPr>
              <w:widowControl w:val="0"/>
              <w:rPr>
                <w:color w:val="000000"/>
                <w:sz w:val="20"/>
                <w:szCs w:val="20"/>
              </w:rPr>
            </w:pPr>
          </w:p>
        </w:tc>
        <w:tc>
          <w:tcPr>
            <w:tcW w:w="658" w:type="pct"/>
            <w:noWrap/>
            <w:vAlign w:val="center"/>
          </w:tcPr>
          <w:p w:rsidR="003F7971" w:rsidRPr="008F2AB7" w:rsidRDefault="003F7971" w:rsidP="003F7971">
            <w:pPr>
              <w:widowControl w:val="0"/>
              <w:rPr>
                <w:color w:val="000000"/>
                <w:sz w:val="20"/>
                <w:szCs w:val="20"/>
              </w:rPr>
            </w:pPr>
          </w:p>
        </w:tc>
        <w:tc>
          <w:tcPr>
            <w:tcW w:w="407" w:type="pct"/>
            <w:noWrap/>
            <w:vAlign w:val="center"/>
          </w:tcPr>
          <w:p w:rsidR="003F7971" w:rsidRPr="008F2AB7" w:rsidRDefault="003F7971" w:rsidP="003F7971">
            <w:pPr>
              <w:widowControl w:val="0"/>
              <w:rPr>
                <w:color w:val="000000"/>
                <w:sz w:val="20"/>
                <w:szCs w:val="20"/>
              </w:rPr>
            </w:pPr>
          </w:p>
        </w:tc>
        <w:tc>
          <w:tcPr>
            <w:tcW w:w="385" w:type="pct"/>
            <w:noWrap/>
            <w:vAlign w:val="center"/>
          </w:tcPr>
          <w:p w:rsidR="003F7971" w:rsidRPr="008F2AB7" w:rsidRDefault="003F7971" w:rsidP="003F7971">
            <w:pPr>
              <w:widowControl w:val="0"/>
              <w:rPr>
                <w:color w:val="000000"/>
                <w:sz w:val="20"/>
                <w:szCs w:val="20"/>
              </w:rPr>
            </w:pPr>
          </w:p>
        </w:tc>
        <w:tc>
          <w:tcPr>
            <w:tcW w:w="580" w:type="pct"/>
            <w:noWrap/>
            <w:vAlign w:val="center"/>
          </w:tcPr>
          <w:p w:rsidR="003F7971" w:rsidRPr="008F2AB7" w:rsidRDefault="003F7971" w:rsidP="003F7971">
            <w:pPr>
              <w:widowControl w:val="0"/>
              <w:rPr>
                <w:color w:val="000000"/>
                <w:sz w:val="20"/>
                <w:szCs w:val="20"/>
              </w:rPr>
            </w:pPr>
          </w:p>
        </w:tc>
        <w:tc>
          <w:tcPr>
            <w:tcW w:w="813" w:type="pct"/>
            <w:noWrap/>
            <w:vAlign w:val="center"/>
          </w:tcPr>
          <w:p w:rsidR="003F7971" w:rsidRPr="008F2AB7" w:rsidRDefault="003F7971" w:rsidP="005E7398">
            <w:pPr>
              <w:widowControl w:val="0"/>
              <w:rPr>
                <w:color w:val="000000"/>
                <w:sz w:val="20"/>
                <w:szCs w:val="20"/>
              </w:rPr>
            </w:pPr>
            <w:r>
              <w:rPr>
                <w:color w:val="000000"/>
                <w:sz w:val="20"/>
                <w:szCs w:val="20"/>
              </w:rPr>
              <w:t xml:space="preserve">-1: trend with final as offset from baseparm, and offset value is in log space**; also inflection year is </w:t>
            </w:r>
            <w:r w:rsidR="005E7398">
              <w:rPr>
                <w:color w:val="000000"/>
                <w:sz w:val="20"/>
                <w:szCs w:val="20"/>
              </w:rPr>
              <w:t>in log space and an offset from log(0.5)</w:t>
            </w:r>
          </w:p>
        </w:tc>
        <w:tc>
          <w:tcPr>
            <w:tcW w:w="722" w:type="pct"/>
            <w:noWrap/>
            <w:vAlign w:val="center"/>
          </w:tcPr>
          <w:p w:rsidR="003F7971" w:rsidRPr="008F2AB7" w:rsidRDefault="005E7398" w:rsidP="003F7971">
            <w:pPr>
              <w:widowControl w:val="0"/>
              <w:rPr>
                <w:color w:val="000000"/>
                <w:sz w:val="20"/>
                <w:szCs w:val="20"/>
              </w:rPr>
            </w:pPr>
            <w:r>
              <w:rPr>
                <w:color w:val="000000"/>
                <w:sz w:val="20"/>
                <w:szCs w:val="20"/>
              </w:rPr>
              <w:t>NA</w:t>
            </w:r>
          </w:p>
        </w:tc>
      </w:tr>
      <w:tr w:rsidR="003F7971" w:rsidRPr="008F2AB7" w:rsidTr="00E44064">
        <w:trPr>
          <w:cantSplit/>
          <w:trHeight w:val="339"/>
        </w:trPr>
        <w:tc>
          <w:tcPr>
            <w:tcW w:w="724" w:type="pct"/>
            <w:vAlign w:val="center"/>
          </w:tcPr>
          <w:p w:rsidR="003F7971" w:rsidRPr="008F2AB7" w:rsidRDefault="003F7971" w:rsidP="003F7971">
            <w:pPr>
              <w:widowControl w:val="0"/>
              <w:rPr>
                <w:color w:val="000000"/>
                <w:sz w:val="20"/>
                <w:szCs w:val="20"/>
              </w:rPr>
            </w:pPr>
          </w:p>
        </w:tc>
        <w:tc>
          <w:tcPr>
            <w:tcW w:w="711" w:type="pct"/>
            <w:noWrap/>
            <w:vAlign w:val="center"/>
          </w:tcPr>
          <w:p w:rsidR="003F7971" w:rsidRPr="008F2AB7" w:rsidRDefault="003F7971" w:rsidP="003F7971">
            <w:pPr>
              <w:widowControl w:val="0"/>
              <w:rPr>
                <w:color w:val="000000"/>
                <w:sz w:val="20"/>
                <w:szCs w:val="20"/>
              </w:rPr>
            </w:pPr>
          </w:p>
        </w:tc>
        <w:tc>
          <w:tcPr>
            <w:tcW w:w="658" w:type="pct"/>
            <w:noWrap/>
            <w:vAlign w:val="center"/>
          </w:tcPr>
          <w:p w:rsidR="003F7971" w:rsidRPr="008F2AB7" w:rsidRDefault="003F7971" w:rsidP="003F7971">
            <w:pPr>
              <w:widowControl w:val="0"/>
              <w:rPr>
                <w:color w:val="000000"/>
                <w:sz w:val="20"/>
                <w:szCs w:val="20"/>
              </w:rPr>
            </w:pPr>
          </w:p>
        </w:tc>
        <w:tc>
          <w:tcPr>
            <w:tcW w:w="407" w:type="pct"/>
            <w:noWrap/>
            <w:vAlign w:val="center"/>
          </w:tcPr>
          <w:p w:rsidR="003F7971" w:rsidRPr="008F2AB7" w:rsidRDefault="003F7971" w:rsidP="003F7971">
            <w:pPr>
              <w:widowControl w:val="0"/>
              <w:rPr>
                <w:color w:val="000000"/>
                <w:sz w:val="20"/>
                <w:szCs w:val="20"/>
              </w:rPr>
            </w:pPr>
          </w:p>
        </w:tc>
        <w:tc>
          <w:tcPr>
            <w:tcW w:w="385" w:type="pct"/>
            <w:noWrap/>
            <w:vAlign w:val="center"/>
          </w:tcPr>
          <w:p w:rsidR="003F7971" w:rsidRPr="008F2AB7" w:rsidRDefault="003F7971" w:rsidP="003F7971">
            <w:pPr>
              <w:widowControl w:val="0"/>
              <w:rPr>
                <w:color w:val="000000"/>
                <w:sz w:val="20"/>
                <w:szCs w:val="20"/>
              </w:rPr>
            </w:pPr>
          </w:p>
        </w:tc>
        <w:tc>
          <w:tcPr>
            <w:tcW w:w="580" w:type="pct"/>
            <w:noWrap/>
            <w:vAlign w:val="center"/>
          </w:tcPr>
          <w:p w:rsidR="003F7971" w:rsidRPr="008F2AB7" w:rsidRDefault="003F7971" w:rsidP="003F7971">
            <w:pPr>
              <w:widowControl w:val="0"/>
              <w:rPr>
                <w:color w:val="000000"/>
                <w:sz w:val="20"/>
                <w:szCs w:val="20"/>
              </w:rPr>
            </w:pPr>
          </w:p>
        </w:tc>
        <w:tc>
          <w:tcPr>
            <w:tcW w:w="813" w:type="pct"/>
            <w:noWrap/>
            <w:vAlign w:val="center"/>
          </w:tcPr>
          <w:p w:rsidR="003F7971" w:rsidRPr="008F2AB7" w:rsidRDefault="003F7971" w:rsidP="003F7971">
            <w:pPr>
              <w:widowControl w:val="0"/>
              <w:rPr>
                <w:color w:val="000000"/>
                <w:sz w:val="20"/>
                <w:szCs w:val="20"/>
              </w:rPr>
            </w:pPr>
            <w:r>
              <w:rPr>
                <w:color w:val="000000"/>
                <w:sz w:val="20"/>
                <w:szCs w:val="20"/>
              </w:rPr>
              <w:t>-2:  trend with final as standalone value</w:t>
            </w:r>
          </w:p>
        </w:tc>
        <w:tc>
          <w:tcPr>
            <w:tcW w:w="722" w:type="pct"/>
            <w:noWrap/>
            <w:vAlign w:val="center"/>
          </w:tcPr>
          <w:p w:rsidR="003F7971" w:rsidRPr="008F2AB7" w:rsidRDefault="005E7398" w:rsidP="003F7971">
            <w:pPr>
              <w:widowControl w:val="0"/>
              <w:rPr>
                <w:color w:val="000000"/>
                <w:sz w:val="20"/>
                <w:szCs w:val="20"/>
              </w:rPr>
            </w:pPr>
            <w:r>
              <w:rPr>
                <w:color w:val="000000"/>
                <w:sz w:val="20"/>
                <w:szCs w:val="20"/>
              </w:rPr>
              <w:t>NA</w:t>
            </w:r>
          </w:p>
        </w:tc>
      </w:tr>
      <w:tr w:rsidR="003F7971" w:rsidRPr="008F2AB7" w:rsidTr="00E44064">
        <w:trPr>
          <w:cantSplit/>
          <w:trHeight w:val="339"/>
        </w:trPr>
        <w:tc>
          <w:tcPr>
            <w:tcW w:w="724" w:type="pct"/>
            <w:vAlign w:val="center"/>
          </w:tcPr>
          <w:p w:rsidR="003F7971" w:rsidRPr="008F2AB7" w:rsidRDefault="003F7971" w:rsidP="003F7971">
            <w:pPr>
              <w:widowControl w:val="0"/>
              <w:rPr>
                <w:color w:val="000000"/>
                <w:sz w:val="20"/>
                <w:szCs w:val="20"/>
              </w:rPr>
            </w:pPr>
          </w:p>
        </w:tc>
        <w:tc>
          <w:tcPr>
            <w:tcW w:w="711" w:type="pct"/>
            <w:noWrap/>
            <w:vAlign w:val="center"/>
          </w:tcPr>
          <w:p w:rsidR="003F7971" w:rsidRPr="008F2AB7" w:rsidRDefault="003F7971" w:rsidP="003F7971">
            <w:pPr>
              <w:widowControl w:val="0"/>
              <w:rPr>
                <w:color w:val="000000"/>
                <w:sz w:val="20"/>
                <w:szCs w:val="20"/>
              </w:rPr>
            </w:pPr>
          </w:p>
        </w:tc>
        <w:tc>
          <w:tcPr>
            <w:tcW w:w="658" w:type="pct"/>
            <w:noWrap/>
            <w:vAlign w:val="center"/>
          </w:tcPr>
          <w:p w:rsidR="003F7971" w:rsidRPr="008F2AB7" w:rsidRDefault="003F7971" w:rsidP="003F7971">
            <w:pPr>
              <w:widowControl w:val="0"/>
              <w:rPr>
                <w:color w:val="000000"/>
                <w:sz w:val="20"/>
                <w:szCs w:val="20"/>
              </w:rPr>
            </w:pPr>
          </w:p>
        </w:tc>
        <w:tc>
          <w:tcPr>
            <w:tcW w:w="407" w:type="pct"/>
            <w:noWrap/>
            <w:vAlign w:val="center"/>
          </w:tcPr>
          <w:p w:rsidR="003F7971" w:rsidRPr="008F2AB7" w:rsidRDefault="003F7971" w:rsidP="003F7971">
            <w:pPr>
              <w:widowControl w:val="0"/>
              <w:rPr>
                <w:color w:val="000000"/>
                <w:sz w:val="20"/>
                <w:szCs w:val="20"/>
              </w:rPr>
            </w:pPr>
          </w:p>
        </w:tc>
        <w:tc>
          <w:tcPr>
            <w:tcW w:w="385" w:type="pct"/>
            <w:noWrap/>
            <w:vAlign w:val="center"/>
          </w:tcPr>
          <w:p w:rsidR="003F7971" w:rsidRPr="008F2AB7" w:rsidRDefault="003F7971" w:rsidP="003F7971">
            <w:pPr>
              <w:widowControl w:val="0"/>
              <w:rPr>
                <w:color w:val="000000"/>
                <w:sz w:val="20"/>
                <w:szCs w:val="20"/>
              </w:rPr>
            </w:pPr>
          </w:p>
        </w:tc>
        <w:tc>
          <w:tcPr>
            <w:tcW w:w="580" w:type="pct"/>
            <w:noWrap/>
            <w:vAlign w:val="center"/>
          </w:tcPr>
          <w:p w:rsidR="003F7971" w:rsidRPr="008F2AB7" w:rsidRDefault="003F7971" w:rsidP="003F7971">
            <w:pPr>
              <w:widowControl w:val="0"/>
              <w:rPr>
                <w:color w:val="000000"/>
                <w:sz w:val="20"/>
                <w:szCs w:val="20"/>
              </w:rPr>
            </w:pPr>
          </w:p>
        </w:tc>
        <w:tc>
          <w:tcPr>
            <w:tcW w:w="813" w:type="pct"/>
            <w:noWrap/>
            <w:vAlign w:val="center"/>
          </w:tcPr>
          <w:p w:rsidR="003F7971" w:rsidRDefault="005E7398" w:rsidP="003F7971">
            <w:pPr>
              <w:widowControl w:val="0"/>
              <w:rPr>
                <w:color w:val="000000"/>
                <w:sz w:val="20"/>
                <w:szCs w:val="20"/>
              </w:rPr>
            </w:pPr>
            <w:r>
              <w:rPr>
                <w:color w:val="000000"/>
                <w:sz w:val="20"/>
                <w:szCs w:val="20"/>
              </w:rPr>
              <w:t>-3:  end value is a fraction of baseparm max-min; inflection year is as fraction of endyr-styr</w:t>
            </w:r>
          </w:p>
        </w:tc>
        <w:tc>
          <w:tcPr>
            <w:tcW w:w="722" w:type="pct"/>
            <w:noWrap/>
            <w:vAlign w:val="center"/>
          </w:tcPr>
          <w:p w:rsidR="003F7971" w:rsidRPr="008F2AB7" w:rsidRDefault="005E7398" w:rsidP="003F7971">
            <w:pPr>
              <w:widowControl w:val="0"/>
              <w:rPr>
                <w:color w:val="000000"/>
                <w:sz w:val="20"/>
                <w:szCs w:val="20"/>
              </w:rPr>
            </w:pPr>
            <w:r>
              <w:rPr>
                <w:color w:val="000000"/>
                <w:sz w:val="20"/>
                <w:szCs w:val="20"/>
              </w:rPr>
              <w:t>NA</w:t>
            </w:r>
          </w:p>
        </w:tc>
      </w:tr>
      <w:tr w:rsidR="003F7971" w:rsidRPr="008F2AB7" w:rsidTr="00E44064">
        <w:trPr>
          <w:cantSplit/>
          <w:trHeight w:val="339"/>
        </w:trPr>
        <w:tc>
          <w:tcPr>
            <w:tcW w:w="724" w:type="pct"/>
            <w:vAlign w:val="center"/>
          </w:tcPr>
          <w:p w:rsidR="003F7971" w:rsidRPr="008F2AB7" w:rsidRDefault="003F7971" w:rsidP="003F7971">
            <w:pPr>
              <w:widowControl w:val="0"/>
              <w:rPr>
                <w:color w:val="000000"/>
                <w:sz w:val="20"/>
                <w:szCs w:val="20"/>
              </w:rPr>
            </w:pPr>
          </w:p>
        </w:tc>
        <w:tc>
          <w:tcPr>
            <w:tcW w:w="711" w:type="pct"/>
            <w:noWrap/>
            <w:vAlign w:val="center"/>
          </w:tcPr>
          <w:p w:rsidR="003F7971" w:rsidRPr="008F2AB7" w:rsidRDefault="003F7971" w:rsidP="003F7971">
            <w:pPr>
              <w:widowControl w:val="0"/>
              <w:rPr>
                <w:color w:val="000000"/>
                <w:sz w:val="20"/>
                <w:szCs w:val="20"/>
              </w:rPr>
            </w:pPr>
          </w:p>
        </w:tc>
        <w:tc>
          <w:tcPr>
            <w:tcW w:w="658" w:type="pct"/>
            <w:noWrap/>
            <w:vAlign w:val="center"/>
          </w:tcPr>
          <w:p w:rsidR="003F7971" w:rsidRPr="008F2AB7" w:rsidRDefault="003F7971" w:rsidP="003F7971">
            <w:pPr>
              <w:widowControl w:val="0"/>
              <w:rPr>
                <w:color w:val="000000"/>
                <w:sz w:val="20"/>
                <w:szCs w:val="20"/>
              </w:rPr>
            </w:pPr>
          </w:p>
        </w:tc>
        <w:tc>
          <w:tcPr>
            <w:tcW w:w="407" w:type="pct"/>
            <w:noWrap/>
            <w:vAlign w:val="center"/>
          </w:tcPr>
          <w:p w:rsidR="003F7971" w:rsidRPr="008F2AB7" w:rsidRDefault="003F7971" w:rsidP="003F7971">
            <w:pPr>
              <w:widowControl w:val="0"/>
              <w:rPr>
                <w:color w:val="000000"/>
                <w:sz w:val="20"/>
                <w:szCs w:val="20"/>
              </w:rPr>
            </w:pPr>
          </w:p>
        </w:tc>
        <w:tc>
          <w:tcPr>
            <w:tcW w:w="385" w:type="pct"/>
            <w:noWrap/>
            <w:vAlign w:val="center"/>
          </w:tcPr>
          <w:p w:rsidR="003F7971" w:rsidRPr="008F2AB7" w:rsidRDefault="003F7971" w:rsidP="003F7971">
            <w:pPr>
              <w:widowControl w:val="0"/>
              <w:rPr>
                <w:color w:val="000000"/>
                <w:sz w:val="20"/>
                <w:szCs w:val="20"/>
              </w:rPr>
            </w:pPr>
          </w:p>
        </w:tc>
        <w:tc>
          <w:tcPr>
            <w:tcW w:w="580" w:type="pct"/>
            <w:noWrap/>
            <w:vAlign w:val="center"/>
          </w:tcPr>
          <w:p w:rsidR="003F7971" w:rsidRPr="008F2AB7" w:rsidRDefault="003F7971" w:rsidP="003F7971">
            <w:pPr>
              <w:widowControl w:val="0"/>
              <w:rPr>
                <w:color w:val="000000"/>
                <w:sz w:val="20"/>
                <w:szCs w:val="20"/>
              </w:rPr>
            </w:pPr>
          </w:p>
        </w:tc>
        <w:tc>
          <w:tcPr>
            <w:tcW w:w="813" w:type="pct"/>
            <w:noWrap/>
            <w:vAlign w:val="center"/>
          </w:tcPr>
          <w:p w:rsidR="003F7971" w:rsidRPr="008F2AB7" w:rsidRDefault="005E7398" w:rsidP="005E7398">
            <w:pPr>
              <w:widowControl w:val="0"/>
              <w:rPr>
                <w:color w:val="000000"/>
                <w:sz w:val="20"/>
                <w:szCs w:val="20"/>
              </w:rPr>
            </w:pPr>
            <w:r>
              <w:rPr>
                <w:color w:val="000000"/>
                <w:sz w:val="20"/>
                <w:szCs w:val="20"/>
              </w:rPr>
              <w:t>&lt;=-4:  cycle with one parameter per season</w:t>
            </w:r>
          </w:p>
        </w:tc>
        <w:tc>
          <w:tcPr>
            <w:tcW w:w="722" w:type="pct"/>
            <w:noWrap/>
            <w:vAlign w:val="center"/>
          </w:tcPr>
          <w:p w:rsidR="003F7971" w:rsidRPr="008F2AB7" w:rsidRDefault="003F7971" w:rsidP="003F7971">
            <w:pPr>
              <w:widowControl w:val="0"/>
              <w:rPr>
                <w:color w:val="000000"/>
                <w:sz w:val="20"/>
                <w:szCs w:val="20"/>
              </w:rPr>
            </w:pPr>
          </w:p>
        </w:tc>
      </w:tr>
    </w:tbl>
    <w:p w:rsidR="00E44064" w:rsidRDefault="005E7398" w:rsidP="00E44064">
      <w:pPr>
        <w:widowControl w:val="0"/>
        <w:spacing w:before="120"/>
      </w:pPr>
      <w:r>
        <w:rPr>
          <w:noProof/>
        </w:rPr>
        <mc:AlternateContent>
          <mc:Choice Requires="wps">
            <w:drawing>
              <wp:anchor distT="45720" distB="45720" distL="114300" distR="114300" simplePos="0" relativeHeight="251665408" behindDoc="0" locked="0" layoutInCell="1" allowOverlap="1" wp14:anchorId="11632B35" wp14:editId="247D4468">
                <wp:simplePos x="0" y="0"/>
                <wp:positionH relativeFrom="margin">
                  <wp:align>left</wp:align>
                </wp:positionH>
                <wp:positionV relativeFrom="paragraph">
                  <wp:posOffset>811761</wp:posOffset>
                </wp:positionV>
                <wp:extent cx="6353175" cy="1404620"/>
                <wp:effectExtent l="0" t="0" r="28575" b="2476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404620"/>
                        </a:xfrm>
                        <a:prstGeom prst="rect">
                          <a:avLst/>
                        </a:prstGeom>
                        <a:solidFill>
                          <a:srgbClr val="FFFFFF"/>
                        </a:solidFill>
                        <a:ln w="9525">
                          <a:solidFill>
                            <a:srgbClr val="000000"/>
                          </a:solidFill>
                          <a:miter lim="800000"/>
                          <a:headEnd/>
                          <a:tailEnd/>
                        </a:ln>
                      </wps:spPr>
                      <wps:txbx>
                        <w:txbxContent>
                          <w:p w:rsidR="003F7971" w:rsidRDefault="003F7971" w:rsidP="003F7971">
                            <w:pPr>
                              <w:rPr>
                                <w:sz w:val="16"/>
                                <w:szCs w:val="16"/>
                              </w:rPr>
                            </w:pPr>
                            <w:r>
                              <w:rPr>
                                <w:sz w:val="16"/>
                                <w:szCs w:val="16"/>
                              </w:rPr>
                              <w:t>**Logistic approach to trend as offset from baseparm:</w:t>
                            </w:r>
                          </w:p>
                          <w:p w:rsidR="003F7971" w:rsidRPr="005A7900" w:rsidRDefault="003F7971" w:rsidP="003F7971">
                            <w:pPr>
                              <w:rPr>
                                <w:sz w:val="16"/>
                                <w:szCs w:val="16"/>
                              </w:rPr>
                            </w:pPr>
                            <w:r w:rsidRPr="005A7900">
                              <w:rPr>
                                <w:sz w:val="16"/>
                                <w:szCs w:val="16"/>
                              </w:rPr>
                              <w:t>temp=log((MGparm_1(j,2)-MGparm_1(j,1)+0.0000002)/(MGparm(j)-MGparm_1(j,1)+0.0000001)-1.)/(-2.);   // transform the base parameter</w:t>
                            </w:r>
                          </w:p>
                          <w:p w:rsidR="003F7971" w:rsidRPr="005A7900" w:rsidRDefault="003F7971" w:rsidP="003F7971">
                            <w:pPr>
                              <w:rPr>
                                <w:sz w:val="16"/>
                                <w:szCs w:val="16"/>
                              </w:rPr>
                            </w:pPr>
                            <w:r w:rsidRPr="005A7900">
                              <w:rPr>
                                <w:sz w:val="16"/>
                                <w:szCs w:val="16"/>
                              </w:rPr>
                              <w:t>temp+=MGparm(k+1);     //  add the offset  Note that offset value is in the transform space</w:t>
                            </w:r>
                          </w:p>
                          <w:p w:rsidR="003F7971" w:rsidRPr="005A7900" w:rsidRDefault="003F7971" w:rsidP="003F7971">
                            <w:pPr>
                              <w:rPr>
                                <w:sz w:val="16"/>
                                <w:szCs w:val="16"/>
                              </w:rPr>
                            </w:pPr>
                            <w:r w:rsidRPr="005A7900">
                              <w:rPr>
                                <w:sz w:val="16"/>
                                <w:szCs w:val="16"/>
                              </w:rPr>
                              <w:t>temp1=MGparm_1(j,1)+(MGparm_1(j,2)-MGparm_1(j,1))/(1.+mfexp(-2.*temp));   // backtransform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632B35" id="_x0000_s1028" type="#_x0000_t202" style="position:absolute;margin-left:0;margin-top:63.9pt;width:500.2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">
                <v:textbox style="mso-fit-shape-to-text:t">
                  <w:txbxContent>
                    <w:p w:rsidR="003F7971" w:rsidRDefault="003F7971" w:rsidP="003F7971">
                      <w:pPr>
                        <w:rPr>
                          <w:sz w:val="16"/>
                          <w:szCs w:val="16"/>
                        </w:rPr>
                      </w:pPr>
                      <w:r>
                        <w:rPr>
                          <w:sz w:val="16"/>
                          <w:szCs w:val="16"/>
                        </w:rPr>
                        <w:t>*</w:t>
                      </w:r>
                      <w:r>
                        <w:rPr>
                          <w:sz w:val="16"/>
                          <w:szCs w:val="16"/>
                        </w:rPr>
                        <w:t>*</w:t>
                      </w:r>
                      <w:r>
                        <w:rPr>
                          <w:sz w:val="16"/>
                          <w:szCs w:val="16"/>
                        </w:rPr>
                        <w:t>Logistic approach to trend as offset from baseparm:</w:t>
                      </w:r>
                    </w:p>
                    <w:p w:rsidR="003F7971" w:rsidRPr="005A7900" w:rsidRDefault="003F7971" w:rsidP="003F7971">
                      <w:pPr>
                        <w:rPr>
                          <w:sz w:val="16"/>
                          <w:szCs w:val="16"/>
                        </w:rPr>
                      </w:pPr>
                      <w:r w:rsidRPr="005A7900">
                        <w:rPr>
                          <w:sz w:val="16"/>
                          <w:szCs w:val="16"/>
                        </w:rPr>
                        <w:t>temp=log((MGparm_1(j,2)-MGparm_1(j,1)+0.0000002)/(MGparm(j)-MGparm_1(j,1)+0.0000001)-1.)/(-2.);   // transform the base parameter</w:t>
                      </w:r>
                    </w:p>
                    <w:p w:rsidR="003F7971" w:rsidRPr="005A7900" w:rsidRDefault="003F7971" w:rsidP="003F7971">
                      <w:pPr>
                        <w:rPr>
                          <w:sz w:val="16"/>
                          <w:szCs w:val="16"/>
                        </w:rPr>
                      </w:pPr>
                      <w:r w:rsidRPr="005A7900">
                        <w:rPr>
                          <w:sz w:val="16"/>
                          <w:szCs w:val="16"/>
                        </w:rPr>
                        <w:t>temp+=MGparm(k+1);     //  add the offset  Note that offset value is in the transform space</w:t>
                      </w:r>
                    </w:p>
                    <w:p w:rsidR="003F7971" w:rsidRPr="005A7900" w:rsidRDefault="003F7971" w:rsidP="003F7971">
                      <w:pPr>
                        <w:rPr>
                          <w:sz w:val="16"/>
                          <w:szCs w:val="16"/>
                        </w:rPr>
                      </w:pPr>
                      <w:r w:rsidRPr="005A7900">
                        <w:rPr>
                          <w:sz w:val="16"/>
                          <w:szCs w:val="16"/>
                        </w:rPr>
                        <w:t>temp1=MGparm_1(j,1)+(MGparm_1(j,2)-MGparm_1(j,1))/(1.+mfexp(-2.*temp));   // backtransform</w:t>
                      </w:r>
                    </w:p>
                  </w:txbxContent>
                </v:textbox>
                <w10:wrap type="topAndBottom" anchorx="margin"/>
              </v:shape>
            </w:pict>
          </mc:Fallback>
        </mc:AlternateContent>
      </w:r>
      <w:r w:rsidR="003F7971">
        <w:rPr>
          <w:noProof/>
        </w:rPr>
        <mc:AlternateContent>
          <mc:Choice Requires="wps">
            <w:drawing>
              <wp:anchor distT="45720" distB="45720" distL="114300" distR="114300" simplePos="0" relativeHeight="251663360" behindDoc="0" locked="0" layoutInCell="1" allowOverlap="1" wp14:anchorId="4628E0EC" wp14:editId="29499879">
                <wp:simplePos x="0" y="0"/>
                <wp:positionH relativeFrom="margin">
                  <wp:posOffset>0</wp:posOffset>
                </wp:positionH>
                <wp:positionV relativeFrom="paragraph">
                  <wp:posOffset>330835</wp:posOffset>
                </wp:positionV>
                <wp:extent cx="6353175" cy="1404620"/>
                <wp:effectExtent l="0" t="0" r="28575" b="254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404620"/>
                        </a:xfrm>
                        <a:prstGeom prst="rect">
                          <a:avLst/>
                        </a:prstGeom>
                        <a:solidFill>
                          <a:srgbClr val="FFFFFF"/>
                        </a:solidFill>
                        <a:ln w="9525">
                          <a:solidFill>
                            <a:srgbClr val="000000"/>
                          </a:solidFill>
                          <a:miter lim="800000"/>
                          <a:headEnd/>
                          <a:tailEnd/>
                        </a:ln>
                      </wps:spPr>
                      <wps:txbx>
                        <w:txbxContent>
                          <w:p w:rsidR="003F7971" w:rsidRDefault="003F7971" w:rsidP="003F7971">
                            <w:pPr>
                              <w:rPr>
                                <w:sz w:val="16"/>
                                <w:szCs w:val="16"/>
                              </w:rPr>
                            </w:pPr>
                            <w:r>
                              <w:rPr>
                                <w:sz w:val="16"/>
                                <w:szCs w:val="16"/>
                              </w:rPr>
                              <w:t>*Dev_se is now a parameter and so is dev_rho.  This available element in the long parameter line is now a dev_vector specific phase control.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28E0EC" id="_x0000_s1029" type="#_x0000_t202" style="position:absolute;margin-left:0;margin-top:26.05pt;width:500.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">
                <v:textbox style="mso-fit-shape-to-text:t">
                  <w:txbxContent>
                    <w:p w:rsidR="003F7971" w:rsidRDefault="003F7971" w:rsidP="003F7971">
                      <w:pPr>
                        <w:rPr>
                          <w:sz w:val="16"/>
                          <w:szCs w:val="16"/>
                        </w:rPr>
                      </w:pPr>
                      <w:r>
                        <w:rPr>
                          <w:sz w:val="16"/>
                          <w:szCs w:val="16"/>
                        </w:rPr>
                        <w:t>*</w:t>
                      </w:r>
                      <w:r>
                        <w:rPr>
                          <w:sz w:val="16"/>
                          <w:szCs w:val="16"/>
                        </w:rPr>
                        <w:t>Dev_se is now a parameter and so is dev_rho.  This available element in the long parameter line is now a dev_vector specific phase control.</w:t>
                      </w:r>
                    </w:p>
                  </w:txbxContent>
                </v:textbox>
                <w10:wrap type="topAndBottom" anchorx="margin"/>
              </v:shape>
            </w:pict>
          </mc:Fallback>
        </mc:AlternateContent>
      </w:r>
    </w:p>
    <w:p w:rsidR="00322173" w:rsidRDefault="00322173"/>
    <w:sectPr w:rsidR="003221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064" w:rsidRDefault="00263064" w:rsidP="00806AF4">
      <w:pPr>
        <w:spacing w:after="0" w:line="240" w:lineRule="auto"/>
      </w:pPr>
      <w:r>
        <w:separator/>
      </w:r>
    </w:p>
  </w:endnote>
  <w:endnote w:type="continuationSeparator" w:id="0">
    <w:p w:rsidR="00263064" w:rsidRDefault="00263064" w:rsidP="00806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064" w:rsidRDefault="00263064" w:rsidP="00806AF4">
      <w:pPr>
        <w:spacing w:after="0" w:line="240" w:lineRule="auto"/>
      </w:pPr>
      <w:r>
        <w:separator/>
      </w:r>
    </w:p>
  </w:footnote>
  <w:footnote w:type="continuationSeparator" w:id="0">
    <w:p w:rsidR="00263064" w:rsidRDefault="00263064" w:rsidP="00806A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150"/>
    <w:rsid w:val="00050E30"/>
    <w:rsid w:val="000B70AB"/>
    <w:rsid w:val="00240B68"/>
    <w:rsid w:val="00263064"/>
    <w:rsid w:val="00322173"/>
    <w:rsid w:val="003A5F17"/>
    <w:rsid w:val="003F7971"/>
    <w:rsid w:val="00537877"/>
    <w:rsid w:val="005A7900"/>
    <w:rsid w:val="005E7398"/>
    <w:rsid w:val="006D7A50"/>
    <w:rsid w:val="007161CF"/>
    <w:rsid w:val="00797129"/>
    <w:rsid w:val="007E5FFB"/>
    <w:rsid w:val="007F3F11"/>
    <w:rsid w:val="00806AF4"/>
    <w:rsid w:val="008474A4"/>
    <w:rsid w:val="00D55F3D"/>
    <w:rsid w:val="00E44064"/>
    <w:rsid w:val="00F9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1727"/>
  <w15:chartTrackingRefBased/>
  <w15:docId w15:val="{736ABBA8-8FDE-4291-ADE7-8F868FE9F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06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6AF4"/>
    <w:rPr>
      <w:sz w:val="20"/>
      <w:szCs w:val="20"/>
    </w:rPr>
  </w:style>
  <w:style w:type="character" w:styleId="FootnoteReference">
    <w:name w:val="footnote reference"/>
    <w:basedOn w:val="DefaultParagraphFont"/>
    <w:uiPriority w:val="99"/>
    <w:semiHidden/>
    <w:unhideWhenUsed/>
    <w:rsid w:val="00806A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D59E0-6090-41D8-9D7F-57AD5D5A7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4</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NOAA</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Methot, Richard</dc:creator>
  <cp:keywords/>
  <dc:description/>
  <cp:lastModifiedBy>Chantell Wetzel</cp:lastModifiedBy>
  <cp:revision>4</cp:revision>
  <dcterms:created xsi:type="dcterms:W3CDTF">2016-08-18T18:21:00Z</dcterms:created>
  <dcterms:modified xsi:type="dcterms:W3CDTF">2016-08-19T17:16:00Z</dcterms:modified>
</cp:coreProperties>
</file>