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33BED" w14:textId="77777777" w:rsidR="00787A53" w:rsidRPr="00C57D6E" w:rsidRDefault="00787A53" w:rsidP="00787A53">
      <w:pPr>
        <w:spacing w:before="120" w:after="0"/>
        <w:jc w:val="center"/>
        <w:rPr>
          <w:rFonts w:ascii="Calibri Light" w:eastAsia="Calibri Light" w:hAnsi="Calibri Light" w:cs="Calibri Light"/>
          <w:i/>
          <w:iCs/>
          <w:sz w:val="24"/>
          <w:szCs w:val="24"/>
        </w:rPr>
      </w:pPr>
      <w:r w:rsidRPr="00C57D6E">
        <w:rPr>
          <w:rFonts w:ascii="Calibri Light" w:eastAsia="Calibri Light" w:hAnsi="Calibri Light" w:cs="Calibri Light"/>
          <w:i/>
          <w:iCs/>
          <w:sz w:val="24"/>
          <w:szCs w:val="24"/>
        </w:rPr>
        <w:t>Measuring the Effectiveness of Digital Inclusion Approaches (MEDIA)</w:t>
      </w:r>
    </w:p>
    <w:p w14:paraId="103EBC28" w14:textId="77777777" w:rsidR="00787A53" w:rsidRDefault="00787A53" w:rsidP="00787A53">
      <w:pPr>
        <w:jc w:val="center"/>
      </w:pPr>
    </w:p>
    <w:p w14:paraId="51C501D4" w14:textId="77777777" w:rsidR="00787A53" w:rsidRPr="00C57D6E" w:rsidRDefault="00787A53" w:rsidP="00787A53">
      <w:pPr>
        <w:jc w:val="center"/>
        <w:rPr>
          <w:sz w:val="28"/>
          <w:szCs w:val="28"/>
        </w:rPr>
      </w:pPr>
      <w:r w:rsidRPr="00C57D6E">
        <w:rPr>
          <w:sz w:val="28"/>
          <w:szCs w:val="28"/>
        </w:rPr>
        <w:t>Evaluating the Impact of the Affordable Connectivity Program</w:t>
      </w:r>
    </w:p>
    <w:p w14:paraId="0DE3FDCE" w14:textId="749C6171" w:rsidR="00787A53" w:rsidRPr="00C57D6E" w:rsidRDefault="00787A53" w:rsidP="00787A53">
      <w:pPr>
        <w:jc w:val="center"/>
      </w:pPr>
      <w:r w:rsidRPr="00C57D6E">
        <w:t>DRAFT #1 (</w:t>
      </w:r>
      <w:r w:rsidR="008960A6">
        <w:t>March</w:t>
      </w:r>
      <w:r w:rsidRPr="00C57D6E">
        <w:t xml:space="preserve"> 2024)</w:t>
      </w:r>
    </w:p>
    <w:p w14:paraId="5EAC9BD3" w14:textId="5DA4F248" w:rsidR="00FC1EE0" w:rsidRDefault="00FC1EE0" w:rsidP="00787A53"/>
    <w:p w14:paraId="7151BBFA" w14:textId="77777777" w:rsidR="00787A53" w:rsidRDefault="00787A53" w:rsidP="00787A53">
      <w:pPr>
        <w:pStyle w:val="ListParagraph"/>
        <w:numPr>
          <w:ilvl w:val="0"/>
          <w:numId w:val="1"/>
        </w:numPr>
      </w:pPr>
      <w:r>
        <w:t>Background</w:t>
      </w:r>
    </w:p>
    <w:p w14:paraId="283BF0AC" w14:textId="0007DCD1" w:rsidR="00694952" w:rsidRDefault="00787A53" w:rsidP="00694952">
      <w:pPr>
        <w:spacing w:line="240" w:lineRule="auto"/>
        <w:ind w:firstLine="360"/>
      </w:pPr>
      <w:r w:rsidRPr="004941F2">
        <w:t>The Affordable Connectivity Program (ACP) is a means-tested federal progra</w:t>
      </w:r>
      <w:r>
        <w:t xml:space="preserve">m launched in January 2022 </w:t>
      </w:r>
      <w:r w:rsidR="00413A78">
        <w:t>to support</w:t>
      </w:r>
      <w:r>
        <w:t xml:space="preserve"> broadband connectivity among low-income households. </w:t>
      </w:r>
      <w:r w:rsidR="00694952">
        <w:t xml:space="preserve">The program received a one-time </w:t>
      </w:r>
      <w:r w:rsidR="00694952" w:rsidRPr="004941F2">
        <w:t>appropriation of $14.2 billion from the Infrastructure Investment and Jobs Act (IIJA) of 2021</w:t>
      </w:r>
      <w:r w:rsidR="00694952">
        <w:t>. These funds are expected to be depleted by May</w:t>
      </w:r>
      <w:r w:rsidR="00413A78">
        <w:t xml:space="preserve"> 2024 </w:t>
      </w:r>
      <w:r w:rsidR="00694952">
        <w:t>and</w:t>
      </w:r>
      <w:r w:rsidR="00413A78">
        <w:t>,</w:t>
      </w:r>
      <w:r w:rsidR="00694952">
        <w:t xml:space="preserve"> at the time of </w:t>
      </w:r>
      <w:r w:rsidR="00413A78">
        <w:t>writing (February 2024),</w:t>
      </w:r>
      <w:r w:rsidR="00694952">
        <w:t xml:space="preserve"> there is no indication that Congress </w:t>
      </w:r>
      <w:r w:rsidR="00CB4FBF">
        <w:t xml:space="preserve">will </w:t>
      </w:r>
      <w:r w:rsidR="00694952">
        <w:t xml:space="preserve">renew funding for ACP. The likely expiration of the ACP benefit, the largest ever connectivity support program for low-income households, invites a discussion about the impact of the program and what alternative policy </w:t>
      </w:r>
      <w:r w:rsidR="00FC1EE0">
        <w:t>mechanisms</w:t>
      </w:r>
      <w:r w:rsidR="00694952">
        <w:t xml:space="preserve"> are available to continue promoting digital equity.</w:t>
      </w:r>
    </w:p>
    <w:p w14:paraId="67A56439" w14:textId="0B082973" w:rsidR="00787A53" w:rsidRDefault="00694952" w:rsidP="00694952">
      <w:pPr>
        <w:spacing w:line="240" w:lineRule="auto"/>
      </w:pPr>
      <w:r>
        <w:t>ACP offers two types of support</w:t>
      </w:r>
      <w:r w:rsidR="00787A53">
        <w:t xml:space="preserve">: 1) a service discount of up to $30/month </w:t>
      </w:r>
      <w:r>
        <w:t>for</w:t>
      </w:r>
      <w:r w:rsidR="00787A53">
        <w:t xml:space="preserve"> residential broadband </w:t>
      </w:r>
      <w:r>
        <w:t xml:space="preserve">service </w:t>
      </w:r>
      <w:r w:rsidR="00787A53">
        <w:t xml:space="preserve">(which increases to $75/month in Tribal areas), and 2) a one-time discount of up to $100 towards the purchase of a device (laptop, desktop computer, or tablet). The service discount can be applied to either fixed or mobile services; however, mobile devices (“smartphones”) are explicitly excluded from the device discount program, </w:t>
      </w:r>
      <w:r>
        <w:t>suggesting that a key goal of</w:t>
      </w:r>
      <w:r w:rsidR="00787A53">
        <w:t xml:space="preserve"> ACP </w:t>
      </w:r>
      <w:r>
        <w:t>is</w:t>
      </w:r>
      <w:r w:rsidR="00787A53">
        <w:t xml:space="preserve"> to promote the adoption of high-speed </w:t>
      </w:r>
      <w:r>
        <w:t>fixed</w:t>
      </w:r>
      <w:r w:rsidR="00787A53">
        <w:t xml:space="preserve"> </w:t>
      </w:r>
      <w:r w:rsidR="00413A78">
        <w:t>broadband (such as cable, DSL or fiber service)</w:t>
      </w:r>
      <w:r w:rsidR="00787A53">
        <w:t xml:space="preserve">. By the end of 2023, about 22.6M households were enrolled in ACP, with about 45% subscribing to fixed </w:t>
      </w:r>
      <w:r w:rsidR="00413A78">
        <w:t>services</w:t>
      </w:r>
      <w:r w:rsidR="00787A53">
        <w:t xml:space="preserve"> and 55% to mobile </w:t>
      </w:r>
      <w:r>
        <w:t>services</w:t>
      </w:r>
      <w:r w:rsidR="00787A53">
        <w:t>.</w:t>
      </w:r>
    </w:p>
    <w:p w14:paraId="38E70815" w14:textId="5F2CC4AD" w:rsidR="00787A53" w:rsidRDefault="00787A53" w:rsidP="00694952">
      <w:pPr>
        <w:spacing w:line="240" w:lineRule="auto"/>
      </w:pPr>
      <w:r>
        <w:t xml:space="preserve">This study offers a preliminary assessment of </w:t>
      </w:r>
      <w:r w:rsidR="00413A78">
        <w:t xml:space="preserve">the </w:t>
      </w:r>
      <w:r w:rsidR="00694952">
        <w:t xml:space="preserve">ACP’s goal to promote fixed broadband </w:t>
      </w:r>
      <w:r>
        <w:t xml:space="preserve">among </w:t>
      </w:r>
      <w:r w:rsidR="00694952">
        <w:t xml:space="preserve">low-income households. It combines </w:t>
      </w:r>
      <w:r w:rsidR="00FC1EE0">
        <w:t xml:space="preserve">broadband deployment data from the FCC with </w:t>
      </w:r>
      <w:r w:rsidR="00694952">
        <w:t xml:space="preserve">USAC </w:t>
      </w:r>
      <w:r w:rsidR="008F7C55">
        <w:t xml:space="preserve">data about ACP subscriptions </w:t>
      </w:r>
      <w:r w:rsidR="00694952">
        <w:t xml:space="preserve">and </w:t>
      </w:r>
      <w:r w:rsidR="00FC1EE0">
        <w:t xml:space="preserve">demographic data from </w:t>
      </w:r>
      <w:r w:rsidR="00694952">
        <w:t xml:space="preserve">the Census Bureau’s </w:t>
      </w:r>
      <w:r>
        <w:t xml:space="preserve">American Community Survey (ACS). </w:t>
      </w:r>
      <w:r w:rsidR="008F7C55">
        <w:t>Considering</w:t>
      </w:r>
      <w:r>
        <w:t xml:space="preserve"> the relative</w:t>
      </w:r>
      <w:r w:rsidR="00D65090">
        <w:t>ly</w:t>
      </w:r>
      <w:r>
        <w:t xml:space="preserve"> short time span of the </w:t>
      </w:r>
      <w:r w:rsidR="00FC1EE0">
        <w:t xml:space="preserve">ACP </w:t>
      </w:r>
      <w:r>
        <w:t xml:space="preserve">program and the time lag in </w:t>
      </w:r>
      <w:r w:rsidR="00FC1EE0">
        <w:t>the</w:t>
      </w:r>
      <w:r>
        <w:t xml:space="preserve"> availability </w:t>
      </w:r>
      <w:r w:rsidR="00FC1EE0">
        <w:t>of data</w:t>
      </w:r>
      <w:r w:rsidR="008F7C55">
        <w:t xml:space="preserve">, </w:t>
      </w:r>
      <w:r>
        <w:t xml:space="preserve">the results of the study are necessarily preliminary. At the same time, given the likely expiration of broadband support for over 22M of the most vulnerable households, the need for evidence that supports </w:t>
      </w:r>
      <w:r w:rsidR="00413A78">
        <w:t>discussions</w:t>
      </w:r>
      <w:r>
        <w:t xml:space="preserve"> about the future of universal service is urgent.</w:t>
      </w:r>
    </w:p>
    <w:p w14:paraId="68580E93" w14:textId="77777777" w:rsidR="00230058" w:rsidRDefault="00230058" w:rsidP="00694952">
      <w:pPr>
        <w:spacing w:line="240" w:lineRule="auto"/>
      </w:pPr>
    </w:p>
    <w:p w14:paraId="026122F2" w14:textId="77777777" w:rsidR="00787A53" w:rsidRDefault="00787A53" w:rsidP="00787A53">
      <w:pPr>
        <w:pStyle w:val="ListParagraph"/>
        <w:numPr>
          <w:ilvl w:val="0"/>
          <w:numId w:val="1"/>
        </w:numPr>
      </w:pPr>
      <w:r>
        <w:t>Data and Methods</w:t>
      </w:r>
    </w:p>
    <w:p w14:paraId="6386622C" w14:textId="469D28D4" w:rsidR="00787A53" w:rsidRDefault="00787A53" w:rsidP="00B90884">
      <w:pPr>
        <w:spacing w:line="240" w:lineRule="auto"/>
        <w:ind w:firstLine="360"/>
      </w:pPr>
      <w:r>
        <w:t>The challenge involved in evaluating the impact of the ACP program is well understood</w:t>
      </w:r>
      <w:r w:rsidR="00651693">
        <w:t xml:space="preserve"> in the program evaluation literature</w:t>
      </w:r>
      <w:r>
        <w:t xml:space="preserve">, and involves identifying a suitable counterfactual. In other words, </w:t>
      </w:r>
      <w:r w:rsidR="00230058">
        <w:t xml:space="preserve">what </w:t>
      </w:r>
      <w:r>
        <w:t xml:space="preserve">would </w:t>
      </w:r>
      <w:r w:rsidR="00230058">
        <w:t xml:space="preserve">have happened to </w:t>
      </w:r>
      <w:r>
        <w:t>broadband adoption among low-income households had the ACP program not been put into place</w:t>
      </w:r>
      <w:r w:rsidR="00230058">
        <w:t xml:space="preserve"> in January 2022</w:t>
      </w:r>
      <w:r>
        <w:t xml:space="preserve">? This is particularly challenging in </w:t>
      </w:r>
      <w:r w:rsidR="00FC1EE0">
        <w:t>the</w:t>
      </w:r>
      <w:r w:rsidR="00230058">
        <w:t xml:space="preserve"> ACP </w:t>
      </w:r>
      <w:r w:rsidR="00651693">
        <w:t xml:space="preserve">case, </w:t>
      </w:r>
      <w:r>
        <w:t>a federal program in which states play a negligible role</w:t>
      </w:r>
      <w:r w:rsidR="00651693">
        <w:t>, because there are no state variations in implementation timing</w:t>
      </w:r>
      <w:r w:rsidR="00B90884">
        <w:t>,</w:t>
      </w:r>
      <w:r w:rsidR="00651693">
        <w:t xml:space="preserve"> </w:t>
      </w:r>
      <w:r w:rsidR="00B90884">
        <w:lastRenderedPageBreak/>
        <w:t>eligibility</w:t>
      </w:r>
      <w:r w:rsidR="00651693">
        <w:t xml:space="preserve"> requirements or </w:t>
      </w:r>
      <w:r w:rsidR="00B90884">
        <w:t>types of service supported (</w:t>
      </w:r>
      <w:r w:rsidR="00EB7C68">
        <w:t>such</w:t>
      </w:r>
      <w:r w:rsidR="00B90884">
        <w:t xml:space="preserve"> variations have been exploited in program evaluations of Lifeline for example)</w:t>
      </w:r>
      <w:r>
        <w:t>.</w:t>
      </w:r>
      <w:r w:rsidR="00BB1ABD">
        <w:rPr>
          <w:rStyle w:val="FootnoteReference"/>
        </w:rPr>
        <w:footnoteReference w:id="1"/>
      </w:r>
    </w:p>
    <w:p w14:paraId="6504DC3B" w14:textId="096E74F3" w:rsidR="00FC1EE0" w:rsidRDefault="00787A53" w:rsidP="00B76B33">
      <w:pPr>
        <w:spacing w:line="240" w:lineRule="auto"/>
      </w:pPr>
      <w:r>
        <w:t xml:space="preserve">This study addresses this challenge by identifying </w:t>
      </w:r>
      <w:r w:rsidR="00FC1EE0">
        <w:t xml:space="preserve">low-income areas </w:t>
      </w:r>
      <w:r w:rsidR="00563D8E">
        <w:t xml:space="preserve">(counties) </w:t>
      </w:r>
      <w:r>
        <w:t>where the</w:t>
      </w:r>
      <w:r w:rsidR="00FC1EE0">
        <w:t xml:space="preserve"> impact of the ACP program is expected to be minimal due to supply-side constraints. </w:t>
      </w:r>
      <w:r w:rsidR="00535CC8">
        <w:t xml:space="preserve">In other words, ACP is a demand support program whose impact is conditional on the adequate availability of </w:t>
      </w:r>
      <w:r w:rsidR="00B90884">
        <w:t xml:space="preserve">high-speed </w:t>
      </w:r>
      <w:r w:rsidR="00535CC8">
        <w:t xml:space="preserve">broadband services </w:t>
      </w:r>
      <w:r w:rsidR="00563D8E">
        <w:t>for</w:t>
      </w:r>
      <w:r w:rsidR="00535CC8">
        <w:t xml:space="preserve"> low-income households. Therefore, in </w:t>
      </w:r>
      <w:r w:rsidR="00563D8E">
        <w:t>counties</w:t>
      </w:r>
      <w:r w:rsidR="00535CC8">
        <w:t xml:space="preserve"> where such supply is lacking, the potential impact of the program can be expected to be very limited. Using the most recent </w:t>
      </w:r>
      <w:r w:rsidR="00B90884">
        <w:t xml:space="preserve">network </w:t>
      </w:r>
      <w:r w:rsidR="00535CC8">
        <w:t xml:space="preserve">deployment data from the FCC, we identify low-income </w:t>
      </w:r>
      <w:r w:rsidR="00563D8E">
        <w:t>counties</w:t>
      </w:r>
      <w:r w:rsidR="00535CC8">
        <w:t xml:space="preserve"> where less than half of the residential locations are served by fixed broadband - that is, by cable, DSL, fiber or fixed wireless service with minimum speeds of 25/3Mbps.</w:t>
      </w:r>
      <w:r w:rsidR="00535CC8">
        <w:rPr>
          <w:rStyle w:val="FootnoteReference"/>
        </w:rPr>
        <w:footnoteReference w:id="2"/>
      </w:r>
      <w:r w:rsidR="00535CC8">
        <w:t xml:space="preserve"> These </w:t>
      </w:r>
      <w:r w:rsidR="00563D8E">
        <w:t>counties</w:t>
      </w:r>
      <w:r w:rsidR="00535CC8">
        <w:t xml:space="preserve"> are heretofore referred as “</w:t>
      </w:r>
      <w:r w:rsidR="000E3A3E">
        <w:t>underserved</w:t>
      </w:r>
      <w:r w:rsidR="007F6A7B">
        <w:t>.”</w:t>
      </w:r>
    </w:p>
    <w:p w14:paraId="75BBFBAA" w14:textId="2401997A" w:rsidR="00563D8E" w:rsidRDefault="00787A53" w:rsidP="00B76B33">
      <w:pPr>
        <w:spacing w:line="240" w:lineRule="auto"/>
      </w:pPr>
      <w:r>
        <w:t xml:space="preserve">It is important to note that </w:t>
      </w:r>
      <w:r w:rsidR="002C5678">
        <w:t xml:space="preserve">other types of </w:t>
      </w:r>
      <w:r>
        <w:t xml:space="preserve">ACP-supported services </w:t>
      </w:r>
      <w:r w:rsidR="002C5678">
        <w:t xml:space="preserve">are likely to be available in </w:t>
      </w:r>
      <w:r w:rsidR="00535CC8">
        <w:t>these</w:t>
      </w:r>
      <w:r w:rsidR="002C5678">
        <w:t xml:space="preserve"> </w:t>
      </w:r>
      <w:r w:rsidR="00563D8E">
        <w:t>counties</w:t>
      </w:r>
      <w:r w:rsidR="002C5678">
        <w:t xml:space="preserve">, </w:t>
      </w:r>
      <w:r w:rsidR="000E3A3E">
        <w:t>notably</w:t>
      </w:r>
      <w:r w:rsidR="002C5678">
        <w:t xml:space="preserve"> mobile broadband</w:t>
      </w:r>
      <w:r w:rsidR="00535CC8">
        <w:t xml:space="preserve"> services</w:t>
      </w:r>
      <w:r w:rsidR="002C5678">
        <w:t>. The</w:t>
      </w:r>
      <w:r>
        <w:t xml:space="preserve"> premise of </w:t>
      </w:r>
      <w:r w:rsidR="002C5678">
        <w:t xml:space="preserve">this study, however, is that </w:t>
      </w:r>
      <w:r>
        <w:t xml:space="preserve">the impact of ACP on </w:t>
      </w:r>
      <w:r w:rsidR="002C5678">
        <w:t xml:space="preserve">the adoption of fixed broadband in </w:t>
      </w:r>
      <w:r w:rsidR="000E3A3E">
        <w:t>underserved</w:t>
      </w:r>
      <w:r w:rsidR="002C5678">
        <w:t xml:space="preserve"> </w:t>
      </w:r>
      <w:r w:rsidR="00563D8E">
        <w:t>counties</w:t>
      </w:r>
      <w:r w:rsidR="002C5678">
        <w:t xml:space="preserve"> </w:t>
      </w:r>
      <w:r>
        <w:t>can be expected to be minimal</w:t>
      </w:r>
      <w:r w:rsidR="002C5678">
        <w:t xml:space="preserve"> due to </w:t>
      </w:r>
      <w:r w:rsidR="00563D8E">
        <w:t>the limited availability of wireline services. As such</w:t>
      </w:r>
      <w:r w:rsidR="002C5678">
        <w:t xml:space="preserve">, </w:t>
      </w:r>
      <w:r>
        <w:t xml:space="preserve">these </w:t>
      </w:r>
      <w:r w:rsidR="00563D8E">
        <w:t>counties</w:t>
      </w:r>
      <w:r>
        <w:t xml:space="preserve"> can be used as counterfactuals (or “control” units) to evaluate the impact of the ACP program in </w:t>
      </w:r>
      <w:r w:rsidR="002C5678">
        <w:t xml:space="preserve">low-income </w:t>
      </w:r>
      <w:r w:rsidR="00563D8E">
        <w:t>counties</w:t>
      </w:r>
      <w:r w:rsidR="002C5678">
        <w:t xml:space="preserve"> where </w:t>
      </w:r>
      <w:r>
        <w:t xml:space="preserve">ACP-supported </w:t>
      </w:r>
      <w:r w:rsidR="00563D8E">
        <w:t>wireline</w:t>
      </w:r>
      <w:r>
        <w:t xml:space="preserve"> services are more readily available.</w:t>
      </w:r>
    </w:p>
    <w:p w14:paraId="2B04FC25" w14:textId="39ADCF92" w:rsidR="00BA655B" w:rsidRDefault="006F5D87" w:rsidP="00BA655B">
      <w:pPr>
        <w:spacing w:line="240" w:lineRule="auto"/>
      </w:pPr>
      <w:r>
        <w:t xml:space="preserve">To identify low-income </w:t>
      </w:r>
      <w:r w:rsidR="00563D8E">
        <w:t>counties</w:t>
      </w:r>
      <w:r>
        <w:t xml:space="preserve"> where a </w:t>
      </w:r>
      <w:r w:rsidR="000429A7">
        <w:t>majority</w:t>
      </w:r>
      <w:r>
        <w:t xml:space="preserve"> of households </w:t>
      </w:r>
      <w:r w:rsidR="007B6932">
        <w:t>qualifies</w:t>
      </w:r>
      <w:r>
        <w:t xml:space="preserve"> for ACP, the study </w:t>
      </w:r>
      <w:r w:rsidR="00563D8E">
        <w:t xml:space="preserve">uses a threshold of </w:t>
      </w:r>
      <w:r>
        <w:t xml:space="preserve">$50,000/year </w:t>
      </w:r>
      <w:r w:rsidR="00563D8E">
        <w:t xml:space="preserve">in </w:t>
      </w:r>
      <w:r>
        <w:t xml:space="preserve">median household income. </w:t>
      </w:r>
      <w:r w:rsidR="00BC794D">
        <w:t>Thi</w:t>
      </w:r>
      <w:r w:rsidR="00967E1B">
        <w:t>s threshold is a necessary</w:t>
      </w:r>
      <w:r w:rsidR="00BC794D">
        <w:t xml:space="preserve"> approximation, since a precise estimation of eligibility would require </w:t>
      </w:r>
      <w:r w:rsidR="00563D8E">
        <w:t xml:space="preserve">the use of </w:t>
      </w:r>
      <w:r w:rsidR="00BC794D">
        <w:t>ACS microdata</w:t>
      </w:r>
      <w:r w:rsidR="00563D8E">
        <w:t>,</w:t>
      </w:r>
      <w:r w:rsidR="00BC794D">
        <w:t xml:space="preserve"> </w:t>
      </w:r>
      <w:r w:rsidR="00787A53">
        <w:t xml:space="preserve">which is only available for areas with </w:t>
      </w:r>
      <w:r w:rsidR="000E3A3E">
        <w:t>at least</w:t>
      </w:r>
      <w:r w:rsidR="00787A53">
        <w:t xml:space="preserve"> 100,000 residents (called PUMAs)</w:t>
      </w:r>
      <w:r w:rsidR="00563D8E">
        <w:t xml:space="preserve">. </w:t>
      </w:r>
      <w:r w:rsidR="000E3A3E">
        <w:t>Working at the PUMA level</w:t>
      </w:r>
      <w:r w:rsidR="00EB7C68">
        <w:t>, however,</w:t>
      </w:r>
      <w:r w:rsidR="00563D8E">
        <w:t xml:space="preserve"> would severely limit our sample given that </w:t>
      </w:r>
      <w:r w:rsidR="00967E1B">
        <w:t>t</w:t>
      </w:r>
      <w:r w:rsidR="00BC794D">
        <w:t xml:space="preserve">he vast majority of low-income counties are </w:t>
      </w:r>
      <w:r w:rsidR="00967E1B">
        <w:t xml:space="preserve">also </w:t>
      </w:r>
      <w:r w:rsidR="00BC794D">
        <w:t>low-population counties</w:t>
      </w:r>
      <w:r w:rsidR="00967E1B">
        <w:t>.</w:t>
      </w:r>
      <w:r w:rsidR="00EB7C68">
        <w:t xml:space="preserve"> </w:t>
      </w:r>
      <w:r w:rsidR="00787A53">
        <w:t xml:space="preserve">In the analysis </w:t>
      </w:r>
      <w:r w:rsidR="00563D8E">
        <w:t xml:space="preserve">presented </w:t>
      </w:r>
      <w:r w:rsidR="00787A53">
        <w:t xml:space="preserve">below, we test the sensitivity of </w:t>
      </w:r>
      <w:r w:rsidR="00563D8E">
        <w:t xml:space="preserve">our </w:t>
      </w:r>
      <w:r w:rsidR="00787A53">
        <w:t>resu</w:t>
      </w:r>
      <w:r w:rsidR="000E3A3E">
        <w:t>lts to other income thresholds</w:t>
      </w:r>
      <w:r w:rsidR="00EB7C68">
        <w:t xml:space="preserve">, and </w:t>
      </w:r>
      <w:r w:rsidR="000E3A3E">
        <w:t>a</w:t>
      </w:r>
      <w:r w:rsidR="00787A53">
        <w:t xml:space="preserve"> more detailed discussion about this </w:t>
      </w:r>
      <w:r w:rsidR="00563D8E">
        <w:t xml:space="preserve">income </w:t>
      </w:r>
      <w:r w:rsidR="00787A53">
        <w:t>threshold can be found in Appendix A.</w:t>
      </w:r>
      <w:r w:rsidR="000E3A3E">
        <w:t xml:space="preserve"> We als</w:t>
      </w:r>
      <w:r w:rsidR="00825A2B">
        <w:t>o perform a robustness check that involves introducing service availability as a continuous rather than a discrete variable, thus relaxing the distinction between served and underserved counties.</w:t>
      </w:r>
    </w:p>
    <w:p w14:paraId="47141785" w14:textId="16589A57" w:rsidR="00BA655B" w:rsidRDefault="00825A2B" w:rsidP="00BA655B">
      <w:pPr>
        <w:spacing w:line="240" w:lineRule="auto"/>
      </w:pPr>
      <w:r>
        <w:t>In addition</w:t>
      </w:r>
      <w:r w:rsidR="00BA655B">
        <w:t xml:space="preserve">, we offer two different tools that allow readers to explore how different income and </w:t>
      </w:r>
      <w:r w:rsidR="00D018E5">
        <w:t>served</w:t>
      </w:r>
      <w:r w:rsidR="00BA655B">
        <w:t xml:space="preserve"> locations thresholds affect </w:t>
      </w:r>
      <w:r>
        <w:t xml:space="preserve">the designation of counties as </w:t>
      </w:r>
      <w:r w:rsidR="000E3A3E">
        <w:t>underserved</w:t>
      </w:r>
      <w:r>
        <w:t>.</w:t>
      </w:r>
    </w:p>
    <w:p w14:paraId="68D72135" w14:textId="4610C51B" w:rsidR="00BA655B" w:rsidRDefault="00BA655B" w:rsidP="00BA655B">
      <w:pPr>
        <w:pStyle w:val="ListParagraph"/>
        <w:numPr>
          <w:ilvl w:val="0"/>
          <w:numId w:val="5"/>
        </w:numPr>
      </w:pPr>
      <w:r>
        <w:t xml:space="preserve">An </w:t>
      </w:r>
      <w:hyperlink r:id="rId11" w:history="1">
        <w:r w:rsidRPr="00634137">
          <w:rPr>
            <w:rStyle w:val="Hyperlink"/>
          </w:rPr>
          <w:t>interactive map</w:t>
        </w:r>
      </w:hyperlink>
      <w:r w:rsidR="00825A2B">
        <w:t xml:space="preserve"> that includes race/ethnicity and c</w:t>
      </w:r>
      <w:r>
        <w:t>onnectivity statistics for coun</w:t>
      </w:r>
      <w:r w:rsidR="00825A2B">
        <w:t xml:space="preserve">ties designated as </w:t>
      </w:r>
      <w:r w:rsidR="000E3A3E">
        <w:t>underserved</w:t>
      </w:r>
    </w:p>
    <w:p w14:paraId="2021CA91" w14:textId="0463213A" w:rsidR="00BA655B" w:rsidRDefault="00BA655B" w:rsidP="00BA655B">
      <w:pPr>
        <w:pStyle w:val="ListParagraph"/>
        <w:numPr>
          <w:ilvl w:val="0"/>
          <w:numId w:val="5"/>
        </w:numPr>
      </w:pPr>
      <w:r>
        <w:t xml:space="preserve">A </w:t>
      </w:r>
      <w:hyperlink r:id="rId12" w:history="1">
        <w:r w:rsidRPr="003B7C43">
          <w:rPr>
            <w:rStyle w:val="Hyperlink"/>
          </w:rPr>
          <w:t>scatterplot</w:t>
        </w:r>
      </w:hyperlink>
      <w:r>
        <w:t xml:space="preserve"> showing how selected counties are distributed along median</w:t>
      </w:r>
      <w:r w:rsidR="00825A2B">
        <w:t xml:space="preserve"> household</w:t>
      </w:r>
      <w:r>
        <w:t xml:space="preserve"> income and broadband access axes.</w:t>
      </w:r>
    </w:p>
    <w:p w14:paraId="4B9819B9" w14:textId="00ABA5CB" w:rsidR="00787A53" w:rsidRDefault="00EB7C68" w:rsidP="00B76B33">
      <w:r>
        <w:t>A</w:t>
      </w:r>
      <w:r w:rsidR="00F62460">
        <w:t xml:space="preserve"> number of</w:t>
      </w:r>
      <w:r w:rsidR="00787A53">
        <w:t xml:space="preserve"> data limitations </w:t>
      </w:r>
      <w:r w:rsidR="00F62460">
        <w:t>must be noted</w:t>
      </w:r>
      <w:r>
        <w:t xml:space="preserve"> at the outset</w:t>
      </w:r>
      <w:r w:rsidR="00787A53">
        <w:t>. The key metric used to assess the performance of ACP is the share of households where broadband and a computer device (desktop, laptop, or tablet) are present.</w:t>
      </w:r>
      <w:r w:rsidR="00D333D9">
        <w:t xml:space="preserve"> This data can be found</w:t>
      </w:r>
      <w:r w:rsidR="00286FB7">
        <w:t xml:space="preserve"> in the </w:t>
      </w:r>
      <w:r w:rsidR="007A3877">
        <w:t xml:space="preserve">ACS 5-year </w:t>
      </w:r>
      <w:r w:rsidR="00825A2B">
        <w:t>tables</w:t>
      </w:r>
      <w:r w:rsidR="007A3877">
        <w:t xml:space="preserve"> for all </w:t>
      </w:r>
      <w:r w:rsidR="003820CB">
        <w:t xml:space="preserve">U.S. </w:t>
      </w:r>
      <w:r w:rsidR="00D333D9">
        <w:t>counties; however, they</w:t>
      </w:r>
      <w:r w:rsidR="007A3877">
        <w:t xml:space="preserve"> represent an average for the entire period (the most recent being 2018-2022). </w:t>
      </w:r>
      <w:r w:rsidR="00D333D9">
        <w:t>We use these</w:t>
      </w:r>
      <w:r w:rsidR="007A3877">
        <w:t xml:space="preserve"> estimates to characterize </w:t>
      </w:r>
      <w:r w:rsidR="000E3A3E">
        <w:t>underserved</w:t>
      </w:r>
      <w:r w:rsidR="00D333D9">
        <w:t xml:space="preserve"> counties</w:t>
      </w:r>
      <w:r w:rsidR="007A3877">
        <w:t xml:space="preserve"> </w:t>
      </w:r>
      <w:r w:rsidR="00D333D9">
        <w:t>in relation</w:t>
      </w:r>
      <w:r w:rsidR="007A3877">
        <w:t xml:space="preserve"> </w:t>
      </w:r>
      <w:r w:rsidR="001743EC">
        <w:t xml:space="preserve">to </w:t>
      </w:r>
      <w:r w:rsidR="007A3877">
        <w:t>other counties</w:t>
      </w:r>
      <w:r>
        <w:t xml:space="preserve"> in the cross-section </w:t>
      </w:r>
      <w:r>
        <w:lastRenderedPageBreak/>
        <w:t>analysis</w:t>
      </w:r>
      <w:r w:rsidR="007A3877">
        <w:t xml:space="preserve">; however, they cannot be used in panel </w:t>
      </w:r>
      <w:r w:rsidR="00825A2B">
        <w:t xml:space="preserve">data </w:t>
      </w:r>
      <w:r w:rsidR="003820CB">
        <w:t>models</w:t>
      </w:r>
      <w:r w:rsidR="00D333D9">
        <w:t>, as these</w:t>
      </w:r>
      <w:r w:rsidR="007A3877">
        <w:t xml:space="preserve"> require discrete, non-overlapping data</w:t>
      </w:r>
      <w:r w:rsidR="00D333D9">
        <w:t xml:space="preserve"> points</w:t>
      </w:r>
      <w:r w:rsidR="007A3877">
        <w:t xml:space="preserve">. For this, we use the </w:t>
      </w:r>
      <w:r w:rsidR="00787A53">
        <w:t>ACS 1-year supplemental tables, which are available for areas with at least 20,000 residents</w:t>
      </w:r>
      <w:r w:rsidR="00286FB7">
        <w:t xml:space="preserve">. Because of this </w:t>
      </w:r>
      <w:r w:rsidR="00D333D9">
        <w:t xml:space="preserve">population </w:t>
      </w:r>
      <w:r w:rsidR="00286FB7">
        <w:t xml:space="preserve">threshold, the </w:t>
      </w:r>
      <w:r w:rsidR="00D333D9">
        <w:t xml:space="preserve">sample size used in the panel data models is necessarily smaller, and does not include the least populated counties. </w:t>
      </w:r>
      <w:r w:rsidR="007F6A7B">
        <w:t xml:space="preserve">Finally, Connecticut counties are excluded from the analysis due to differences in the boundaries used by the FCC and the Census Bureau. </w:t>
      </w:r>
      <w:r w:rsidR="00787A53">
        <w:t>It is important to note these limitations i</w:t>
      </w:r>
      <w:r w:rsidR="007F6A7B">
        <w:t>n the interpretation of results.</w:t>
      </w:r>
    </w:p>
    <w:p w14:paraId="3D3A5420" w14:textId="77777777" w:rsidR="004E0C56" w:rsidRDefault="004E0C56" w:rsidP="00787A53"/>
    <w:p w14:paraId="14D748CB" w14:textId="0CC33BF1" w:rsidR="00787A53" w:rsidRDefault="00787A53" w:rsidP="005F6CED">
      <w:pPr>
        <w:pStyle w:val="ListParagraph"/>
        <w:numPr>
          <w:ilvl w:val="0"/>
          <w:numId w:val="1"/>
        </w:numPr>
      </w:pPr>
      <w:commentRangeStart w:id="0"/>
      <w:r>
        <w:t xml:space="preserve">Characterization of </w:t>
      </w:r>
      <w:r w:rsidR="000E3A3E">
        <w:t>underserved</w:t>
      </w:r>
      <w:r w:rsidR="00B35218">
        <w:t xml:space="preserve"> </w:t>
      </w:r>
      <w:r w:rsidR="008E558B">
        <w:t>low-income counties</w:t>
      </w:r>
      <w:commentRangeEnd w:id="0"/>
      <w:r w:rsidR="00255454">
        <w:rPr>
          <w:rStyle w:val="CommentReference"/>
        </w:rPr>
        <w:commentReference w:id="0"/>
      </w:r>
    </w:p>
    <w:p w14:paraId="35E97806" w14:textId="3BC86C84" w:rsidR="009E48A3" w:rsidRDefault="00674BCA" w:rsidP="00787A53">
      <w:pPr>
        <w:ind w:firstLine="720"/>
      </w:pPr>
      <w:r>
        <w:t xml:space="preserve">Just over 100 </w:t>
      </w:r>
      <w:r w:rsidR="00787A53">
        <w:t>U.S. counties fall und</w:t>
      </w:r>
      <w:r>
        <w:t xml:space="preserve">er our definition of </w:t>
      </w:r>
      <w:r w:rsidR="008E558B">
        <w:t xml:space="preserve">control units </w:t>
      </w:r>
      <w:r w:rsidR="00787A53">
        <w:t xml:space="preserve">- that is, the median household income is below </w:t>
      </w:r>
      <w:r>
        <w:t>$</w:t>
      </w:r>
      <w:r w:rsidR="008E558B">
        <w:t>50,000</w:t>
      </w:r>
      <w:r w:rsidR="00787A53">
        <w:t xml:space="preserve">/year and fixed broadband is available to fewer than 51% of </w:t>
      </w:r>
      <w:r>
        <w:t>residential locations. These counties</w:t>
      </w:r>
      <w:r w:rsidR="0080629D">
        <w:t xml:space="preserve"> are home to about 1.4</w:t>
      </w:r>
      <w:r w:rsidR="00787A53">
        <w:t>M residents who li</w:t>
      </w:r>
      <w:r w:rsidR="009E48A3">
        <w:t xml:space="preserve">ve in </w:t>
      </w:r>
      <w:r w:rsidR="008E558B">
        <w:t xml:space="preserve">approximately </w:t>
      </w:r>
      <w:r w:rsidR="0080629D">
        <w:t>515</w:t>
      </w:r>
      <w:r w:rsidR="009E48A3">
        <w:t>,000 households. As shown in Figure 1, while these counties are scattered across the U.S.</w:t>
      </w:r>
      <w:r w:rsidR="004F417B">
        <w:t>,</w:t>
      </w:r>
      <w:r w:rsidR="009E48A3">
        <w:t xml:space="preserve"> there is a </w:t>
      </w:r>
      <w:r w:rsidR="008E558B">
        <w:t>notable</w:t>
      </w:r>
      <w:r w:rsidR="009E48A3">
        <w:t xml:space="preserve"> concentration in the Southeast region. This concentration is in part due to the i</w:t>
      </w:r>
      <w:r>
        <w:t>ncome threshold used</w:t>
      </w:r>
      <w:r w:rsidR="004F417B">
        <w:t xml:space="preserve"> to identify </w:t>
      </w:r>
      <w:r w:rsidR="000E3A3E">
        <w:t>underserved</w:t>
      </w:r>
      <w:r w:rsidR="004F417B">
        <w:t xml:space="preserve"> areas</w:t>
      </w:r>
      <w:r w:rsidR="009E48A3">
        <w:t xml:space="preserve">, which results in more </w:t>
      </w:r>
      <w:r w:rsidR="004F417B">
        <w:t>counties</w:t>
      </w:r>
      <w:r w:rsidR="009E48A3">
        <w:t xml:space="preserve"> being concentrated in low-income states such as Alabama, Arkansas, Mississippi and Louisiana.</w:t>
      </w:r>
      <w:r w:rsidR="001E1B24">
        <w:t xml:space="preserve"> Our </w:t>
      </w:r>
      <w:hyperlink r:id="rId15" w:history="1">
        <w:r w:rsidR="000E3A3E">
          <w:rPr>
            <w:rStyle w:val="Hyperlink"/>
          </w:rPr>
          <w:t>Underserved</w:t>
        </w:r>
        <w:r w:rsidR="001E1B24">
          <w:rPr>
            <w:rStyle w:val="Hyperlink"/>
          </w:rPr>
          <w:t xml:space="preserve"> Counties</w:t>
        </w:r>
        <w:r w:rsidR="001E1B24" w:rsidRPr="00663FAE">
          <w:rPr>
            <w:rStyle w:val="Hyperlink"/>
          </w:rPr>
          <w:t xml:space="preserve"> Dashboard</w:t>
        </w:r>
      </w:hyperlink>
      <w:r w:rsidR="001E1B24">
        <w:t xml:space="preserve"> allows for testing how different income and </w:t>
      </w:r>
      <w:r w:rsidR="00D018E5">
        <w:t>served</w:t>
      </w:r>
      <w:r w:rsidR="001E1B24">
        <w:t xml:space="preserve"> locations thresholds affect </w:t>
      </w:r>
      <w:r w:rsidR="00B76B33">
        <w:t>the</w:t>
      </w:r>
      <w:r w:rsidR="001E1B24">
        <w:t xml:space="preserve"> geographical </w:t>
      </w:r>
      <w:r w:rsidR="00B76B33">
        <w:t xml:space="preserve">distribution of counties flagged as </w:t>
      </w:r>
      <w:r w:rsidR="000E3A3E">
        <w:t>underserved</w:t>
      </w:r>
      <w:r w:rsidR="001E1B24">
        <w:t>.</w:t>
      </w:r>
    </w:p>
    <w:p w14:paraId="50E1B6C4" w14:textId="430B7C1C" w:rsidR="001E1B24" w:rsidRDefault="001E1B24" w:rsidP="001E1B24"/>
    <w:p w14:paraId="2BD9B233" w14:textId="1C1FAB04" w:rsidR="007C1AEC" w:rsidRDefault="000A3303" w:rsidP="004F417B">
      <w:pPr>
        <w:keepNext/>
        <w:jc w:val="center"/>
      </w:pPr>
      <w:r w:rsidRPr="000A3303">
        <w:rPr>
          <w:noProof/>
        </w:rPr>
        <w:drawing>
          <wp:inline distT="0" distB="0" distL="0" distR="0" wp14:anchorId="443291DF" wp14:editId="783B82D5">
            <wp:extent cx="4476206" cy="3643632"/>
            <wp:effectExtent l="0" t="0" r="635" b="0"/>
            <wp:docPr id="175765123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51233" name="Picture 1" descr="A map of the united states&#10;&#10;Description automatically generated"/>
                    <pic:cNvPicPr/>
                  </pic:nvPicPr>
                  <pic:blipFill>
                    <a:blip r:embed="rId16"/>
                    <a:stretch>
                      <a:fillRect/>
                    </a:stretch>
                  </pic:blipFill>
                  <pic:spPr>
                    <a:xfrm>
                      <a:off x="0" y="0"/>
                      <a:ext cx="4480178" cy="3646865"/>
                    </a:xfrm>
                    <a:prstGeom prst="rect">
                      <a:avLst/>
                    </a:prstGeom>
                  </pic:spPr>
                </pic:pic>
              </a:graphicData>
            </a:graphic>
          </wp:inline>
        </w:drawing>
      </w:r>
    </w:p>
    <w:p w14:paraId="582447F9" w14:textId="46D41C50" w:rsidR="00883F88" w:rsidRPr="000B4060" w:rsidRDefault="007C1AEC" w:rsidP="00883F88">
      <w:pPr>
        <w:pStyle w:val="Caption"/>
        <w:rPr>
          <w:sz w:val="20"/>
          <w:szCs w:val="20"/>
        </w:rPr>
      </w:pPr>
      <w:r w:rsidRPr="00066E70">
        <w:rPr>
          <w:color w:val="auto"/>
          <w:sz w:val="20"/>
          <w:szCs w:val="20"/>
        </w:rPr>
        <w:t xml:space="preserve">Figure </w:t>
      </w:r>
      <w:r w:rsidR="00060D56" w:rsidRPr="00066E70">
        <w:rPr>
          <w:color w:val="auto"/>
          <w:sz w:val="20"/>
          <w:szCs w:val="20"/>
        </w:rPr>
        <w:fldChar w:fldCharType="begin"/>
      </w:r>
      <w:r w:rsidR="00060D56" w:rsidRPr="00066E70">
        <w:rPr>
          <w:color w:val="auto"/>
          <w:sz w:val="20"/>
          <w:szCs w:val="20"/>
        </w:rPr>
        <w:instrText xml:space="preserve"> SEQ Figure \* ARABIC </w:instrText>
      </w:r>
      <w:r w:rsidR="00060D56" w:rsidRPr="00066E70">
        <w:rPr>
          <w:color w:val="auto"/>
          <w:sz w:val="20"/>
          <w:szCs w:val="20"/>
        </w:rPr>
        <w:fldChar w:fldCharType="separate"/>
      </w:r>
      <w:r w:rsidR="00A31123" w:rsidRPr="00066E70">
        <w:rPr>
          <w:noProof/>
          <w:color w:val="auto"/>
          <w:sz w:val="20"/>
          <w:szCs w:val="20"/>
        </w:rPr>
        <w:t>1</w:t>
      </w:r>
      <w:r w:rsidR="00060D56" w:rsidRPr="00066E70">
        <w:rPr>
          <w:noProof/>
          <w:color w:val="auto"/>
          <w:sz w:val="20"/>
          <w:szCs w:val="20"/>
        </w:rPr>
        <w:fldChar w:fldCharType="end"/>
      </w:r>
      <w:r w:rsidRPr="00066E70">
        <w:rPr>
          <w:color w:val="auto"/>
          <w:sz w:val="20"/>
          <w:szCs w:val="20"/>
        </w:rPr>
        <w:t xml:space="preserve">: </w:t>
      </w:r>
      <w:r w:rsidR="000E3A3E" w:rsidRPr="00066E70">
        <w:rPr>
          <w:color w:val="auto"/>
          <w:sz w:val="20"/>
          <w:szCs w:val="20"/>
        </w:rPr>
        <w:t>Underserved</w:t>
      </w:r>
      <w:r w:rsidR="008E558B" w:rsidRPr="00066E70">
        <w:rPr>
          <w:color w:val="auto"/>
          <w:sz w:val="20"/>
          <w:szCs w:val="20"/>
        </w:rPr>
        <w:t xml:space="preserve"> low-income</w:t>
      </w:r>
      <w:r w:rsidR="004F417B" w:rsidRPr="00066E70">
        <w:rPr>
          <w:color w:val="auto"/>
          <w:sz w:val="20"/>
          <w:szCs w:val="20"/>
        </w:rPr>
        <w:t xml:space="preserve"> counties (median HH i</w:t>
      </w:r>
      <w:r w:rsidR="00630D9E" w:rsidRPr="00066E70">
        <w:rPr>
          <w:color w:val="auto"/>
          <w:sz w:val="20"/>
          <w:szCs w:val="20"/>
        </w:rPr>
        <w:t>ncome below $50K</w:t>
      </w:r>
      <w:r w:rsidR="004F417B" w:rsidRPr="00066E70">
        <w:rPr>
          <w:color w:val="auto"/>
          <w:sz w:val="20"/>
          <w:szCs w:val="20"/>
        </w:rPr>
        <w:t>/year</w:t>
      </w:r>
      <w:r w:rsidR="00630D9E" w:rsidRPr="00066E70">
        <w:rPr>
          <w:color w:val="auto"/>
          <w:sz w:val="20"/>
          <w:szCs w:val="20"/>
        </w:rPr>
        <w:t xml:space="preserve"> and </w:t>
      </w:r>
      <w:r w:rsidR="004F417B" w:rsidRPr="00066E70">
        <w:rPr>
          <w:color w:val="auto"/>
          <w:sz w:val="20"/>
          <w:szCs w:val="20"/>
        </w:rPr>
        <w:t xml:space="preserve">fewer than </w:t>
      </w:r>
      <w:r w:rsidR="00630D9E" w:rsidRPr="00066E70">
        <w:rPr>
          <w:color w:val="auto"/>
          <w:sz w:val="20"/>
          <w:szCs w:val="20"/>
        </w:rPr>
        <w:t>51%</w:t>
      </w:r>
      <w:r w:rsidR="004838E1" w:rsidRPr="00066E70">
        <w:rPr>
          <w:color w:val="auto"/>
          <w:sz w:val="20"/>
          <w:szCs w:val="20"/>
        </w:rPr>
        <w:t xml:space="preserve"> units served by </w:t>
      </w:r>
      <w:r w:rsidR="000B4060" w:rsidRPr="00066E70">
        <w:rPr>
          <w:color w:val="auto"/>
          <w:sz w:val="20"/>
          <w:szCs w:val="20"/>
        </w:rPr>
        <w:t xml:space="preserve">fixed broadband at </w:t>
      </w:r>
      <w:r w:rsidR="004838E1" w:rsidRPr="00066E70">
        <w:rPr>
          <w:color w:val="auto"/>
          <w:sz w:val="20"/>
          <w:szCs w:val="20"/>
        </w:rPr>
        <w:t>25/3Mbps</w:t>
      </w:r>
      <w:r w:rsidR="004F417B" w:rsidRPr="00066E70">
        <w:rPr>
          <w:color w:val="auto"/>
          <w:sz w:val="20"/>
          <w:szCs w:val="20"/>
        </w:rPr>
        <w:t>).</w:t>
      </w:r>
      <w:r w:rsidR="004838E1" w:rsidRPr="00066E70">
        <w:rPr>
          <w:color w:val="auto"/>
          <w:sz w:val="20"/>
          <w:szCs w:val="20"/>
        </w:rPr>
        <w:t xml:space="preserve"> </w:t>
      </w:r>
      <w:r w:rsidR="00883F88" w:rsidRPr="000B4060">
        <w:rPr>
          <w:sz w:val="20"/>
          <w:szCs w:val="20"/>
        </w:rPr>
        <w:br/>
      </w:r>
    </w:p>
    <w:p w14:paraId="0E1958DD" w14:textId="5D7CE63A" w:rsidR="008E558B" w:rsidRDefault="00787A53" w:rsidP="00B76B33">
      <w:r>
        <w:lastRenderedPageBreak/>
        <w:t xml:space="preserve">As expected, </w:t>
      </w:r>
      <w:r w:rsidR="008E558B">
        <w:t>these</w:t>
      </w:r>
      <w:r w:rsidR="00BB060D">
        <w:t xml:space="preserve"> are low-income rural counties</w:t>
      </w:r>
      <w:r>
        <w:t xml:space="preserve">, </w:t>
      </w:r>
      <w:r w:rsidR="00BB060D">
        <w:t>with</w:t>
      </w:r>
      <w:r>
        <w:t xml:space="preserve"> about 21% of families below the federal poverty line </w:t>
      </w:r>
      <w:r w:rsidR="008F682C">
        <w:t>(</w:t>
      </w:r>
      <w:r w:rsidR="00BB060D">
        <w:t>compared to 12.2</w:t>
      </w:r>
      <w:r>
        <w:t xml:space="preserve">% in </w:t>
      </w:r>
      <w:r w:rsidR="00BB060D">
        <w:t xml:space="preserve">all </w:t>
      </w:r>
      <w:r>
        <w:t>other counties</w:t>
      </w:r>
      <w:r w:rsidR="008F682C">
        <w:t>)</w:t>
      </w:r>
      <w:r>
        <w:t xml:space="preserve">. </w:t>
      </w:r>
      <w:r w:rsidR="007F0E45">
        <w:t xml:space="preserve">The share </w:t>
      </w:r>
      <w:r>
        <w:t>of underprivileged racial minorities</w:t>
      </w:r>
      <w:r w:rsidR="007F0E45">
        <w:t xml:space="preserve"> is </w:t>
      </w:r>
      <w:r w:rsidR="008F682C">
        <w:t xml:space="preserve">also </w:t>
      </w:r>
      <w:r w:rsidR="007F0E45">
        <w:t>higher</w:t>
      </w:r>
      <w:r w:rsidR="002B72D0">
        <w:t>, with Blacks repres</w:t>
      </w:r>
      <w:r w:rsidR="00BB060D">
        <w:t>enting 22% of residents (compared to 12.4</w:t>
      </w:r>
      <w:r>
        <w:t xml:space="preserve">% in </w:t>
      </w:r>
      <w:r w:rsidR="007F0313">
        <w:t xml:space="preserve">all </w:t>
      </w:r>
      <w:r>
        <w:t>other counties) and Nati</w:t>
      </w:r>
      <w:r w:rsidR="00BB060D">
        <w:t>ve-Americans representing 5.5</w:t>
      </w:r>
      <w:r>
        <w:t xml:space="preserve">% of residents (compared </w:t>
      </w:r>
      <w:r w:rsidR="00BB060D">
        <w:t>to less than 1</w:t>
      </w:r>
      <w:r>
        <w:t xml:space="preserve">% in </w:t>
      </w:r>
      <w:r w:rsidR="007F0313">
        <w:t xml:space="preserve">all </w:t>
      </w:r>
      <w:r>
        <w:t>other counties).</w:t>
      </w:r>
    </w:p>
    <w:p w14:paraId="6014129A" w14:textId="2FD9959E" w:rsidR="00B56AA1" w:rsidRDefault="00B56AA1" w:rsidP="00B76B33">
      <w:r>
        <w:t xml:space="preserve">ACP uptake is lower in </w:t>
      </w:r>
      <w:r w:rsidR="000E3A3E">
        <w:t>underserved</w:t>
      </w:r>
      <w:r>
        <w:t xml:space="preserve"> </w:t>
      </w:r>
      <w:r w:rsidR="008E558B">
        <w:t>counties</w:t>
      </w:r>
      <w:r>
        <w:t xml:space="preserve">. As noted above, </w:t>
      </w:r>
      <w:r w:rsidR="00F1452A">
        <w:t xml:space="preserve">it is not possible to estimate the number of ACP eligible households at the county level without a very significant reduction in the sample size. The second-best approach is to calculate ACP uptake as the share of ACP recipients relative to total (not just eligible) households. Using this metric, the results indicate that ACP uptake (as of </w:t>
      </w:r>
      <w:r w:rsidR="000D1EFE">
        <w:t>December 2023</w:t>
      </w:r>
      <w:r w:rsidR="00E001C9">
        <w:t>) is at 25.3</w:t>
      </w:r>
      <w:r w:rsidR="00F1452A">
        <w:t xml:space="preserve">% of total households in </w:t>
      </w:r>
      <w:r w:rsidR="000E3A3E">
        <w:t>underserved</w:t>
      </w:r>
      <w:r w:rsidR="00F1452A">
        <w:t xml:space="preserve"> </w:t>
      </w:r>
      <w:r w:rsidR="008E558B">
        <w:t xml:space="preserve">low-income </w:t>
      </w:r>
      <w:r w:rsidR="00E001C9">
        <w:t>counties, relative to 31.1</w:t>
      </w:r>
      <w:r w:rsidR="00F1452A">
        <w:t>% in other low-income counties.</w:t>
      </w:r>
    </w:p>
    <w:p w14:paraId="2B088A45" w14:textId="12BE3490" w:rsidR="006336D0" w:rsidRDefault="008E558B" w:rsidP="00B76B33">
      <w:r>
        <w:t>Further, b</w:t>
      </w:r>
      <w:r w:rsidR="000D1EFE">
        <w:t>roadband</w:t>
      </w:r>
      <w:r w:rsidR="00787A53">
        <w:t xml:space="preserve"> adoption in </w:t>
      </w:r>
      <w:r w:rsidR="000E3A3E">
        <w:t>underserved</w:t>
      </w:r>
      <w:r w:rsidR="007F0313">
        <w:t xml:space="preserve"> </w:t>
      </w:r>
      <w:r w:rsidR="000D1EFE">
        <w:t xml:space="preserve">low-income </w:t>
      </w:r>
      <w:r w:rsidR="007F0313">
        <w:t>counties</w:t>
      </w:r>
      <w:r w:rsidR="00787A53">
        <w:t xml:space="preserve"> lags behind other </w:t>
      </w:r>
      <w:r w:rsidR="00A37D17">
        <w:t xml:space="preserve">low-income </w:t>
      </w:r>
      <w:r w:rsidR="00787A53">
        <w:t>counties. The share of households with a broadband connection and a computing device</w:t>
      </w:r>
      <w:r>
        <w:t xml:space="preserve"> in underserved counties</w:t>
      </w:r>
      <w:r w:rsidR="00787A53">
        <w:t xml:space="preserve"> stood at </w:t>
      </w:r>
      <w:r w:rsidR="00B935FA">
        <w:t>70</w:t>
      </w:r>
      <w:r w:rsidR="00787A53">
        <w:t>% in 2022</w:t>
      </w:r>
      <w:r w:rsidR="00C1637A">
        <w:t xml:space="preserve">, compared to </w:t>
      </w:r>
      <w:r w:rsidR="00B935FA">
        <w:t>76.2</w:t>
      </w:r>
      <w:r w:rsidR="00787A53">
        <w:t xml:space="preserve">% in </w:t>
      </w:r>
      <w:r w:rsidR="00672B83">
        <w:t xml:space="preserve">other </w:t>
      </w:r>
      <w:r w:rsidR="00F41FE8">
        <w:t>low-income</w:t>
      </w:r>
      <w:r w:rsidR="00672B83">
        <w:t xml:space="preserve"> </w:t>
      </w:r>
      <w:r w:rsidR="00787A53">
        <w:t xml:space="preserve">counties. </w:t>
      </w:r>
      <w:r w:rsidR="00312794">
        <w:t>F</w:t>
      </w:r>
      <w:r w:rsidR="00BA655B">
        <w:t>urther</w:t>
      </w:r>
      <w:r w:rsidR="00312794">
        <w:t xml:space="preserve"> c</w:t>
      </w:r>
      <w:r w:rsidR="00411D36">
        <w:t>entering</w:t>
      </w:r>
      <w:r w:rsidR="006336D0">
        <w:t xml:space="preserve"> the analysis on the poorest households reveals the extent of the penalty faced by households living in </w:t>
      </w:r>
      <w:r w:rsidR="000E3A3E">
        <w:t>underserved</w:t>
      </w:r>
      <w:r w:rsidR="00A96857">
        <w:t xml:space="preserve"> areas</w:t>
      </w:r>
      <w:r w:rsidR="006336D0">
        <w:t xml:space="preserve">. </w:t>
      </w:r>
      <w:r w:rsidR="00A96857">
        <w:t xml:space="preserve">Overall, the share </w:t>
      </w:r>
      <w:r w:rsidR="004972C8">
        <w:t xml:space="preserve">of </w:t>
      </w:r>
      <w:r w:rsidR="005E661A">
        <w:t xml:space="preserve">households with annual income at or below $35K connected </w:t>
      </w:r>
      <w:r w:rsidR="00B935FA">
        <w:t>to broadband (of any type) is 64</w:t>
      </w:r>
      <w:r w:rsidR="00312794">
        <w:t>.</w:t>
      </w:r>
      <w:r w:rsidR="00B935FA">
        <w:t>1</w:t>
      </w:r>
      <w:r w:rsidR="005E661A">
        <w:t xml:space="preserve">%, </w:t>
      </w:r>
      <w:r w:rsidR="00411D36">
        <w:t>but drops</w:t>
      </w:r>
      <w:r w:rsidR="00B935FA">
        <w:t xml:space="preserve"> to 56.6</w:t>
      </w:r>
      <w:r w:rsidR="005E661A">
        <w:t>%</w:t>
      </w:r>
      <w:r w:rsidR="00411D36">
        <w:t xml:space="preserve"> in </w:t>
      </w:r>
      <w:r w:rsidR="000E3A3E">
        <w:t>underserved</w:t>
      </w:r>
      <w:r w:rsidR="00A96857">
        <w:t xml:space="preserve"> </w:t>
      </w:r>
      <w:r w:rsidR="004972C8">
        <w:t>counties</w:t>
      </w:r>
      <w:r w:rsidR="005E661A">
        <w:t>.</w:t>
      </w:r>
      <w:r w:rsidR="00411D36">
        <w:t xml:space="preserve"> In other words, for the poorest households, </w:t>
      </w:r>
      <w:r w:rsidR="003F1BCA">
        <w:t>living</w:t>
      </w:r>
      <w:r w:rsidR="00411D36">
        <w:t xml:space="preserve"> in an area with </w:t>
      </w:r>
      <w:r w:rsidR="004972C8">
        <w:t>in</w:t>
      </w:r>
      <w:r w:rsidR="00411D36">
        <w:t xml:space="preserve">adequate availability of broadband, and therefore </w:t>
      </w:r>
      <w:r w:rsidR="003F1BCA">
        <w:t xml:space="preserve">where residents </w:t>
      </w:r>
      <w:r w:rsidR="00411D36">
        <w:t>can</w:t>
      </w:r>
      <w:r w:rsidR="004972C8">
        <w:t>not</w:t>
      </w:r>
      <w:r w:rsidR="00411D36">
        <w:t xml:space="preserve"> take </w:t>
      </w:r>
      <w:r w:rsidR="004972C8">
        <w:t xml:space="preserve">full </w:t>
      </w:r>
      <w:r w:rsidR="00411D36">
        <w:t xml:space="preserve">advantage of </w:t>
      </w:r>
      <w:r w:rsidR="004972C8">
        <w:t>demand-side</w:t>
      </w:r>
      <w:r w:rsidR="00411D36">
        <w:t xml:space="preserve"> </w:t>
      </w:r>
      <w:r w:rsidR="004972C8">
        <w:t>subsidy programs</w:t>
      </w:r>
      <w:r w:rsidR="00BA655B">
        <w:t xml:space="preserve"> like ACP</w:t>
      </w:r>
      <w:r w:rsidR="00411D36">
        <w:t>, has an outsized impact in the abilit</w:t>
      </w:r>
      <w:r w:rsidR="004972C8">
        <w:t>y to be connected to broadband.</w:t>
      </w:r>
    </w:p>
    <w:p w14:paraId="3C09C6B6" w14:textId="77777777" w:rsidR="00787A53" w:rsidRDefault="00787A53" w:rsidP="00787A53"/>
    <w:p w14:paraId="5E19063D" w14:textId="11688760" w:rsidR="00787A53" w:rsidRDefault="00DF0CD2" w:rsidP="00787A53">
      <w:pPr>
        <w:pStyle w:val="ListParagraph"/>
        <w:numPr>
          <w:ilvl w:val="0"/>
          <w:numId w:val="1"/>
        </w:numPr>
      </w:pPr>
      <w:commentRangeStart w:id="1"/>
      <w:r>
        <w:t>Estimating the impact of the ACP program</w:t>
      </w:r>
      <w:commentRangeEnd w:id="1"/>
      <w:r w:rsidR="00255454">
        <w:rPr>
          <w:rStyle w:val="CommentReference"/>
        </w:rPr>
        <w:commentReference w:id="1"/>
      </w:r>
    </w:p>
    <w:p w14:paraId="721E3B0C" w14:textId="77777777" w:rsidR="00E505A9" w:rsidRDefault="00E505A9" w:rsidP="00E505A9">
      <w:pPr>
        <w:pStyle w:val="ListParagraph"/>
      </w:pPr>
    </w:p>
    <w:p w14:paraId="32512FA9" w14:textId="46C2AD7F" w:rsidR="00E505A9" w:rsidRDefault="00E505A9" w:rsidP="00E505A9">
      <w:pPr>
        <w:pStyle w:val="ListParagraph"/>
        <w:numPr>
          <w:ilvl w:val="1"/>
          <w:numId w:val="1"/>
        </w:numPr>
      </w:pPr>
      <w:r>
        <w:t>Cross-section models</w:t>
      </w:r>
    </w:p>
    <w:p w14:paraId="0A82DD65" w14:textId="536B39A5" w:rsidR="00E44221" w:rsidRDefault="00787A53" w:rsidP="00E44221">
      <w:pPr>
        <w:ind w:firstLine="360"/>
      </w:pPr>
      <w:r>
        <w:t xml:space="preserve">This section offers a first-level approximation </w:t>
      </w:r>
      <w:r w:rsidR="000E058A">
        <w:t>to</w:t>
      </w:r>
      <w:r w:rsidR="00BF5BA1">
        <w:t xml:space="preserve"> </w:t>
      </w:r>
      <w:r>
        <w:t xml:space="preserve">the impact of the ACP program by comparing </w:t>
      </w:r>
      <w:r w:rsidR="003F1BCA">
        <w:t>fixed</w:t>
      </w:r>
      <w:r>
        <w:t xml:space="preserve"> broadband adoption in </w:t>
      </w:r>
      <w:r w:rsidR="000E3A3E">
        <w:t>underserved</w:t>
      </w:r>
      <w:r w:rsidR="00E44221">
        <w:t xml:space="preserve"> counties</w:t>
      </w:r>
      <w:r>
        <w:t xml:space="preserve"> to other </w:t>
      </w:r>
      <w:r w:rsidR="003F1BCA">
        <w:t xml:space="preserve">low-income </w:t>
      </w:r>
      <w:r w:rsidR="00E44221">
        <w:t>counties</w:t>
      </w:r>
      <w:r w:rsidR="0002388D">
        <w:t>,</w:t>
      </w:r>
      <w:r>
        <w:t xml:space="preserve"> while accounting for baseline differences in demographic characteristics known to affect broadband adoption as well as factors that affect the sup</w:t>
      </w:r>
      <w:r w:rsidR="003F1BCA">
        <w:t xml:space="preserve">ply of ACP-supported services. The </w:t>
      </w:r>
      <w:r w:rsidR="00E44221">
        <w:t xml:space="preserve">dependent variable in the </w:t>
      </w:r>
      <w:r w:rsidR="0002388D">
        <w:t xml:space="preserve">cross-section </w:t>
      </w:r>
      <w:r w:rsidR="003F1BCA">
        <w:t>model</w:t>
      </w:r>
      <w:r w:rsidR="000E058A">
        <w:t>s</w:t>
      </w:r>
      <w:r w:rsidR="003F1BCA">
        <w:t xml:space="preserve"> </w:t>
      </w:r>
      <w:r w:rsidR="00E44221">
        <w:t>below (Table 1) is</w:t>
      </w:r>
      <w:r w:rsidR="003F1BCA">
        <w:t xml:space="preserve"> the share of households </w:t>
      </w:r>
      <w:r w:rsidR="00E44221">
        <w:t>with</w:t>
      </w:r>
      <w:r w:rsidR="003F1BCA">
        <w:t xml:space="preserve"> broadband and a computing device</w:t>
      </w:r>
      <w:r w:rsidR="00E44221">
        <w:t xml:space="preserve"> in counties with median h</w:t>
      </w:r>
      <w:r w:rsidR="00BC512A">
        <w:t>ousehold income at or below $50,000</w:t>
      </w:r>
      <w:r w:rsidR="000E058A">
        <w:t>/year</w:t>
      </w:r>
      <w:r w:rsidR="0002388D">
        <w:t>. Control variables</w:t>
      </w:r>
      <w:r w:rsidR="00E44221">
        <w:t xml:space="preserve"> include </w:t>
      </w:r>
      <w:r w:rsidR="003F1BCA">
        <w:t xml:space="preserve">demographic factors such as median annual household income, </w:t>
      </w:r>
      <w:r>
        <w:t xml:space="preserve">population density, median age, race (share of White-only residents), education (share of population 25 years and older with a </w:t>
      </w:r>
      <w:r w:rsidR="00BA5BD4">
        <w:t>bachelor’s</w:t>
      </w:r>
      <w:r>
        <w:t xml:space="preserve"> degre</w:t>
      </w:r>
      <w:r w:rsidR="001068A4">
        <w:t>e), presence of children</w:t>
      </w:r>
      <w:r w:rsidR="00E44221">
        <w:t xml:space="preserve"> in the household</w:t>
      </w:r>
      <w:r>
        <w:t xml:space="preserve">, and share of families </w:t>
      </w:r>
      <w:r w:rsidR="00E44221">
        <w:t>under the federal poverty line.</w:t>
      </w:r>
      <w:r w:rsidR="00D46C9A">
        <w:t xml:space="preserve"> This data is sourced from the ACS 5-year estimates.</w:t>
      </w:r>
    </w:p>
    <w:p w14:paraId="0B30BB75" w14:textId="330AA3B5" w:rsidR="00372C7A" w:rsidRDefault="00E44221" w:rsidP="00787A53">
      <w:r>
        <w:t>In addition, the model controls for two other</w:t>
      </w:r>
      <w:r w:rsidR="00787A53">
        <w:t xml:space="preserve"> factors</w:t>
      </w:r>
      <w:r>
        <w:t>. The first is the supply of fixed broadband services, which is</w:t>
      </w:r>
      <w:r w:rsidR="00787A53">
        <w:t xml:space="preserve"> approximated by the count </w:t>
      </w:r>
      <w:r w:rsidR="000E058A">
        <w:t xml:space="preserve">(number) </w:t>
      </w:r>
      <w:r w:rsidR="00787A53">
        <w:t xml:space="preserve">of </w:t>
      </w:r>
      <w:r w:rsidR="003F1BCA">
        <w:t>fixed service</w:t>
      </w:r>
      <w:r w:rsidR="00787A53">
        <w:t xml:space="preserve"> providers in the </w:t>
      </w:r>
      <w:r w:rsidR="003F1BCA">
        <w:t>area</w:t>
      </w:r>
      <w:r>
        <w:t xml:space="preserve">. The second factor is the designation as a Tribal county, </w:t>
      </w:r>
      <w:r w:rsidR="0002388D">
        <w:t>since</w:t>
      </w:r>
      <w:r>
        <w:t xml:space="preserve"> households </w:t>
      </w:r>
      <w:r w:rsidR="0002388D">
        <w:t xml:space="preserve">in Tribal areas </w:t>
      </w:r>
      <w:r>
        <w:t>are eligible for the increased ACP service support of up to $75/month. To test the sensitivity of the results to other income thresholds</w:t>
      </w:r>
      <w:r w:rsidR="000E058A">
        <w:t xml:space="preserve"> (and therefore to different sample sizes)</w:t>
      </w:r>
      <w:r>
        <w:t>, Table 1 includes simila</w:t>
      </w:r>
      <w:r w:rsidR="00BC512A">
        <w:t>r models with thresholds at $45,000/year</w:t>
      </w:r>
      <w:r>
        <w:t xml:space="preserve"> and </w:t>
      </w:r>
      <w:r w:rsidR="00BC512A">
        <w:t>$55,000/year</w:t>
      </w:r>
      <w:r>
        <w:t xml:space="preserve"> in median annual household income.</w:t>
      </w:r>
      <w:r w:rsidR="008C7801">
        <w:t xml:space="preserve"> To facilitate interpretation of results, the flag for </w:t>
      </w:r>
      <w:r w:rsidR="000E3A3E">
        <w:t>underserved</w:t>
      </w:r>
      <w:r w:rsidR="008C7801">
        <w:t xml:space="preserve"> counties is inverted so that the “</w:t>
      </w:r>
      <w:r w:rsidR="0002388D">
        <w:t>served</w:t>
      </w:r>
      <w:r w:rsidR="008C7801">
        <w:t xml:space="preserve">” variable indicates counties </w:t>
      </w:r>
      <w:r w:rsidR="008C7801" w:rsidRPr="000E058A">
        <w:rPr>
          <w:u w:val="single"/>
        </w:rPr>
        <w:t>not</w:t>
      </w:r>
      <w:r w:rsidR="008C7801">
        <w:t xml:space="preserve"> flagged as </w:t>
      </w:r>
      <w:r w:rsidR="000E3A3E">
        <w:t>underserved</w:t>
      </w:r>
      <w:r w:rsidR="008C7801">
        <w:t>.</w:t>
      </w:r>
      <w:r w:rsidR="00787171">
        <w:t xml:space="preserve"> The estimations are weighed by number of households in each county.</w:t>
      </w:r>
    </w:p>
    <w:p w14:paraId="13946E06" w14:textId="77777777" w:rsidR="00372C7A" w:rsidRDefault="00372C7A" w:rsidP="001F685E"/>
    <w:p w14:paraId="72E81D91" w14:textId="163CB05B" w:rsidR="00787A53" w:rsidRPr="00066E70" w:rsidRDefault="00787A53" w:rsidP="00787A53">
      <w:pPr>
        <w:rPr>
          <w:i/>
        </w:rPr>
      </w:pPr>
      <w:r w:rsidRPr="00066E70">
        <w:rPr>
          <w:i/>
        </w:rPr>
        <w:t xml:space="preserve">Table 1: </w:t>
      </w:r>
      <w:r w:rsidR="00E44221" w:rsidRPr="00066E70">
        <w:rPr>
          <w:i/>
        </w:rPr>
        <w:t xml:space="preserve">Share of households with broadband and PC, using different income thresholds </w:t>
      </w:r>
      <w:r w:rsidR="00E82253" w:rsidRPr="00066E70">
        <w:rPr>
          <w:i/>
        </w:rPr>
        <w:t xml:space="preserve">to </w:t>
      </w:r>
      <w:r w:rsidR="007E4AAE" w:rsidRPr="00066E70">
        <w:rPr>
          <w:i/>
        </w:rPr>
        <w:t xml:space="preserve">identify </w:t>
      </w:r>
      <w:r w:rsidR="00BC512A" w:rsidRPr="00066E70">
        <w:rPr>
          <w:i/>
        </w:rPr>
        <w:t>low-income</w:t>
      </w:r>
      <w:r w:rsidR="00E82253" w:rsidRPr="00066E70">
        <w:rPr>
          <w:i/>
        </w:rPr>
        <w:t xml:space="preserve"> </w:t>
      </w:r>
      <w:r w:rsidR="008C7801" w:rsidRPr="00066E70">
        <w:rPr>
          <w:i/>
        </w:rPr>
        <w:t>counties</w:t>
      </w:r>
      <w:r w:rsidR="00E82253" w:rsidRPr="00066E70">
        <w:rPr>
          <w:i/>
        </w:rPr>
        <w:t>.</w:t>
      </w:r>
    </w:p>
    <w:tbl>
      <w:tblPr>
        <w:tblW w:w="9550" w:type="dxa"/>
        <w:jc w:val="center"/>
        <w:tblLayout w:type="fixed"/>
        <w:tblCellMar>
          <w:left w:w="75" w:type="dxa"/>
          <w:right w:w="75" w:type="dxa"/>
        </w:tblCellMar>
        <w:tblLook w:val="04A0" w:firstRow="1" w:lastRow="0" w:firstColumn="1" w:lastColumn="0" w:noHBand="0" w:noVBand="1"/>
      </w:tblPr>
      <w:tblGrid>
        <w:gridCol w:w="2832"/>
        <w:gridCol w:w="2298"/>
        <w:gridCol w:w="2096"/>
        <w:gridCol w:w="2324"/>
      </w:tblGrid>
      <w:tr w:rsidR="0035006A" w:rsidRPr="00787171" w14:paraId="08921D72" w14:textId="77777777" w:rsidTr="0035006A">
        <w:trPr>
          <w:jc w:val="center"/>
        </w:trPr>
        <w:tc>
          <w:tcPr>
            <w:tcW w:w="2832" w:type="dxa"/>
            <w:tcBorders>
              <w:top w:val="single" w:sz="6" w:space="0" w:color="auto"/>
              <w:left w:val="nil"/>
              <w:bottom w:val="nil"/>
              <w:right w:val="nil"/>
            </w:tcBorders>
          </w:tcPr>
          <w:p w14:paraId="24092E21" w14:textId="77777777" w:rsidR="0035006A" w:rsidRPr="00787171" w:rsidRDefault="0035006A">
            <w:pPr>
              <w:widowControl w:val="0"/>
              <w:autoSpaceDE w:val="0"/>
              <w:autoSpaceDN w:val="0"/>
              <w:adjustRightInd w:val="0"/>
              <w:spacing w:after="0" w:line="240" w:lineRule="auto"/>
              <w:rPr>
                <w:rFonts w:cstheme="minorHAnsi"/>
                <w:sz w:val="20"/>
                <w:szCs w:val="20"/>
              </w:rPr>
            </w:pPr>
          </w:p>
        </w:tc>
        <w:tc>
          <w:tcPr>
            <w:tcW w:w="2298" w:type="dxa"/>
            <w:tcBorders>
              <w:top w:val="single" w:sz="6" w:space="0" w:color="auto"/>
              <w:left w:val="nil"/>
              <w:bottom w:val="nil"/>
              <w:right w:val="nil"/>
            </w:tcBorders>
            <w:hideMark/>
          </w:tcPr>
          <w:p w14:paraId="0F3B6775" w14:textId="77777777" w:rsidR="0035006A" w:rsidRPr="00787171" w:rsidRDefault="0035006A">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(1)</w:t>
            </w:r>
          </w:p>
        </w:tc>
        <w:tc>
          <w:tcPr>
            <w:tcW w:w="2096" w:type="dxa"/>
            <w:tcBorders>
              <w:top w:val="single" w:sz="6" w:space="0" w:color="auto"/>
              <w:left w:val="nil"/>
              <w:bottom w:val="nil"/>
              <w:right w:val="nil"/>
            </w:tcBorders>
            <w:hideMark/>
          </w:tcPr>
          <w:p w14:paraId="74FCA135" w14:textId="77777777" w:rsidR="0035006A" w:rsidRPr="00787171" w:rsidRDefault="0035006A">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(2)</w:t>
            </w:r>
          </w:p>
        </w:tc>
        <w:tc>
          <w:tcPr>
            <w:tcW w:w="2324" w:type="dxa"/>
            <w:tcBorders>
              <w:top w:val="single" w:sz="6" w:space="0" w:color="auto"/>
              <w:left w:val="nil"/>
              <w:bottom w:val="nil"/>
              <w:right w:val="nil"/>
            </w:tcBorders>
            <w:hideMark/>
          </w:tcPr>
          <w:p w14:paraId="1AC166D1" w14:textId="77777777" w:rsidR="0035006A" w:rsidRPr="00787171" w:rsidRDefault="0035006A">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(3)</w:t>
            </w:r>
          </w:p>
        </w:tc>
      </w:tr>
      <w:tr w:rsidR="0035006A" w:rsidRPr="00787171" w14:paraId="4F6094D3" w14:textId="77777777" w:rsidTr="0035006A">
        <w:trPr>
          <w:jc w:val="center"/>
        </w:trPr>
        <w:tc>
          <w:tcPr>
            <w:tcW w:w="2832" w:type="dxa"/>
            <w:tcBorders>
              <w:top w:val="nil"/>
              <w:left w:val="nil"/>
              <w:bottom w:val="single" w:sz="6" w:space="0" w:color="auto"/>
              <w:right w:val="nil"/>
            </w:tcBorders>
            <w:hideMark/>
          </w:tcPr>
          <w:p w14:paraId="688056C2" w14:textId="77777777" w:rsidR="0035006A" w:rsidRPr="00787171" w:rsidRDefault="0035006A">
            <w:pPr>
              <w:widowControl w:val="0"/>
              <w:autoSpaceDE w:val="0"/>
              <w:autoSpaceDN w:val="0"/>
              <w:adjustRightInd w:val="0"/>
              <w:spacing w:after="0" w:line="240" w:lineRule="auto"/>
              <w:rPr>
                <w:rFonts w:cstheme="minorHAnsi"/>
                <w:sz w:val="20"/>
                <w:szCs w:val="20"/>
              </w:rPr>
            </w:pPr>
            <w:r w:rsidRPr="00787171">
              <w:rPr>
                <w:rFonts w:cstheme="minorHAnsi"/>
                <w:sz w:val="20"/>
                <w:szCs w:val="20"/>
              </w:rPr>
              <w:t>VARIABLES</w:t>
            </w:r>
          </w:p>
        </w:tc>
        <w:tc>
          <w:tcPr>
            <w:tcW w:w="2298" w:type="dxa"/>
            <w:tcBorders>
              <w:top w:val="nil"/>
              <w:left w:val="nil"/>
              <w:bottom w:val="single" w:sz="6" w:space="0" w:color="auto"/>
              <w:right w:val="nil"/>
            </w:tcBorders>
            <w:hideMark/>
          </w:tcPr>
          <w:p w14:paraId="1E8D4119" w14:textId="65F58ED6" w:rsidR="0035006A" w:rsidRPr="00787171" w:rsidRDefault="0035006A" w:rsidP="008C780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Broadband (any) + PC (&lt;</w:t>
            </w:r>
            <w:r w:rsidR="008C7801" w:rsidRPr="00787171">
              <w:rPr>
                <w:rFonts w:cstheme="minorHAnsi"/>
                <w:sz w:val="20"/>
                <w:szCs w:val="20"/>
              </w:rPr>
              <w:t>$</w:t>
            </w:r>
            <w:r w:rsidRPr="00787171">
              <w:rPr>
                <w:rFonts w:cstheme="minorHAnsi"/>
                <w:sz w:val="20"/>
                <w:szCs w:val="20"/>
              </w:rPr>
              <w:t xml:space="preserve">50K </w:t>
            </w:r>
            <w:r w:rsidR="008C7801" w:rsidRPr="00787171">
              <w:rPr>
                <w:rFonts w:cstheme="minorHAnsi"/>
                <w:sz w:val="20"/>
                <w:szCs w:val="20"/>
              </w:rPr>
              <w:t>counties</w:t>
            </w:r>
            <w:r w:rsidRPr="00787171">
              <w:rPr>
                <w:rFonts w:cstheme="minorHAnsi"/>
                <w:sz w:val="20"/>
                <w:szCs w:val="20"/>
              </w:rPr>
              <w:t>)</w:t>
            </w:r>
          </w:p>
        </w:tc>
        <w:tc>
          <w:tcPr>
            <w:tcW w:w="2096" w:type="dxa"/>
            <w:tcBorders>
              <w:top w:val="nil"/>
              <w:left w:val="nil"/>
              <w:bottom w:val="single" w:sz="6" w:space="0" w:color="auto"/>
              <w:right w:val="nil"/>
            </w:tcBorders>
            <w:hideMark/>
          </w:tcPr>
          <w:p w14:paraId="2C070FC9" w14:textId="4A2FE28A" w:rsidR="0035006A" w:rsidRPr="00787171" w:rsidRDefault="0035006A" w:rsidP="008C780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Broadband (any) + PC (&lt;</w:t>
            </w:r>
            <w:r w:rsidR="008C7801" w:rsidRPr="00787171">
              <w:rPr>
                <w:rFonts w:cstheme="minorHAnsi"/>
                <w:sz w:val="20"/>
                <w:szCs w:val="20"/>
              </w:rPr>
              <w:t>$</w:t>
            </w:r>
            <w:r w:rsidRPr="00787171">
              <w:rPr>
                <w:rFonts w:cstheme="minorHAnsi"/>
                <w:sz w:val="20"/>
                <w:szCs w:val="20"/>
              </w:rPr>
              <w:t xml:space="preserve">45K </w:t>
            </w:r>
            <w:r w:rsidR="008C7801" w:rsidRPr="00787171">
              <w:rPr>
                <w:rFonts w:cstheme="minorHAnsi"/>
                <w:sz w:val="20"/>
                <w:szCs w:val="20"/>
              </w:rPr>
              <w:t>counties</w:t>
            </w:r>
            <w:r w:rsidRPr="00787171">
              <w:rPr>
                <w:rFonts w:cstheme="minorHAnsi"/>
                <w:sz w:val="20"/>
                <w:szCs w:val="20"/>
              </w:rPr>
              <w:t>)</w:t>
            </w:r>
          </w:p>
        </w:tc>
        <w:tc>
          <w:tcPr>
            <w:tcW w:w="2324" w:type="dxa"/>
            <w:tcBorders>
              <w:top w:val="nil"/>
              <w:left w:val="nil"/>
              <w:bottom w:val="single" w:sz="6" w:space="0" w:color="auto"/>
              <w:right w:val="nil"/>
            </w:tcBorders>
            <w:hideMark/>
          </w:tcPr>
          <w:p w14:paraId="25F5523C" w14:textId="2412A1EF" w:rsidR="0035006A" w:rsidRPr="00787171" w:rsidRDefault="0035006A" w:rsidP="008C780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Broadband (any) + PC (&lt;</w:t>
            </w:r>
            <w:r w:rsidR="008C7801" w:rsidRPr="00787171">
              <w:rPr>
                <w:rFonts w:cstheme="minorHAnsi"/>
                <w:sz w:val="20"/>
                <w:szCs w:val="20"/>
              </w:rPr>
              <w:t>$</w:t>
            </w:r>
            <w:r w:rsidRPr="00787171">
              <w:rPr>
                <w:rFonts w:cstheme="minorHAnsi"/>
                <w:sz w:val="20"/>
                <w:szCs w:val="20"/>
              </w:rPr>
              <w:t xml:space="preserve">55K </w:t>
            </w:r>
            <w:r w:rsidR="008C7801" w:rsidRPr="00787171">
              <w:rPr>
                <w:rFonts w:cstheme="minorHAnsi"/>
                <w:sz w:val="20"/>
                <w:szCs w:val="20"/>
              </w:rPr>
              <w:t>counties</w:t>
            </w:r>
            <w:r w:rsidRPr="00787171">
              <w:rPr>
                <w:rFonts w:cstheme="minorHAnsi"/>
                <w:sz w:val="20"/>
                <w:szCs w:val="20"/>
              </w:rPr>
              <w:t>)</w:t>
            </w:r>
          </w:p>
        </w:tc>
      </w:tr>
      <w:tr w:rsidR="00787171" w:rsidRPr="00787171" w14:paraId="732EDBA4" w14:textId="77777777" w:rsidTr="0035006A">
        <w:trPr>
          <w:jc w:val="center"/>
        </w:trPr>
        <w:tc>
          <w:tcPr>
            <w:tcW w:w="2832" w:type="dxa"/>
            <w:hideMark/>
          </w:tcPr>
          <w:p w14:paraId="1669E6C1" w14:textId="5BD4F3F0" w:rsidR="00787171" w:rsidRPr="00787171" w:rsidRDefault="0002388D" w:rsidP="00787171">
            <w:pPr>
              <w:widowControl w:val="0"/>
              <w:autoSpaceDE w:val="0"/>
              <w:autoSpaceDN w:val="0"/>
              <w:adjustRightInd w:val="0"/>
              <w:spacing w:after="0" w:line="240" w:lineRule="auto"/>
              <w:rPr>
                <w:rFonts w:cstheme="minorHAnsi"/>
                <w:b/>
                <w:sz w:val="20"/>
                <w:szCs w:val="20"/>
              </w:rPr>
            </w:pPr>
            <w:r>
              <w:rPr>
                <w:rFonts w:cstheme="minorHAnsi"/>
                <w:b/>
                <w:sz w:val="20"/>
                <w:szCs w:val="20"/>
              </w:rPr>
              <w:t>Served</w:t>
            </w:r>
            <w:r w:rsidR="00787171" w:rsidRPr="00787171">
              <w:rPr>
                <w:rFonts w:cstheme="minorHAnsi"/>
                <w:b/>
                <w:sz w:val="20"/>
                <w:szCs w:val="20"/>
              </w:rPr>
              <w:t xml:space="preserve"> (yes=1)</w:t>
            </w:r>
          </w:p>
        </w:tc>
        <w:tc>
          <w:tcPr>
            <w:tcW w:w="2298" w:type="dxa"/>
            <w:hideMark/>
          </w:tcPr>
          <w:p w14:paraId="77C63AEC" w14:textId="575DDC6C"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0.0310***</w:t>
            </w:r>
          </w:p>
        </w:tc>
        <w:tc>
          <w:tcPr>
            <w:tcW w:w="2096" w:type="dxa"/>
            <w:hideMark/>
          </w:tcPr>
          <w:p w14:paraId="0ACF7483" w14:textId="4DB358B1"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0.0326***</w:t>
            </w:r>
          </w:p>
        </w:tc>
        <w:tc>
          <w:tcPr>
            <w:tcW w:w="2324" w:type="dxa"/>
            <w:hideMark/>
          </w:tcPr>
          <w:p w14:paraId="53B573F8" w14:textId="64289A93"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0.0343***</w:t>
            </w:r>
          </w:p>
        </w:tc>
      </w:tr>
      <w:tr w:rsidR="00787171" w:rsidRPr="00787171" w14:paraId="0E87F0AF" w14:textId="77777777" w:rsidTr="0035006A">
        <w:trPr>
          <w:jc w:val="center"/>
        </w:trPr>
        <w:tc>
          <w:tcPr>
            <w:tcW w:w="2832" w:type="dxa"/>
          </w:tcPr>
          <w:p w14:paraId="67AD07A8" w14:textId="77777777" w:rsidR="00787171" w:rsidRPr="00787171" w:rsidRDefault="00787171" w:rsidP="00787171">
            <w:pPr>
              <w:widowControl w:val="0"/>
              <w:autoSpaceDE w:val="0"/>
              <w:autoSpaceDN w:val="0"/>
              <w:adjustRightInd w:val="0"/>
              <w:spacing w:after="0" w:line="240" w:lineRule="auto"/>
              <w:rPr>
                <w:rFonts w:cstheme="minorHAnsi"/>
                <w:b/>
                <w:sz w:val="20"/>
                <w:szCs w:val="20"/>
              </w:rPr>
            </w:pPr>
          </w:p>
        </w:tc>
        <w:tc>
          <w:tcPr>
            <w:tcW w:w="2298" w:type="dxa"/>
            <w:hideMark/>
          </w:tcPr>
          <w:p w14:paraId="740B9337" w14:textId="2913B3AE"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(0.00896)</w:t>
            </w:r>
          </w:p>
        </w:tc>
        <w:tc>
          <w:tcPr>
            <w:tcW w:w="2096" w:type="dxa"/>
            <w:hideMark/>
          </w:tcPr>
          <w:p w14:paraId="7B1BA75A" w14:textId="12CF6425"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(0.0123)</w:t>
            </w:r>
          </w:p>
        </w:tc>
        <w:tc>
          <w:tcPr>
            <w:tcW w:w="2324" w:type="dxa"/>
            <w:hideMark/>
          </w:tcPr>
          <w:p w14:paraId="6EF029FE" w14:textId="273A6A2E"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(0.00724)</w:t>
            </w:r>
          </w:p>
        </w:tc>
      </w:tr>
      <w:tr w:rsidR="00787171" w:rsidRPr="00787171" w14:paraId="697BEC4E" w14:textId="77777777" w:rsidTr="0035006A">
        <w:trPr>
          <w:jc w:val="center"/>
        </w:trPr>
        <w:tc>
          <w:tcPr>
            <w:tcW w:w="2832" w:type="dxa"/>
            <w:hideMark/>
          </w:tcPr>
          <w:p w14:paraId="10292359" w14:textId="159B2687"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Median HH income</w:t>
            </w:r>
          </w:p>
        </w:tc>
        <w:tc>
          <w:tcPr>
            <w:tcW w:w="2298" w:type="dxa"/>
            <w:hideMark/>
          </w:tcPr>
          <w:p w14:paraId="153DC289" w14:textId="5D20B243"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3.16e-06***</w:t>
            </w:r>
          </w:p>
        </w:tc>
        <w:tc>
          <w:tcPr>
            <w:tcW w:w="2096" w:type="dxa"/>
            <w:hideMark/>
          </w:tcPr>
          <w:p w14:paraId="7D5CB3E5" w14:textId="6BEA22FF"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2.78e-06</w:t>
            </w:r>
          </w:p>
        </w:tc>
        <w:tc>
          <w:tcPr>
            <w:tcW w:w="2324" w:type="dxa"/>
            <w:hideMark/>
          </w:tcPr>
          <w:p w14:paraId="686E45E2" w14:textId="08813376"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3.16e-06***</w:t>
            </w:r>
          </w:p>
        </w:tc>
      </w:tr>
      <w:tr w:rsidR="00787171" w:rsidRPr="00787171" w14:paraId="2DDF53F6" w14:textId="77777777" w:rsidTr="0035006A">
        <w:trPr>
          <w:jc w:val="center"/>
        </w:trPr>
        <w:tc>
          <w:tcPr>
            <w:tcW w:w="2832" w:type="dxa"/>
          </w:tcPr>
          <w:p w14:paraId="52255A2E"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7E017B7C" w14:textId="174E698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(9.43e-07)</w:t>
            </w:r>
          </w:p>
        </w:tc>
        <w:tc>
          <w:tcPr>
            <w:tcW w:w="2096" w:type="dxa"/>
            <w:hideMark/>
          </w:tcPr>
          <w:p w14:paraId="19EB5004" w14:textId="7C3407F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(1.69e-06)</w:t>
            </w:r>
          </w:p>
        </w:tc>
        <w:tc>
          <w:tcPr>
            <w:tcW w:w="2324" w:type="dxa"/>
            <w:hideMark/>
          </w:tcPr>
          <w:p w14:paraId="7369689D" w14:textId="6774696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(7.03e-07)</w:t>
            </w:r>
          </w:p>
        </w:tc>
      </w:tr>
      <w:tr w:rsidR="00787171" w:rsidRPr="00787171" w14:paraId="66B8161A" w14:textId="77777777" w:rsidTr="0035006A">
        <w:trPr>
          <w:jc w:val="center"/>
        </w:trPr>
        <w:tc>
          <w:tcPr>
            <w:tcW w:w="2832" w:type="dxa"/>
            <w:hideMark/>
          </w:tcPr>
          <w:p w14:paraId="6BA4C0D5" w14:textId="7EE9AC90"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Population density</w:t>
            </w:r>
          </w:p>
        </w:tc>
        <w:tc>
          <w:tcPr>
            <w:tcW w:w="2298" w:type="dxa"/>
            <w:hideMark/>
          </w:tcPr>
          <w:p w14:paraId="2A869BA0" w14:textId="47DA5532"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2.17e-06***</w:t>
            </w:r>
          </w:p>
        </w:tc>
        <w:tc>
          <w:tcPr>
            <w:tcW w:w="2096" w:type="dxa"/>
            <w:hideMark/>
          </w:tcPr>
          <w:p w14:paraId="090D0080" w14:textId="7A084B8E"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5.95e-05***</w:t>
            </w:r>
          </w:p>
        </w:tc>
        <w:tc>
          <w:tcPr>
            <w:tcW w:w="2324" w:type="dxa"/>
            <w:hideMark/>
          </w:tcPr>
          <w:p w14:paraId="52D8EAE4" w14:textId="6E3F30D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2.16e-06***</w:t>
            </w:r>
          </w:p>
        </w:tc>
      </w:tr>
      <w:tr w:rsidR="00787171" w:rsidRPr="00787171" w14:paraId="50238C0A" w14:textId="77777777" w:rsidTr="0035006A">
        <w:trPr>
          <w:jc w:val="center"/>
        </w:trPr>
        <w:tc>
          <w:tcPr>
            <w:tcW w:w="2832" w:type="dxa"/>
          </w:tcPr>
          <w:p w14:paraId="3F34C527"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667C3D9C" w14:textId="33E332E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(3.15e-07)</w:t>
            </w:r>
          </w:p>
        </w:tc>
        <w:tc>
          <w:tcPr>
            <w:tcW w:w="2096" w:type="dxa"/>
            <w:hideMark/>
          </w:tcPr>
          <w:p w14:paraId="47547EB6" w14:textId="4C789701"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(1.79e-05)</w:t>
            </w:r>
          </w:p>
        </w:tc>
        <w:tc>
          <w:tcPr>
            <w:tcW w:w="2324" w:type="dxa"/>
            <w:hideMark/>
          </w:tcPr>
          <w:p w14:paraId="0F8DDB52" w14:textId="18C9022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(2.70e-07)</w:t>
            </w:r>
          </w:p>
        </w:tc>
      </w:tr>
      <w:tr w:rsidR="00787171" w:rsidRPr="00787171" w14:paraId="46D8CB2B" w14:textId="77777777" w:rsidTr="0035006A">
        <w:trPr>
          <w:jc w:val="center"/>
        </w:trPr>
        <w:tc>
          <w:tcPr>
            <w:tcW w:w="2832" w:type="dxa"/>
            <w:hideMark/>
          </w:tcPr>
          <w:p w14:paraId="7EC03EC2" w14:textId="2DF3EF77"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Rural (yes=1)</w:t>
            </w:r>
          </w:p>
        </w:tc>
        <w:tc>
          <w:tcPr>
            <w:tcW w:w="2298" w:type="dxa"/>
            <w:hideMark/>
          </w:tcPr>
          <w:p w14:paraId="3034A498" w14:textId="646A026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-0.0112</w:t>
            </w:r>
          </w:p>
        </w:tc>
        <w:tc>
          <w:tcPr>
            <w:tcW w:w="2096" w:type="dxa"/>
            <w:hideMark/>
          </w:tcPr>
          <w:p w14:paraId="6E9B2878" w14:textId="5686082F"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0.0255</w:t>
            </w:r>
          </w:p>
        </w:tc>
        <w:tc>
          <w:tcPr>
            <w:tcW w:w="2324" w:type="dxa"/>
            <w:hideMark/>
          </w:tcPr>
          <w:p w14:paraId="516C67D9" w14:textId="4414D443"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-0.0201***</w:t>
            </w:r>
          </w:p>
        </w:tc>
      </w:tr>
      <w:tr w:rsidR="00787171" w:rsidRPr="00787171" w14:paraId="0F0E335F" w14:textId="77777777" w:rsidTr="0035006A">
        <w:trPr>
          <w:jc w:val="center"/>
        </w:trPr>
        <w:tc>
          <w:tcPr>
            <w:tcW w:w="2832" w:type="dxa"/>
          </w:tcPr>
          <w:p w14:paraId="05F71A93"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73C326BB" w14:textId="57B68E6B"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(0.00921)</w:t>
            </w:r>
          </w:p>
        </w:tc>
        <w:tc>
          <w:tcPr>
            <w:tcW w:w="2096" w:type="dxa"/>
            <w:hideMark/>
          </w:tcPr>
          <w:p w14:paraId="20B1D004" w14:textId="57299B19"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(0.0186)</w:t>
            </w:r>
          </w:p>
        </w:tc>
        <w:tc>
          <w:tcPr>
            <w:tcW w:w="2324" w:type="dxa"/>
            <w:hideMark/>
          </w:tcPr>
          <w:p w14:paraId="6085FB7F" w14:textId="31BBE799"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(0.00561)</w:t>
            </w:r>
          </w:p>
        </w:tc>
      </w:tr>
      <w:tr w:rsidR="00787171" w:rsidRPr="00787171" w14:paraId="751F3A81" w14:textId="77777777" w:rsidTr="0035006A">
        <w:trPr>
          <w:jc w:val="center"/>
        </w:trPr>
        <w:tc>
          <w:tcPr>
            <w:tcW w:w="2832" w:type="dxa"/>
            <w:hideMark/>
          </w:tcPr>
          <w:p w14:paraId="2ED57D22" w14:textId="2B2B1DB2"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Number of ISPs</w:t>
            </w:r>
          </w:p>
        </w:tc>
        <w:tc>
          <w:tcPr>
            <w:tcW w:w="2298" w:type="dxa"/>
            <w:hideMark/>
          </w:tcPr>
          <w:p w14:paraId="4F2E4EFA" w14:textId="65692E86"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0.000683</w:t>
            </w:r>
          </w:p>
        </w:tc>
        <w:tc>
          <w:tcPr>
            <w:tcW w:w="2096" w:type="dxa"/>
            <w:hideMark/>
          </w:tcPr>
          <w:p w14:paraId="3E98AD8E" w14:textId="77B0520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0.00152</w:t>
            </w:r>
          </w:p>
        </w:tc>
        <w:tc>
          <w:tcPr>
            <w:tcW w:w="2324" w:type="dxa"/>
            <w:hideMark/>
          </w:tcPr>
          <w:p w14:paraId="0246E72C" w14:textId="5A3121AF"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-1.30e-05</w:t>
            </w:r>
          </w:p>
        </w:tc>
      </w:tr>
      <w:tr w:rsidR="00787171" w:rsidRPr="00787171" w14:paraId="6ED6A3A5" w14:textId="77777777" w:rsidTr="0035006A">
        <w:trPr>
          <w:jc w:val="center"/>
        </w:trPr>
        <w:tc>
          <w:tcPr>
            <w:tcW w:w="2832" w:type="dxa"/>
          </w:tcPr>
          <w:p w14:paraId="4A14578F"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096FDAB3" w14:textId="7A0DA44E"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(0.000880)</w:t>
            </w:r>
          </w:p>
        </w:tc>
        <w:tc>
          <w:tcPr>
            <w:tcW w:w="2096" w:type="dxa"/>
            <w:hideMark/>
          </w:tcPr>
          <w:p w14:paraId="2325BF06" w14:textId="60900D7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(0.00152)</w:t>
            </w:r>
          </w:p>
        </w:tc>
        <w:tc>
          <w:tcPr>
            <w:tcW w:w="2324" w:type="dxa"/>
            <w:hideMark/>
          </w:tcPr>
          <w:p w14:paraId="7A1E1348" w14:textId="650F9C1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(0.000775)</w:t>
            </w:r>
          </w:p>
        </w:tc>
      </w:tr>
      <w:tr w:rsidR="00787171" w:rsidRPr="00787171" w14:paraId="4F183380" w14:textId="77777777" w:rsidTr="0035006A">
        <w:trPr>
          <w:jc w:val="center"/>
        </w:trPr>
        <w:tc>
          <w:tcPr>
            <w:tcW w:w="2832" w:type="dxa"/>
            <w:hideMark/>
          </w:tcPr>
          <w:p w14:paraId="3B50DFC3" w14:textId="20DD4440"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Tribal (yes=1)</w:t>
            </w:r>
          </w:p>
        </w:tc>
        <w:tc>
          <w:tcPr>
            <w:tcW w:w="2298" w:type="dxa"/>
            <w:hideMark/>
          </w:tcPr>
          <w:p w14:paraId="28A50832" w14:textId="301CDF62"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-0.0586***</w:t>
            </w:r>
          </w:p>
        </w:tc>
        <w:tc>
          <w:tcPr>
            <w:tcW w:w="2096" w:type="dxa"/>
            <w:hideMark/>
          </w:tcPr>
          <w:p w14:paraId="5E381D29" w14:textId="7FCBBED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-0.0830***</w:t>
            </w:r>
          </w:p>
        </w:tc>
        <w:tc>
          <w:tcPr>
            <w:tcW w:w="2324" w:type="dxa"/>
            <w:hideMark/>
          </w:tcPr>
          <w:p w14:paraId="29C3942C" w14:textId="53D28C5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-0.0338**</w:t>
            </w:r>
          </w:p>
        </w:tc>
      </w:tr>
      <w:tr w:rsidR="00787171" w:rsidRPr="00787171" w14:paraId="1EE17707" w14:textId="77777777" w:rsidTr="0035006A">
        <w:trPr>
          <w:jc w:val="center"/>
        </w:trPr>
        <w:tc>
          <w:tcPr>
            <w:tcW w:w="2832" w:type="dxa"/>
          </w:tcPr>
          <w:p w14:paraId="6E7C9555"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3C79C3EF" w14:textId="126A6036"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(0.0195)</w:t>
            </w:r>
          </w:p>
        </w:tc>
        <w:tc>
          <w:tcPr>
            <w:tcW w:w="2096" w:type="dxa"/>
            <w:hideMark/>
          </w:tcPr>
          <w:p w14:paraId="265E6A96" w14:textId="27E31559"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(0.0241)</w:t>
            </w:r>
          </w:p>
        </w:tc>
        <w:tc>
          <w:tcPr>
            <w:tcW w:w="2324" w:type="dxa"/>
            <w:hideMark/>
          </w:tcPr>
          <w:p w14:paraId="0F2BD044" w14:textId="75B4E27F"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(0.0137)</w:t>
            </w:r>
          </w:p>
        </w:tc>
      </w:tr>
      <w:tr w:rsidR="00787171" w:rsidRPr="00787171" w14:paraId="69DDF9D9" w14:textId="77777777" w:rsidTr="0035006A">
        <w:trPr>
          <w:jc w:val="center"/>
        </w:trPr>
        <w:tc>
          <w:tcPr>
            <w:tcW w:w="2832" w:type="dxa"/>
            <w:hideMark/>
          </w:tcPr>
          <w:p w14:paraId="4AA01578" w14:textId="7EF9DC15"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White-only residents</w:t>
            </w:r>
          </w:p>
        </w:tc>
        <w:tc>
          <w:tcPr>
            <w:tcW w:w="2298" w:type="dxa"/>
            <w:hideMark/>
          </w:tcPr>
          <w:p w14:paraId="7A6472D5" w14:textId="475F7CDF"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0.0742***</w:t>
            </w:r>
          </w:p>
        </w:tc>
        <w:tc>
          <w:tcPr>
            <w:tcW w:w="2096" w:type="dxa"/>
            <w:hideMark/>
          </w:tcPr>
          <w:p w14:paraId="7A965833" w14:textId="6642253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0.115***</w:t>
            </w:r>
          </w:p>
        </w:tc>
        <w:tc>
          <w:tcPr>
            <w:tcW w:w="2324" w:type="dxa"/>
            <w:hideMark/>
          </w:tcPr>
          <w:p w14:paraId="74C2A26C" w14:textId="6DFB9BD2"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0.0683***</w:t>
            </w:r>
          </w:p>
        </w:tc>
      </w:tr>
      <w:tr w:rsidR="00787171" w:rsidRPr="00787171" w14:paraId="7C836C85" w14:textId="77777777" w:rsidTr="0035006A">
        <w:trPr>
          <w:jc w:val="center"/>
        </w:trPr>
        <w:tc>
          <w:tcPr>
            <w:tcW w:w="2832" w:type="dxa"/>
          </w:tcPr>
          <w:p w14:paraId="03C6FA57"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037E7C6E" w14:textId="50925274"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(0.0176)</w:t>
            </w:r>
          </w:p>
        </w:tc>
        <w:tc>
          <w:tcPr>
            <w:tcW w:w="2096" w:type="dxa"/>
            <w:hideMark/>
          </w:tcPr>
          <w:p w14:paraId="26782A81" w14:textId="6BD1C388"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(0.0194)</w:t>
            </w:r>
          </w:p>
        </w:tc>
        <w:tc>
          <w:tcPr>
            <w:tcW w:w="2324" w:type="dxa"/>
            <w:hideMark/>
          </w:tcPr>
          <w:p w14:paraId="6B036696" w14:textId="693D0DE8"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(0.0140)</w:t>
            </w:r>
          </w:p>
        </w:tc>
      </w:tr>
      <w:tr w:rsidR="00787171" w:rsidRPr="00787171" w14:paraId="0A3B1C8C" w14:textId="77777777" w:rsidTr="0035006A">
        <w:trPr>
          <w:jc w:val="center"/>
        </w:trPr>
        <w:tc>
          <w:tcPr>
            <w:tcW w:w="2832" w:type="dxa"/>
            <w:hideMark/>
          </w:tcPr>
          <w:p w14:paraId="58E71709" w14:textId="62DD3FD0"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Bachelor or more</w:t>
            </w:r>
          </w:p>
        </w:tc>
        <w:tc>
          <w:tcPr>
            <w:tcW w:w="2298" w:type="dxa"/>
            <w:hideMark/>
          </w:tcPr>
          <w:p w14:paraId="346BA3B0" w14:textId="76650EE2"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0.352***</w:t>
            </w:r>
          </w:p>
        </w:tc>
        <w:tc>
          <w:tcPr>
            <w:tcW w:w="2096" w:type="dxa"/>
            <w:hideMark/>
          </w:tcPr>
          <w:p w14:paraId="2073749A" w14:textId="720C0E2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0.422***</w:t>
            </w:r>
          </w:p>
        </w:tc>
        <w:tc>
          <w:tcPr>
            <w:tcW w:w="2324" w:type="dxa"/>
            <w:hideMark/>
          </w:tcPr>
          <w:p w14:paraId="084CED5F" w14:textId="1F69348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0.254***</w:t>
            </w:r>
          </w:p>
        </w:tc>
      </w:tr>
      <w:tr w:rsidR="00787171" w:rsidRPr="00787171" w14:paraId="59D549CF" w14:textId="77777777" w:rsidTr="0035006A">
        <w:trPr>
          <w:jc w:val="center"/>
        </w:trPr>
        <w:tc>
          <w:tcPr>
            <w:tcW w:w="2832" w:type="dxa"/>
          </w:tcPr>
          <w:p w14:paraId="18C2E1D5"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075E59FC" w14:textId="56A5C5E4"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(0.0842)</w:t>
            </w:r>
          </w:p>
        </w:tc>
        <w:tc>
          <w:tcPr>
            <w:tcW w:w="2096" w:type="dxa"/>
            <w:hideMark/>
          </w:tcPr>
          <w:p w14:paraId="49AED577" w14:textId="5C266A63"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(0.103)</w:t>
            </w:r>
          </w:p>
        </w:tc>
        <w:tc>
          <w:tcPr>
            <w:tcW w:w="2324" w:type="dxa"/>
            <w:hideMark/>
          </w:tcPr>
          <w:p w14:paraId="5340038E" w14:textId="5CA81D1E"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(0.0584)</w:t>
            </w:r>
          </w:p>
        </w:tc>
      </w:tr>
      <w:tr w:rsidR="00787171" w:rsidRPr="00787171" w14:paraId="40F3E036" w14:textId="77777777" w:rsidTr="0035006A">
        <w:trPr>
          <w:jc w:val="center"/>
        </w:trPr>
        <w:tc>
          <w:tcPr>
            <w:tcW w:w="2832" w:type="dxa"/>
            <w:hideMark/>
          </w:tcPr>
          <w:p w14:paraId="667D6144" w14:textId="560CC6C0"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Children in the HH</w:t>
            </w:r>
          </w:p>
        </w:tc>
        <w:tc>
          <w:tcPr>
            <w:tcW w:w="2298" w:type="dxa"/>
            <w:hideMark/>
          </w:tcPr>
          <w:p w14:paraId="73094A16" w14:textId="07C2153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0.0208</w:t>
            </w:r>
          </w:p>
        </w:tc>
        <w:tc>
          <w:tcPr>
            <w:tcW w:w="2096" w:type="dxa"/>
            <w:hideMark/>
          </w:tcPr>
          <w:p w14:paraId="466C2CC5" w14:textId="3830217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0.0793</w:t>
            </w:r>
          </w:p>
        </w:tc>
        <w:tc>
          <w:tcPr>
            <w:tcW w:w="2324" w:type="dxa"/>
            <w:hideMark/>
          </w:tcPr>
          <w:p w14:paraId="3EFE684B" w14:textId="1C3DDC13"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0.0311</w:t>
            </w:r>
          </w:p>
        </w:tc>
      </w:tr>
      <w:tr w:rsidR="00787171" w:rsidRPr="00787171" w14:paraId="0BE78FF9" w14:textId="77777777" w:rsidTr="0035006A">
        <w:trPr>
          <w:jc w:val="center"/>
        </w:trPr>
        <w:tc>
          <w:tcPr>
            <w:tcW w:w="2832" w:type="dxa"/>
          </w:tcPr>
          <w:p w14:paraId="66ED3EB9"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368C2782" w14:textId="3F525BB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(0.0874)</w:t>
            </w:r>
          </w:p>
        </w:tc>
        <w:tc>
          <w:tcPr>
            <w:tcW w:w="2096" w:type="dxa"/>
            <w:hideMark/>
          </w:tcPr>
          <w:p w14:paraId="39D47A12" w14:textId="35682414"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(0.117)</w:t>
            </w:r>
          </w:p>
        </w:tc>
        <w:tc>
          <w:tcPr>
            <w:tcW w:w="2324" w:type="dxa"/>
            <w:hideMark/>
          </w:tcPr>
          <w:p w14:paraId="275BE832" w14:textId="74223BD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(0.0686)</w:t>
            </w:r>
          </w:p>
        </w:tc>
      </w:tr>
      <w:tr w:rsidR="00787171" w:rsidRPr="00787171" w14:paraId="073A1EFF" w14:textId="77777777" w:rsidTr="0035006A">
        <w:trPr>
          <w:jc w:val="center"/>
        </w:trPr>
        <w:tc>
          <w:tcPr>
            <w:tcW w:w="2832" w:type="dxa"/>
            <w:hideMark/>
          </w:tcPr>
          <w:p w14:paraId="26637B36" w14:textId="02BEEBFF"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Poverty</w:t>
            </w:r>
          </w:p>
        </w:tc>
        <w:tc>
          <w:tcPr>
            <w:tcW w:w="2298" w:type="dxa"/>
            <w:hideMark/>
          </w:tcPr>
          <w:p w14:paraId="517A9DE8" w14:textId="3BB84A79"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-0.182*</w:t>
            </w:r>
          </w:p>
        </w:tc>
        <w:tc>
          <w:tcPr>
            <w:tcW w:w="2096" w:type="dxa"/>
            <w:hideMark/>
          </w:tcPr>
          <w:p w14:paraId="6808BE92" w14:textId="385E7D22"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-0.180</w:t>
            </w:r>
          </w:p>
        </w:tc>
        <w:tc>
          <w:tcPr>
            <w:tcW w:w="2324" w:type="dxa"/>
            <w:hideMark/>
          </w:tcPr>
          <w:p w14:paraId="3283D975" w14:textId="61EFD91E"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-0.210**</w:t>
            </w:r>
          </w:p>
        </w:tc>
      </w:tr>
      <w:tr w:rsidR="00787171" w:rsidRPr="00787171" w14:paraId="5AE2EC61" w14:textId="77777777" w:rsidTr="0035006A">
        <w:trPr>
          <w:jc w:val="center"/>
        </w:trPr>
        <w:tc>
          <w:tcPr>
            <w:tcW w:w="2832" w:type="dxa"/>
          </w:tcPr>
          <w:p w14:paraId="5BC3C6AC"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00A98A82" w14:textId="6611BA8B"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(0.0968)</w:t>
            </w:r>
          </w:p>
        </w:tc>
        <w:tc>
          <w:tcPr>
            <w:tcW w:w="2096" w:type="dxa"/>
            <w:hideMark/>
          </w:tcPr>
          <w:p w14:paraId="03333E6D" w14:textId="76EE0ED5"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(0.129)</w:t>
            </w:r>
          </w:p>
        </w:tc>
        <w:tc>
          <w:tcPr>
            <w:tcW w:w="2324" w:type="dxa"/>
            <w:hideMark/>
          </w:tcPr>
          <w:p w14:paraId="5FEE7A9E" w14:textId="383C66D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(0.0852)</w:t>
            </w:r>
          </w:p>
        </w:tc>
      </w:tr>
      <w:tr w:rsidR="00787171" w:rsidRPr="00787171" w14:paraId="0FDEAA5A" w14:textId="77777777" w:rsidTr="0035006A">
        <w:trPr>
          <w:jc w:val="center"/>
        </w:trPr>
        <w:tc>
          <w:tcPr>
            <w:tcW w:w="2832" w:type="dxa"/>
            <w:hideMark/>
          </w:tcPr>
          <w:p w14:paraId="4E9322D3" w14:textId="74BE0599"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Median age</w:t>
            </w:r>
          </w:p>
        </w:tc>
        <w:tc>
          <w:tcPr>
            <w:tcW w:w="2298" w:type="dxa"/>
            <w:hideMark/>
          </w:tcPr>
          <w:p w14:paraId="7DABCD78" w14:textId="57A6F539"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-0.000363</w:t>
            </w:r>
          </w:p>
        </w:tc>
        <w:tc>
          <w:tcPr>
            <w:tcW w:w="2096" w:type="dxa"/>
            <w:hideMark/>
          </w:tcPr>
          <w:p w14:paraId="42F6661C" w14:textId="0176CC3D"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-0.00102</w:t>
            </w:r>
          </w:p>
        </w:tc>
        <w:tc>
          <w:tcPr>
            <w:tcW w:w="2324" w:type="dxa"/>
            <w:hideMark/>
          </w:tcPr>
          <w:p w14:paraId="01B82135" w14:textId="3C42C405"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-0.000345</w:t>
            </w:r>
          </w:p>
        </w:tc>
      </w:tr>
      <w:tr w:rsidR="00787171" w:rsidRPr="00787171" w14:paraId="5E11A981" w14:textId="77777777" w:rsidTr="0035006A">
        <w:trPr>
          <w:jc w:val="center"/>
        </w:trPr>
        <w:tc>
          <w:tcPr>
            <w:tcW w:w="2832" w:type="dxa"/>
          </w:tcPr>
          <w:p w14:paraId="6C39E5BC"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042F4022" w14:textId="4CBE22C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(0.000818)</w:t>
            </w:r>
          </w:p>
        </w:tc>
        <w:tc>
          <w:tcPr>
            <w:tcW w:w="2096" w:type="dxa"/>
            <w:hideMark/>
          </w:tcPr>
          <w:p w14:paraId="23BBFBF2" w14:textId="289D40BB"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(0.00130)</w:t>
            </w:r>
          </w:p>
        </w:tc>
        <w:tc>
          <w:tcPr>
            <w:tcW w:w="2324" w:type="dxa"/>
            <w:hideMark/>
          </w:tcPr>
          <w:p w14:paraId="7DBD311A" w14:textId="44761061"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(0.000679)</w:t>
            </w:r>
          </w:p>
        </w:tc>
      </w:tr>
      <w:tr w:rsidR="00787171" w:rsidRPr="00787171" w14:paraId="0BA93579" w14:textId="77777777" w:rsidTr="0035006A">
        <w:trPr>
          <w:jc w:val="center"/>
        </w:trPr>
        <w:tc>
          <w:tcPr>
            <w:tcW w:w="2832" w:type="dxa"/>
            <w:hideMark/>
          </w:tcPr>
          <w:p w14:paraId="66A0ABD4"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Constant</w:t>
            </w:r>
          </w:p>
        </w:tc>
        <w:tc>
          <w:tcPr>
            <w:tcW w:w="2298" w:type="dxa"/>
            <w:hideMark/>
          </w:tcPr>
          <w:p w14:paraId="3CECC86C" w14:textId="5FC151B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0.522***</w:t>
            </w:r>
          </w:p>
        </w:tc>
        <w:tc>
          <w:tcPr>
            <w:tcW w:w="2096" w:type="dxa"/>
            <w:hideMark/>
          </w:tcPr>
          <w:p w14:paraId="62D199FE" w14:textId="5FBBF31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0.469***</w:t>
            </w:r>
          </w:p>
        </w:tc>
        <w:tc>
          <w:tcPr>
            <w:tcW w:w="2324" w:type="dxa"/>
            <w:hideMark/>
          </w:tcPr>
          <w:p w14:paraId="1E0D9F69" w14:textId="3294E50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0.552***</w:t>
            </w:r>
          </w:p>
        </w:tc>
      </w:tr>
      <w:tr w:rsidR="00787171" w:rsidRPr="00787171" w14:paraId="5EB2EE8A" w14:textId="77777777" w:rsidTr="0035006A">
        <w:trPr>
          <w:jc w:val="center"/>
        </w:trPr>
        <w:tc>
          <w:tcPr>
            <w:tcW w:w="2832" w:type="dxa"/>
          </w:tcPr>
          <w:p w14:paraId="75750A84"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26216690" w14:textId="0C147D35"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(0.0619)</w:t>
            </w:r>
          </w:p>
        </w:tc>
        <w:tc>
          <w:tcPr>
            <w:tcW w:w="2096" w:type="dxa"/>
            <w:hideMark/>
          </w:tcPr>
          <w:p w14:paraId="6A68587C" w14:textId="609099E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(0.0985)</w:t>
            </w:r>
          </w:p>
        </w:tc>
        <w:tc>
          <w:tcPr>
            <w:tcW w:w="2324" w:type="dxa"/>
            <w:hideMark/>
          </w:tcPr>
          <w:p w14:paraId="40177366" w14:textId="55F609A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(0.0572)</w:t>
            </w:r>
          </w:p>
        </w:tc>
      </w:tr>
      <w:tr w:rsidR="00787171" w:rsidRPr="00787171" w14:paraId="14329DF4" w14:textId="77777777" w:rsidTr="0035006A">
        <w:trPr>
          <w:jc w:val="center"/>
        </w:trPr>
        <w:tc>
          <w:tcPr>
            <w:tcW w:w="2832" w:type="dxa"/>
          </w:tcPr>
          <w:p w14:paraId="1175FFD9"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tcPr>
          <w:p w14:paraId="76E4E7E5" w14:textId="77777777" w:rsidR="00787171" w:rsidRPr="00787171" w:rsidRDefault="00787171" w:rsidP="00787171">
            <w:pPr>
              <w:widowControl w:val="0"/>
              <w:autoSpaceDE w:val="0"/>
              <w:autoSpaceDN w:val="0"/>
              <w:adjustRightInd w:val="0"/>
              <w:spacing w:after="0" w:line="240" w:lineRule="auto"/>
              <w:jc w:val="center"/>
              <w:rPr>
                <w:rFonts w:cstheme="minorHAnsi"/>
                <w:sz w:val="20"/>
                <w:szCs w:val="20"/>
              </w:rPr>
            </w:pPr>
          </w:p>
        </w:tc>
        <w:tc>
          <w:tcPr>
            <w:tcW w:w="2096" w:type="dxa"/>
          </w:tcPr>
          <w:p w14:paraId="46A121A5" w14:textId="77777777" w:rsidR="00787171" w:rsidRPr="00787171" w:rsidRDefault="00787171" w:rsidP="00787171">
            <w:pPr>
              <w:widowControl w:val="0"/>
              <w:autoSpaceDE w:val="0"/>
              <w:autoSpaceDN w:val="0"/>
              <w:adjustRightInd w:val="0"/>
              <w:spacing w:after="0" w:line="240" w:lineRule="auto"/>
              <w:jc w:val="center"/>
              <w:rPr>
                <w:rFonts w:cstheme="minorHAnsi"/>
                <w:sz w:val="20"/>
                <w:szCs w:val="20"/>
              </w:rPr>
            </w:pPr>
          </w:p>
        </w:tc>
        <w:tc>
          <w:tcPr>
            <w:tcW w:w="2324" w:type="dxa"/>
          </w:tcPr>
          <w:p w14:paraId="2E948EAF" w14:textId="77777777" w:rsidR="00787171" w:rsidRPr="00787171" w:rsidRDefault="00787171" w:rsidP="00787171">
            <w:pPr>
              <w:widowControl w:val="0"/>
              <w:autoSpaceDE w:val="0"/>
              <w:autoSpaceDN w:val="0"/>
              <w:adjustRightInd w:val="0"/>
              <w:spacing w:after="0" w:line="240" w:lineRule="auto"/>
              <w:jc w:val="center"/>
              <w:rPr>
                <w:rFonts w:cstheme="minorHAnsi"/>
                <w:sz w:val="20"/>
                <w:szCs w:val="20"/>
              </w:rPr>
            </w:pPr>
          </w:p>
        </w:tc>
      </w:tr>
      <w:tr w:rsidR="00787171" w:rsidRPr="00787171" w14:paraId="0F9AA79B" w14:textId="77777777" w:rsidTr="0035006A">
        <w:trPr>
          <w:jc w:val="center"/>
        </w:trPr>
        <w:tc>
          <w:tcPr>
            <w:tcW w:w="2832" w:type="dxa"/>
            <w:hideMark/>
          </w:tcPr>
          <w:p w14:paraId="74E24CF7"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Observations</w:t>
            </w:r>
          </w:p>
        </w:tc>
        <w:tc>
          <w:tcPr>
            <w:tcW w:w="2298" w:type="dxa"/>
            <w:hideMark/>
          </w:tcPr>
          <w:p w14:paraId="28AF89D5" w14:textId="72592DD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602</w:t>
            </w:r>
          </w:p>
        </w:tc>
        <w:tc>
          <w:tcPr>
            <w:tcW w:w="2096" w:type="dxa"/>
            <w:hideMark/>
          </w:tcPr>
          <w:p w14:paraId="71476BA5" w14:textId="7CE9605B"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309</w:t>
            </w:r>
          </w:p>
        </w:tc>
        <w:tc>
          <w:tcPr>
            <w:tcW w:w="2324" w:type="dxa"/>
            <w:hideMark/>
          </w:tcPr>
          <w:p w14:paraId="5BF98CC7" w14:textId="63CDF8A5"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985</w:t>
            </w:r>
          </w:p>
        </w:tc>
      </w:tr>
      <w:tr w:rsidR="00787171" w:rsidRPr="00787171" w14:paraId="3C46B930" w14:textId="77777777" w:rsidTr="0035006A">
        <w:trPr>
          <w:jc w:val="center"/>
        </w:trPr>
        <w:tc>
          <w:tcPr>
            <w:tcW w:w="2832" w:type="dxa"/>
            <w:tcBorders>
              <w:top w:val="nil"/>
              <w:left w:val="nil"/>
              <w:bottom w:val="single" w:sz="6" w:space="0" w:color="auto"/>
              <w:right w:val="nil"/>
            </w:tcBorders>
            <w:hideMark/>
          </w:tcPr>
          <w:p w14:paraId="3B1C9BB5"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R-squared</w:t>
            </w:r>
          </w:p>
        </w:tc>
        <w:tc>
          <w:tcPr>
            <w:tcW w:w="2298" w:type="dxa"/>
            <w:tcBorders>
              <w:top w:val="nil"/>
              <w:left w:val="nil"/>
              <w:bottom w:val="single" w:sz="6" w:space="0" w:color="auto"/>
              <w:right w:val="nil"/>
            </w:tcBorders>
            <w:hideMark/>
          </w:tcPr>
          <w:p w14:paraId="538E43A6" w14:textId="01DFF8E8"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0.482</w:t>
            </w:r>
          </w:p>
        </w:tc>
        <w:tc>
          <w:tcPr>
            <w:tcW w:w="2096" w:type="dxa"/>
            <w:tcBorders>
              <w:top w:val="nil"/>
              <w:left w:val="nil"/>
              <w:bottom w:val="single" w:sz="6" w:space="0" w:color="auto"/>
              <w:right w:val="nil"/>
            </w:tcBorders>
            <w:hideMark/>
          </w:tcPr>
          <w:p w14:paraId="13C6096E" w14:textId="64038021"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0.411</w:t>
            </w:r>
          </w:p>
        </w:tc>
        <w:tc>
          <w:tcPr>
            <w:tcW w:w="2324" w:type="dxa"/>
            <w:tcBorders>
              <w:top w:val="nil"/>
              <w:left w:val="nil"/>
              <w:bottom w:val="single" w:sz="6" w:space="0" w:color="auto"/>
              <w:right w:val="nil"/>
            </w:tcBorders>
            <w:hideMark/>
          </w:tcPr>
          <w:p w14:paraId="2F64776F" w14:textId="33B37AC5"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0.492</w:t>
            </w:r>
          </w:p>
        </w:tc>
      </w:tr>
    </w:tbl>
    <w:p w14:paraId="2866B4EF" w14:textId="23E9A6A1" w:rsidR="00787A53" w:rsidRPr="0018628C" w:rsidRDefault="00787A53" w:rsidP="00787A53">
      <w:pPr>
        <w:widowControl w:val="0"/>
        <w:autoSpaceDE w:val="0"/>
        <w:autoSpaceDN w:val="0"/>
        <w:adjustRightInd w:val="0"/>
        <w:spacing w:after="0" w:line="240" w:lineRule="auto"/>
        <w:rPr>
          <w:rFonts w:cstheme="minorHAnsi"/>
          <w:sz w:val="20"/>
          <w:szCs w:val="20"/>
        </w:rPr>
      </w:pPr>
      <w:r w:rsidRPr="0018628C">
        <w:rPr>
          <w:rFonts w:cstheme="minorHAnsi"/>
          <w:sz w:val="20"/>
          <w:szCs w:val="20"/>
        </w:rPr>
        <w:t>Robust standard errors in parentheses</w:t>
      </w:r>
    </w:p>
    <w:p w14:paraId="073804DA" w14:textId="77777777" w:rsidR="00787A53" w:rsidRPr="0018628C" w:rsidRDefault="00787A53" w:rsidP="00787A53">
      <w:pPr>
        <w:widowControl w:val="0"/>
        <w:autoSpaceDE w:val="0"/>
        <w:autoSpaceDN w:val="0"/>
        <w:adjustRightInd w:val="0"/>
        <w:spacing w:after="0" w:line="240" w:lineRule="auto"/>
        <w:rPr>
          <w:rFonts w:cstheme="minorHAnsi"/>
          <w:sz w:val="20"/>
          <w:szCs w:val="20"/>
        </w:rPr>
      </w:pPr>
      <w:r w:rsidRPr="0018628C">
        <w:rPr>
          <w:rFonts w:cstheme="minorHAnsi"/>
          <w:sz w:val="20"/>
          <w:szCs w:val="20"/>
        </w:rPr>
        <w:t>*** p&lt;0.01, ** p&lt;0.05, * p&lt;0.1</w:t>
      </w:r>
    </w:p>
    <w:p w14:paraId="0B1ED260" w14:textId="77777777" w:rsidR="00787A53" w:rsidRDefault="00787A53" w:rsidP="00787A53"/>
    <w:p w14:paraId="618299F5" w14:textId="3D8407C0" w:rsidR="008C239E" w:rsidRDefault="00787A53" w:rsidP="00787A53">
      <w:r>
        <w:t xml:space="preserve">The key </w:t>
      </w:r>
      <w:r w:rsidR="00406A46">
        <w:t>result from Table 1</w:t>
      </w:r>
      <w:r w:rsidR="003D3493">
        <w:t xml:space="preserve"> (model 1)</w:t>
      </w:r>
      <w:r>
        <w:t xml:space="preserve"> is that </w:t>
      </w:r>
      <w:r w:rsidR="008C7801">
        <w:t xml:space="preserve">the </w:t>
      </w:r>
      <w:r w:rsidR="00BC512A">
        <w:t xml:space="preserve">countywide </w:t>
      </w:r>
      <w:r w:rsidR="008C7801">
        <w:t xml:space="preserve">availability of ACP-supported </w:t>
      </w:r>
      <w:r w:rsidR="00BC512A">
        <w:t xml:space="preserve">fixed </w:t>
      </w:r>
      <w:r w:rsidR="008C7801">
        <w:t xml:space="preserve">services in a county is associated with an increase </w:t>
      </w:r>
      <w:r>
        <w:t>in the share of households with broadband and a computer</w:t>
      </w:r>
      <w:r w:rsidR="00787171">
        <w:t xml:space="preserve"> of about 3</w:t>
      </w:r>
      <w:r w:rsidR="00406A46">
        <w:t xml:space="preserve"> percentage points</w:t>
      </w:r>
      <w:r w:rsidR="008C7801">
        <w:t xml:space="preserve">, relative to </w:t>
      </w:r>
      <w:r w:rsidR="000E3A3E">
        <w:t>underserved</w:t>
      </w:r>
      <w:r w:rsidR="008C7801">
        <w:t xml:space="preserve"> counties where the availability of ACP-supported services is lacking.</w:t>
      </w:r>
      <w:r w:rsidR="003D3493">
        <w:t xml:space="preserve"> </w:t>
      </w:r>
      <w:r w:rsidR="008C239E">
        <w:t>This represents a</w:t>
      </w:r>
      <w:r w:rsidR="003D3493">
        <w:t>n increase</w:t>
      </w:r>
      <w:r w:rsidR="00787171">
        <w:t xml:space="preserve"> of about 4.5</w:t>
      </w:r>
      <w:r w:rsidR="008C239E">
        <w:t xml:space="preserve">% relative to the </w:t>
      </w:r>
      <w:r w:rsidR="0002388D">
        <w:t xml:space="preserve">sample </w:t>
      </w:r>
      <w:r w:rsidR="00A8569F">
        <w:t xml:space="preserve">average </w:t>
      </w:r>
      <w:r w:rsidR="008C239E">
        <w:t xml:space="preserve">in </w:t>
      </w:r>
      <w:r w:rsidR="000E3A3E">
        <w:t>underserved</w:t>
      </w:r>
      <w:r w:rsidR="003D3493">
        <w:t xml:space="preserve"> areas</w:t>
      </w:r>
      <w:r w:rsidR="00787171">
        <w:t xml:space="preserve"> (69.8</w:t>
      </w:r>
      <w:r w:rsidR="008C239E">
        <w:t xml:space="preserve">%). </w:t>
      </w:r>
      <w:r w:rsidR="003D3493">
        <w:t xml:space="preserve">In models 2 and 3 we test for the sensitivity of this result to different income thresholds to </w:t>
      </w:r>
      <w:r w:rsidR="007E4AAE">
        <w:t xml:space="preserve">identify </w:t>
      </w:r>
      <w:r w:rsidR="003D3493">
        <w:t xml:space="preserve">low-income counties. </w:t>
      </w:r>
      <w:r w:rsidR="008C239E">
        <w:t xml:space="preserve">As </w:t>
      </w:r>
      <w:r w:rsidR="003D3493">
        <w:t>expected,</w:t>
      </w:r>
      <w:r w:rsidR="008C239E">
        <w:t xml:space="preserve"> the number of observations (counties) </w:t>
      </w:r>
      <w:r w:rsidR="00BC512A">
        <w:t>increases significantly at $55,000/year</w:t>
      </w:r>
      <w:r w:rsidR="008C239E">
        <w:t>,</w:t>
      </w:r>
      <w:r w:rsidR="00BC512A">
        <w:t xml:space="preserve"> and drops by about half at $45,000/year</w:t>
      </w:r>
      <w:r w:rsidR="008C239E">
        <w:t>. However, the coefficient of interest varies only slightly, thus validating the main result.</w:t>
      </w:r>
    </w:p>
    <w:p w14:paraId="3491213C" w14:textId="3FC95C50" w:rsidR="0021484C" w:rsidRDefault="00396220" w:rsidP="00787A53">
      <w:r>
        <w:t>For further validation</w:t>
      </w:r>
      <w:r w:rsidR="005672AD">
        <w:t>,</w:t>
      </w:r>
      <w:r w:rsidR="0021484C">
        <w:t xml:space="preserve"> we re-estimate the model</w:t>
      </w:r>
      <w:r w:rsidR="00F76D21">
        <w:t>s above</w:t>
      </w:r>
      <w:r w:rsidR="0021484C">
        <w:t xml:space="preserve"> </w:t>
      </w:r>
      <w:r>
        <w:t xml:space="preserve">using </w:t>
      </w:r>
      <w:r w:rsidRPr="0002388D">
        <w:rPr>
          <w:u w:val="single"/>
        </w:rPr>
        <w:t>all counties</w:t>
      </w:r>
      <w:r w:rsidR="002E7A6E">
        <w:t xml:space="preserve"> in our dataset</w:t>
      </w:r>
      <w:r>
        <w:t xml:space="preserve"> but limiting the outcome v</w:t>
      </w:r>
      <w:r w:rsidR="00BC512A">
        <w:t>ariable to households below $35,000</w:t>
      </w:r>
      <w:r>
        <w:t>/</w:t>
      </w:r>
      <w:r w:rsidR="00BC512A">
        <w:t>year</w:t>
      </w:r>
      <w:r>
        <w:t xml:space="preserve"> </w:t>
      </w:r>
      <w:r w:rsidR="00BC512A">
        <w:t>(model 1) and below $50,000/year</w:t>
      </w:r>
      <w:r>
        <w:t xml:space="preserve"> (model 2). It is important to note </w:t>
      </w:r>
      <w:r w:rsidR="00F76D21">
        <w:t xml:space="preserve">that the estimations in Table 2 </w:t>
      </w:r>
      <w:r>
        <w:t xml:space="preserve">differ from the approach in Table 1, in which the </w:t>
      </w:r>
      <w:r>
        <w:lastRenderedPageBreak/>
        <w:t xml:space="preserve">outcome variable includes </w:t>
      </w:r>
      <w:r w:rsidRPr="0002388D">
        <w:rPr>
          <w:u w:val="single"/>
        </w:rPr>
        <w:t>all households</w:t>
      </w:r>
      <w:r>
        <w:t xml:space="preserve"> </w:t>
      </w:r>
      <w:r w:rsidR="00787171">
        <w:t xml:space="preserve">in a county </w:t>
      </w:r>
      <w:r>
        <w:t xml:space="preserve">but the </w:t>
      </w:r>
      <w:r w:rsidR="00E130C0">
        <w:t>sample is restricted</w:t>
      </w:r>
      <w:r>
        <w:t xml:space="preserve"> to low-income counties.</w:t>
      </w:r>
      <w:r w:rsidR="00D46C9A">
        <w:t xml:space="preserve"> Due to limitations in the data available </w:t>
      </w:r>
      <w:r w:rsidR="00526D97">
        <w:t>from</w:t>
      </w:r>
      <w:r w:rsidR="00D46C9A">
        <w:t xml:space="preserve"> the </w:t>
      </w:r>
      <w:r w:rsidR="002E7A6E">
        <w:t>Census Bureau</w:t>
      </w:r>
      <w:r w:rsidR="00D46C9A">
        <w:t xml:space="preserve">, the outcome variable </w:t>
      </w:r>
      <w:r w:rsidR="00F76D21">
        <w:t xml:space="preserve">in the models below </w:t>
      </w:r>
      <w:r w:rsidR="00D46C9A">
        <w:t>does not account for the presence of a computing device.</w:t>
      </w:r>
    </w:p>
    <w:p w14:paraId="621E1351" w14:textId="77777777" w:rsidR="00F76D21" w:rsidRDefault="00F76D21" w:rsidP="00787A53"/>
    <w:p w14:paraId="3C0B0137" w14:textId="0A3B3224" w:rsidR="0021484C" w:rsidRPr="00066E70" w:rsidRDefault="0021484C" w:rsidP="00787A53">
      <w:pPr>
        <w:rPr>
          <w:i/>
        </w:rPr>
      </w:pPr>
      <w:r w:rsidRPr="00066E70">
        <w:rPr>
          <w:i/>
        </w:rPr>
        <w:t xml:space="preserve">Table 2: </w:t>
      </w:r>
      <w:r w:rsidR="00E130C0" w:rsidRPr="00066E70">
        <w:rPr>
          <w:i/>
        </w:rPr>
        <w:t xml:space="preserve">Share of households with broadband (any type), different </w:t>
      </w:r>
      <w:r w:rsidR="00847BA3" w:rsidRPr="00066E70">
        <w:rPr>
          <w:i/>
        </w:rPr>
        <w:t xml:space="preserve">household </w:t>
      </w:r>
      <w:r w:rsidR="00E130C0" w:rsidRPr="00066E70">
        <w:rPr>
          <w:i/>
        </w:rPr>
        <w:t>income thresholds.</w:t>
      </w:r>
    </w:p>
    <w:tbl>
      <w:tblPr>
        <w:tblW w:w="7380" w:type="dxa"/>
        <w:jc w:val="center"/>
        <w:tblLayout w:type="fixed"/>
        <w:tblCellMar>
          <w:left w:w="75" w:type="dxa"/>
          <w:right w:w="75" w:type="dxa"/>
        </w:tblCellMar>
        <w:tblLook w:val="04A0" w:firstRow="1" w:lastRow="0" w:firstColumn="1" w:lastColumn="0" w:noHBand="0" w:noVBand="1"/>
      </w:tblPr>
      <w:tblGrid>
        <w:gridCol w:w="2832"/>
        <w:gridCol w:w="2298"/>
        <w:gridCol w:w="2250"/>
      </w:tblGrid>
      <w:tr w:rsidR="0021484C" w:rsidRPr="002E7A6E" w14:paraId="61219641" w14:textId="77777777" w:rsidTr="00847BA3">
        <w:trPr>
          <w:jc w:val="center"/>
        </w:trPr>
        <w:tc>
          <w:tcPr>
            <w:tcW w:w="2832" w:type="dxa"/>
            <w:tcBorders>
              <w:top w:val="single" w:sz="6" w:space="0" w:color="auto"/>
              <w:left w:val="nil"/>
              <w:bottom w:val="nil"/>
              <w:right w:val="nil"/>
            </w:tcBorders>
          </w:tcPr>
          <w:p w14:paraId="5537A8F9" w14:textId="77777777" w:rsidR="0021484C" w:rsidRPr="002E7A6E" w:rsidRDefault="0021484C" w:rsidP="0021484C">
            <w:pPr>
              <w:widowControl w:val="0"/>
              <w:autoSpaceDE w:val="0"/>
              <w:autoSpaceDN w:val="0"/>
              <w:adjustRightInd w:val="0"/>
              <w:spacing w:after="0" w:line="240" w:lineRule="auto"/>
              <w:rPr>
                <w:rFonts w:cstheme="minorHAnsi"/>
                <w:sz w:val="20"/>
                <w:szCs w:val="20"/>
              </w:rPr>
            </w:pPr>
          </w:p>
        </w:tc>
        <w:tc>
          <w:tcPr>
            <w:tcW w:w="2298" w:type="dxa"/>
            <w:tcBorders>
              <w:top w:val="single" w:sz="6" w:space="0" w:color="auto"/>
              <w:left w:val="nil"/>
              <w:bottom w:val="nil"/>
              <w:right w:val="nil"/>
            </w:tcBorders>
            <w:hideMark/>
          </w:tcPr>
          <w:p w14:paraId="535A2C13" w14:textId="77777777" w:rsidR="0021484C" w:rsidRPr="002E7A6E" w:rsidRDefault="0021484C" w:rsidP="0021484C">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(1)</w:t>
            </w:r>
          </w:p>
        </w:tc>
        <w:tc>
          <w:tcPr>
            <w:tcW w:w="2250" w:type="dxa"/>
            <w:tcBorders>
              <w:top w:val="single" w:sz="6" w:space="0" w:color="auto"/>
              <w:left w:val="nil"/>
              <w:bottom w:val="nil"/>
              <w:right w:val="nil"/>
            </w:tcBorders>
            <w:hideMark/>
          </w:tcPr>
          <w:p w14:paraId="4559CA04" w14:textId="77777777" w:rsidR="0021484C" w:rsidRPr="002E7A6E" w:rsidRDefault="0021484C" w:rsidP="0021484C">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(2)</w:t>
            </w:r>
          </w:p>
        </w:tc>
      </w:tr>
      <w:tr w:rsidR="0021484C" w:rsidRPr="002E7A6E" w14:paraId="3E820500" w14:textId="77777777" w:rsidTr="00847BA3">
        <w:trPr>
          <w:jc w:val="center"/>
        </w:trPr>
        <w:tc>
          <w:tcPr>
            <w:tcW w:w="2832" w:type="dxa"/>
            <w:tcBorders>
              <w:top w:val="nil"/>
              <w:left w:val="nil"/>
              <w:bottom w:val="single" w:sz="6" w:space="0" w:color="auto"/>
              <w:right w:val="nil"/>
            </w:tcBorders>
            <w:hideMark/>
          </w:tcPr>
          <w:p w14:paraId="608E1F1E" w14:textId="77777777" w:rsidR="0021484C" w:rsidRPr="002E7A6E" w:rsidRDefault="0021484C" w:rsidP="0021484C">
            <w:pPr>
              <w:widowControl w:val="0"/>
              <w:autoSpaceDE w:val="0"/>
              <w:autoSpaceDN w:val="0"/>
              <w:adjustRightInd w:val="0"/>
              <w:spacing w:after="0" w:line="240" w:lineRule="auto"/>
              <w:rPr>
                <w:rFonts w:cstheme="minorHAnsi"/>
                <w:sz w:val="20"/>
                <w:szCs w:val="20"/>
              </w:rPr>
            </w:pPr>
            <w:r w:rsidRPr="002E7A6E">
              <w:rPr>
                <w:rFonts w:cstheme="minorHAnsi"/>
                <w:sz w:val="20"/>
                <w:szCs w:val="20"/>
              </w:rPr>
              <w:t>VARIABLES</w:t>
            </w:r>
          </w:p>
        </w:tc>
        <w:tc>
          <w:tcPr>
            <w:tcW w:w="2298" w:type="dxa"/>
            <w:tcBorders>
              <w:top w:val="nil"/>
              <w:left w:val="nil"/>
              <w:bottom w:val="single" w:sz="6" w:space="0" w:color="auto"/>
              <w:right w:val="nil"/>
            </w:tcBorders>
            <w:hideMark/>
          </w:tcPr>
          <w:p w14:paraId="474CA421" w14:textId="3F019010" w:rsidR="0021484C" w:rsidRPr="002E7A6E" w:rsidRDefault="0021484C" w:rsidP="0021484C">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 xml:space="preserve">Broadband (any) </w:t>
            </w:r>
            <w:r w:rsidR="00847BA3" w:rsidRPr="002E7A6E">
              <w:rPr>
                <w:rFonts w:cstheme="minorHAnsi"/>
                <w:sz w:val="20"/>
                <w:szCs w:val="20"/>
              </w:rPr>
              <w:t xml:space="preserve">for HHs below </w:t>
            </w:r>
            <w:r w:rsidRPr="002E7A6E">
              <w:rPr>
                <w:rFonts w:cstheme="minorHAnsi"/>
                <w:sz w:val="20"/>
                <w:szCs w:val="20"/>
              </w:rPr>
              <w:t>$35K income</w:t>
            </w:r>
          </w:p>
        </w:tc>
        <w:tc>
          <w:tcPr>
            <w:tcW w:w="2250" w:type="dxa"/>
            <w:tcBorders>
              <w:top w:val="nil"/>
              <w:left w:val="nil"/>
              <w:bottom w:val="single" w:sz="6" w:space="0" w:color="auto"/>
              <w:right w:val="nil"/>
            </w:tcBorders>
            <w:hideMark/>
          </w:tcPr>
          <w:p w14:paraId="624164D9" w14:textId="129A471E" w:rsidR="0021484C" w:rsidRPr="002E7A6E" w:rsidRDefault="0021484C" w:rsidP="0021484C">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Broadband (any) for</w:t>
            </w:r>
            <w:r w:rsidR="00847BA3" w:rsidRPr="002E7A6E">
              <w:rPr>
                <w:rFonts w:cstheme="minorHAnsi"/>
                <w:sz w:val="20"/>
                <w:szCs w:val="20"/>
              </w:rPr>
              <w:t xml:space="preserve"> HHs below</w:t>
            </w:r>
            <w:r w:rsidRPr="002E7A6E">
              <w:rPr>
                <w:rFonts w:cstheme="minorHAnsi"/>
                <w:sz w:val="20"/>
                <w:szCs w:val="20"/>
              </w:rPr>
              <w:t xml:space="preserve"> $50K income</w:t>
            </w:r>
          </w:p>
        </w:tc>
      </w:tr>
      <w:tr w:rsidR="002E7A6E" w:rsidRPr="002E7A6E" w14:paraId="0D7DE5E6" w14:textId="77777777" w:rsidTr="00847BA3">
        <w:trPr>
          <w:jc w:val="center"/>
        </w:trPr>
        <w:tc>
          <w:tcPr>
            <w:tcW w:w="2832" w:type="dxa"/>
            <w:hideMark/>
          </w:tcPr>
          <w:p w14:paraId="1D06B855" w14:textId="101F9250" w:rsidR="002E7A6E" w:rsidRPr="002E7A6E" w:rsidRDefault="0002388D" w:rsidP="002E7A6E">
            <w:pPr>
              <w:widowControl w:val="0"/>
              <w:autoSpaceDE w:val="0"/>
              <w:autoSpaceDN w:val="0"/>
              <w:adjustRightInd w:val="0"/>
              <w:spacing w:after="0" w:line="240" w:lineRule="auto"/>
              <w:rPr>
                <w:rFonts w:cstheme="minorHAnsi"/>
                <w:b/>
                <w:sz w:val="20"/>
                <w:szCs w:val="20"/>
              </w:rPr>
            </w:pPr>
            <w:r>
              <w:rPr>
                <w:rFonts w:cstheme="minorHAnsi"/>
                <w:b/>
                <w:sz w:val="20"/>
                <w:szCs w:val="20"/>
              </w:rPr>
              <w:t>Served</w:t>
            </w:r>
            <w:r w:rsidR="002E7A6E" w:rsidRPr="002E7A6E">
              <w:rPr>
                <w:rFonts w:cstheme="minorHAnsi"/>
                <w:b/>
                <w:sz w:val="20"/>
                <w:szCs w:val="20"/>
              </w:rPr>
              <w:t xml:space="preserve"> (yes=1)</w:t>
            </w:r>
          </w:p>
        </w:tc>
        <w:tc>
          <w:tcPr>
            <w:tcW w:w="2298" w:type="dxa"/>
            <w:hideMark/>
          </w:tcPr>
          <w:p w14:paraId="25DA4B81" w14:textId="2DE33883" w:rsidR="002E7A6E" w:rsidRPr="00BC512A" w:rsidRDefault="002E7A6E" w:rsidP="002E7A6E">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0.0443***</w:t>
            </w:r>
          </w:p>
        </w:tc>
        <w:tc>
          <w:tcPr>
            <w:tcW w:w="2250" w:type="dxa"/>
            <w:hideMark/>
          </w:tcPr>
          <w:p w14:paraId="428F574D" w14:textId="57D3F5AB" w:rsidR="002E7A6E" w:rsidRPr="00BC512A" w:rsidRDefault="002E7A6E" w:rsidP="002E7A6E">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0.0441***</w:t>
            </w:r>
          </w:p>
        </w:tc>
      </w:tr>
      <w:tr w:rsidR="002E7A6E" w:rsidRPr="002E7A6E" w14:paraId="153FC12B" w14:textId="77777777" w:rsidTr="00847BA3">
        <w:trPr>
          <w:jc w:val="center"/>
        </w:trPr>
        <w:tc>
          <w:tcPr>
            <w:tcW w:w="2832" w:type="dxa"/>
          </w:tcPr>
          <w:p w14:paraId="31E9537D" w14:textId="77777777" w:rsidR="002E7A6E" w:rsidRPr="002E7A6E" w:rsidRDefault="002E7A6E" w:rsidP="002E7A6E">
            <w:pPr>
              <w:widowControl w:val="0"/>
              <w:autoSpaceDE w:val="0"/>
              <w:autoSpaceDN w:val="0"/>
              <w:adjustRightInd w:val="0"/>
              <w:spacing w:after="0" w:line="240" w:lineRule="auto"/>
              <w:rPr>
                <w:rFonts w:cstheme="minorHAnsi"/>
                <w:b/>
                <w:sz w:val="20"/>
                <w:szCs w:val="20"/>
              </w:rPr>
            </w:pPr>
          </w:p>
        </w:tc>
        <w:tc>
          <w:tcPr>
            <w:tcW w:w="2298" w:type="dxa"/>
            <w:hideMark/>
          </w:tcPr>
          <w:p w14:paraId="5F34BF52" w14:textId="698DD697" w:rsidR="002E7A6E" w:rsidRPr="00BC512A" w:rsidRDefault="002E7A6E" w:rsidP="002E7A6E">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(0.00861)</w:t>
            </w:r>
          </w:p>
        </w:tc>
        <w:tc>
          <w:tcPr>
            <w:tcW w:w="2250" w:type="dxa"/>
            <w:hideMark/>
          </w:tcPr>
          <w:p w14:paraId="059C8FA0" w14:textId="7D6D8BBA" w:rsidR="002E7A6E" w:rsidRPr="00BC512A" w:rsidRDefault="002E7A6E" w:rsidP="002E7A6E">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(0.00776)</w:t>
            </w:r>
          </w:p>
        </w:tc>
      </w:tr>
      <w:tr w:rsidR="002E7A6E" w:rsidRPr="002E7A6E" w14:paraId="662BF662" w14:textId="77777777" w:rsidTr="00847BA3">
        <w:trPr>
          <w:jc w:val="center"/>
        </w:trPr>
        <w:tc>
          <w:tcPr>
            <w:tcW w:w="2832" w:type="dxa"/>
            <w:hideMark/>
          </w:tcPr>
          <w:p w14:paraId="49E23D14"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Median HH income</w:t>
            </w:r>
          </w:p>
        </w:tc>
        <w:tc>
          <w:tcPr>
            <w:tcW w:w="2298" w:type="dxa"/>
            <w:hideMark/>
          </w:tcPr>
          <w:p w14:paraId="074DF36C" w14:textId="1AC72352"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-6.92e-08</w:t>
            </w:r>
          </w:p>
        </w:tc>
        <w:tc>
          <w:tcPr>
            <w:tcW w:w="2250" w:type="dxa"/>
            <w:hideMark/>
          </w:tcPr>
          <w:p w14:paraId="548030D4" w14:textId="526B950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-3.32e-07*</w:t>
            </w:r>
          </w:p>
        </w:tc>
      </w:tr>
      <w:tr w:rsidR="002E7A6E" w:rsidRPr="002E7A6E" w14:paraId="3123EF08" w14:textId="77777777" w:rsidTr="00847BA3">
        <w:trPr>
          <w:jc w:val="center"/>
        </w:trPr>
        <w:tc>
          <w:tcPr>
            <w:tcW w:w="2832" w:type="dxa"/>
          </w:tcPr>
          <w:p w14:paraId="3F97FF6B"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452E8257" w14:textId="682DDC19"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(2.12e-07)</w:t>
            </w:r>
          </w:p>
        </w:tc>
        <w:tc>
          <w:tcPr>
            <w:tcW w:w="2250" w:type="dxa"/>
            <w:hideMark/>
          </w:tcPr>
          <w:p w14:paraId="244B0E9C" w14:textId="341DCD6C"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(1.77e-07)</w:t>
            </w:r>
          </w:p>
        </w:tc>
      </w:tr>
      <w:tr w:rsidR="002E7A6E" w:rsidRPr="002E7A6E" w14:paraId="75B3BE38" w14:textId="77777777" w:rsidTr="00847BA3">
        <w:trPr>
          <w:jc w:val="center"/>
        </w:trPr>
        <w:tc>
          <w:tcPr>
            <w:tcW w:w="2832" w:type="dxa"/>
            <w:hideMark/>
          </w:tcPr>
          <w:p w14:paraId="4A95D6C1"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Population density</w:t>
            </w:r>
          </w:p>
        </w:tc>
        <w:tc>
          <w:tcPr>
            <w:tcW w:w="2298" w:type="dxa"/>
            <w:hideMark/>
          </w:tcPr>
          <w:p w14:paraId="715C8393" w14:textId="211E76AF"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-7.07e-07***</w:t>
            </w:r>
          </w:p>
        </w:tc>
        <w:tc>
          <w:tcPr>
            <w:tcW w:w="2250" w:type="dxa"/>
            <w:hideMark/>
          </w:tcPr>
          <w:p w14:paraId="053099F7" w14:textId="47978153"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-6.19e-07***</w:t>
            </w:r>
          </w:p>
        </w:tc>
      </w:tr>
      <w:tr w:rsidR="002E7A6E" w:rsidRPr="002E7A6E" w14:paraId="38F9F3FD" w14:textId="77777777" w:rsidTr="00847BA3">
        <w:trPr>
          <w:jc w:val="center"/>
        </w:trPr>
        <w:tc>
          <w:tcPr>
            <w:tcW w:w="2832" w:type="dxa"/>
          </w:tcPr>
          <w:p w14:paraId="0B9569F3"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7E0E4FA3" w14:textId="04F65E1A"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(2.03e-07)</w:t>
            </w:r>
          </w:p>
        </w:tc>
        <w:tc>
          <w:tcPr>
            <w:tcW w:w="2250" w:type="dxa"/>
            <w:hideMark/>
          </w:tcPr>
          <w:p w14:paraId="0612218C" w14:textId="528EAA8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(1.89e-07)</w:t>
            </w:r>
          </w:p>
        </w:tc>
      </w:tr>
      <w:tr w:rsidR="002E7A6E" w:rsidRPr="002E7A6E" w14:paraId="1E9E6C5D" w14:textId="77777777" w:rsidTr="00847BA3">
        <w:trPr>
          <w:jc w:val="center"/>
        </w:trPr>
        <w:tc>
          <w:tcPr>
            <w:tcW w:w="2832" w:type="dxa"/>
            <w:hideMark/>
          </w:tcPr>
          <w:p w14:paraId="6811FC83"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Rural (yes=1)</w:t>
            </w:r>
          </w:p>
        </w:tc>
        <w:tc>
          <w:tcPr>
            <w:tcW w:w="2298" w:type="dxa"/>
            <w:hideMark/>
          </w:tcPr>
          <w:p w14:paraId="15111D76" w14:textId="718166F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-0.0395***</w:t>
            </w:r>
          </w:p>
        </w:tc>
        <w:tc>
          <w:tcPr>
            <w:tcW w:w="2250" w:type="dxa"/>
            <w:hideMark/>
          </w:tcPr>
          <w:p w14:paraId="4CA3F29C" w14:textId="3F049A1C"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-0.0366***</w:t>
            </w:r>
          </w:p>
        </w:tc>
      </w:tr>
      <w:tr w:rsidR="002E7A6E" w:rsidRPr="002E7A6E" w14:paraId="6DF6091C" w14:textId="77777777" w:rsidTr="00847BA3">
        <w:trPr>
          <w:jc w:val="center"/>
        </w:trPr>
        <w:tc>
          <w:tcPr>
            <w:tcW w:w="2832" w:type="dxa"/>
          </w:tcPr>
          <w:p w14:paraId="3EAFF7FD"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7FC97455" w14:textId="3FF65802"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(0.00376)</w:t>
            </w:r>
          </w:p>
        </w:tc>
        <w:tc>
          <w:tcPr>
            <w:tcW w:w="2250" w:type="dxa"/>
            <w:hideMark/>
          </w:tcPr>
          <w:p w14:paraId="6E80CF65" w14:textId="244EF710"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(0.00328)</w:t>
            </w:r>
          </w:p>
        </w:tc>
      </w:tr>
      <w:tr w:rsidR="002E7A6E" w:rsidRPr="002E7A6E" w14:paraId="2F1858D2" w14:textId="77777777" w:rsidTr="00847BA3">
        <w:trPr>
          <w:jc w:val="center"/>
        </w:trPr>
        <w:tc>
          <w:tcPr>
            <w:tcW w:w="2832" w:type="dxa"/>
            <w:hideMark/>
          </w:tcPr>
          <w:p w14:paraId="12C862EC"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Number of ISPs</w:t>
            </w:r>
          </w:p>
        </w:tc>
        <w:tc>
          <w:tcPr>
            <w:tcW w:w="2298" w:type="dxa"/>
            <w:hideMark/>
          </w:tcPr>
          <w:p w14:paraId="2C87B301" w14:textId="467F3737"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0.00114***</w:t>
            </w:r>
          </w:p>
        </w:tc>
        <w:tc>
          <w:tcPr>
            <w:tcW w:w="2250" w:type="dxa"/>
            <w:hideMark/>
          </w:tcPr>
          <w:p w14:paraId="6CEAFAD6" w14:textId="6340E280"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0.00109***</w:t>
            </w:r>
          </w:p>
        </w:tc>
      </w:tr>
      <w:tr w:rsidR="002E7A6E" w:rsidRPr="002E7A6E" w14:paraId="25BC9F45" w14:textId="77777777" w:rsidTr="00847BA3">
        <w:trPr>
          <w:jc w:val="center"/>
        </w:trPr>
        <w:tc>
          <w:tcPr>
            <w:tcW w:w="2832" w:type="dxa"/>
          </w:tcPr>
          <w:p w14:paraId="54142E07"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2536B629" w14:textId="2C83F514"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(0.000245)</w:t>
            </w:r>
          </w:p>
        </w:tc>
        <w:tc>
          <w:tcPr>
            <w:tcW w:w="2250" w:type="dxa"/>
            <w:hideMark/>
          </w:tcPr>
          <w:p w14:paraId="3EF700C9" w14:textId="7026E1C9"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(0.000207)</w:t>
            </w:r>
          </w:p>
        </w:tc>
      </w:tr>
      <w:tr w:rsidR="002E7A6E" w:rsidRPr="002E7A6E" w14:paraId="623C9882" w14:textId="77777777" w:rsidTr="00847BA3">
        <w:trPr>
          <w:jc w:val="center"/>
        </w:trPr>
        <w:tc>
          <w:tcPr>
            <w:tcW w:w="2832" w:type="dxa"/>
            <w:hideMark/>
          </w:tcPr>
          <w:p w14:paraId="5036CFA4"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Tribal (yes=1)</w:t>
            </w:r>
          </w:p>
        </w:tc>
        <w:tc>
          <w:tcPr>
            <w:tcW w:w="2298" w:type="dxa"/>
            <w:hideMark/>
          </w:tcPr>
          <w:p w14:paraId="61C89B8C" w14:textId="00B2B741"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-0.0105</w:t>
            </w:r>
          </w:p>
        </w:tc>
        <w:tc>
          <w:tcPr>
            <w:tcW w:w="2250" w:type="dxa"/>
            <w:hideMark/>
          </w:tcPr>
          <w:p w14:paraId="680422F2" w14:textId="4F610965"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-0.0103</w:t>
            </w:r>
          </w:p>
        </w:tc>
      </w:tr>
      <w:tr w:rsidR="002E7A6E" w:rsidRPr="002E7A6E" w14:paraId="33B2C51C" w14:textId="77777777" w:rsidTr="00847BA3">
        <w:trPr>
          <w:jc w:val="center"/>
        </w:trPr>
        <w:tc>
          <w:tcPr>
            <w:tcW w:w="2832" w:type="dxa"/>
          </w:tcPr>
          <w:p w14:paraId="49B3A412"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0BAA2627" w14:textId="4C576FBF"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(0.0108)</w:t>
            </w:r>
          </w:p>
        </w:tc>
        <w:tc>
          <w:tcPr>
            <w:tcW w:w="2250" w:type="dxa"/>
            <w:hideMark/>
          </w:tcPr>
          <w:p w14:paraId="198650F4" w14:textId="707915F2"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(0.0102)</w:t>
            </w:r>
          </w:p>
        </w:tc>
      </w:tr>
      <w:tr w:rsidR="002E7A6E" w:rsidRPr="002E7A6E" w14:paraId="124B98C2" w14:textId="77777777" w:rsidTr="00847BA3">
        <w:trPr>
          <w:jc w:val="center"/>
        </w:trPr>
        <w:tc>
          <w:tcPr>
            <w:tcW w:w="2832" w:type="dxa"/>
            <w:hideMark/>
          </w:tcPr>
          <w:p w14:paraId="6C408C4D"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White-only residents</w:t>
            </w:r>
          </w:p>
        </w:tc>
        <w:tc>
          <w:tcPr>
            <w:tcW w:w="2298" w:type="dxa"/>
            <w:hideMark/>
          </w:tcPr>
          <w:p w14:paraId="03534A9B" w14:textId="28CFD699"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-0.0185</w:t>
            </w:r>
          </w:p>
        </w:tc>
        <w:tc>
          <w:tcPr>
            <w:tcW w:w="2250" w:type="dxa"/>
            <w:hideMark/>
          </w:tcPr>
          <w:p w14:paraId="2D61CDB0" w14:textId="6A60AE19"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-0.0168</w:t>
            </w:r>
          </w:p>
        </w:tc>
      </w:tr>
      <w:tr w:rsidR="002E7A6E" w:rsidRPr="002E7A6E" w14:paraId="510D661C" w14:textId="77777777" w:rsidTr="00847BA3">
        <w:trPr>
          <w:jc w:val="center"/>
        </w:trPr>
        <w:tc>
          <w:tcPr>
            <w:tcW w:w="2832" w:type="dxa"/>
          </w:tcPr>
          <w:p w14:paraId="79300524"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42423EE6" w14:textId="217BEA82"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(0.0127)</w:t>
            </w:r>
          </w:p>
        </w:tc>
        <w:tc>
          <w:tcPr>
            <w:tcW w:w="2250" w:type="dxa"/>
            <w:hideMark/>
          </w:tcPr>
          <w:p w14:paraId="0273CB1C" w14:textId="1C6DD063"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(0.0109)</w:t>
            </w:r>
          </w:p>
        </w:tc>
      </w:tr>
      <w:tr w:rsidR="002E7A6E" w:rsidRPr="002E7A6E" w14:paraId="09408296" w14:textId="77777777" w:rsidTr="00847BA3">
        <w:trPr>
          <w:jc w:val="center"/>
        </w:trPr>
        <w:tc>
          <w:tcPr>
            <w:tcW w:w="2832" w:type="dxa"/>
            <w:hideMark/>
          </w:tcPr>
          <w:p w14:paraId="0A130E53"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Bachelor or more</w:t>
            </w:r>
          </w:p>
        </w:tc>
        <w:tc>
          <w:tcPr>
            <w:tcW w:w="2298" w:type="dxa"/>
            <w:hideMark/>
          </w:tcPr>
          <w:p w14:paraId="18194AF0" w14:textId="22563208"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0.172***</w:t>
            </w:r>
          </w:p>
        </w:tc>
        <w:tc>
          <w:tcPr>
            <w:tcW w:w="2250" w:type="dxa"/>
            <w:hideMark/>
          </w:tcPr>
          <w:p w14:paraId="1D5CA94A" w14:textId="67D77AC5"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0.161***</w:t>
            </w:r>
          </w:p>
        </w:tc>
      </w:tr>
      <w:tr w:rsidR="002E7A6E" w:rsidRPr="002E7A6E" w14:paraId="625435FA" w14:textId="77777777" w:rsidTr="00847BA3">
        <w:trPr>
          <w:jc w:val="center"/>
        </w:trPr>
        <w:tc>
          <w:tcPr>
            <w:tcW w:w="2832" w:type="dxa"/>
          </w:tcPr>
          <w:p w14:paraId="0ADE7861"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13BCEA72" w14:textId="6890A0C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(0.0310)</w:t>
            </w:r>
          </w:p>
        </w:tc>
        <w:tc>
          <w:tcPr>
            <w:tcW w:w="2250" w:type="dxa"/>
            <w:hideMark/>
          </w:tcPr>
          <w:p w14:paraId="517ADCA6" w14:textId="29929174"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(0.0263)</w:t>
            </w:r>
          </w:p>
        </w:tc>
      </w:tr>
      <w:tr w:rsidR="002E7A6E" w:rsidRPr="002E7A6E" w14:paraId="6E63F39F" w14:textId="77777777" w:rsidTr="00847BA3">
        <w:trPr>
          <w:jc w:val="center"/>
        </w:trPr>
        <w:tc>
          <w:tcPr>
            <w:tcW w:w="2832" w:type="dxa"/>
            <w:hideMark/>
          </w:tcPr>
          <w:p w14:paraId="53A79242"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Children in the HH</w:t>
            </w:r>
          </w:p>
        </w:tc>
        <w:tc>
          <w:tcPr>
            <w:tcW w:w="2298" w:type="dxa"/>
            <w:hideMark/>
          </w:tcPr>
          <w:p w14:paraId="5EA2D108" w14:textId="78394C10"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0.0819</w:t>
            </w:r>
          </w:p>
        </w:tc>
        <w:tc>
          <w:tcPr>
            <w:tcW w:w="2250" w:type="dxa"/>
            <w:hideMark/>
          </w:tcPr>
          <w:p w14:paraId="2739FEB1" w14:textId="1CA33F11"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0.101**</w:t>
            </w:r>
          </w:p>
        </w:tc>
      </w:tr>
      <w:tr w:rsidR="002E7A6E" w:rsidRPr="002E7A6E" w14:paraId="503B5792" w14:textId="77777777" w:rsidTr="00847BA3">
        <w:trPr>
          <w:jc w:val="center"/>
        </w:trPr>
        <w:tc>
          <w:tcPr>
            <w:tcW w:w="2832" w:type="dxa"/>
          </w:tcPr>
          <w:p w14:paraId="0B8601CB"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2EFF72EF" w14:textId="397C2704"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(0.0545)</w:t>
            </w:r>
          </w:p>
        </w:tc>
        <w:tc>
          <w:tcPr>
            <w:tcW w:w="2250" w:type="dxa"/>
            <w:hideMark/>
          </w:tcPr>
          <w:p w14:paraId="18E8F86B" w14:textId="525554CA"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(0.0466)</w:t>
            </w:r>
          </w:p>
        </w:tc>
      </w:tr>
      <w:tr w:rsidR="002E7A6E" w:rsidRPr="002E7A6E" w14:paraId="5759AD57" w14:textId="77777777" w:rsidTr="00847BA3">
        <w:trPr>
          <w:jc w:val="center"/>
        </w:trPr>
        <w:tc>
          <w:tcPr>
            <w:tcW w:w="2832" w:type="dxa"/>
            <w:hideMark/>
          </w:tcPr>
          <w:p w14:paraId="0F9B567B"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Poverty</w:t>
            </w:r>
          </w:p>
        </w:tc>
        <w:tc>
          <w:tcPr>
            <w:tcW w:w="2298" w:type="dxa"/>
            <w:hideMark/>
          </w:tcPr>
          <w:p w14:paraId="55516960" w14:textId="2FB01B24"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-0.384***</w:t>
            </w:r>
          </w:p>
        </w:tc>
        <w:tc>
          <w:tcPr>
            <w:tcW w:w="2250" w:type="dxa"/>
            <w:hideMark/>
          </w:tcPr>
          <w:p w14:paraId="2F4466A9" w14:textId="3CF7278C"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-0.482***</w:t>
            </w:r>
          </w:p>
        </w:tc>
      </w:tr>
      <w:tr w:rsidR="002E7A6E" w:rsidRPr="002E7A6E" w14:paraId="5FDF16B6" w14:textId="77777777" w:rsidTr="00847BA3">
        <w:trPr>
          <w:jc w:val="center"/>
        </w:trPr>
        <w:tc>
          <w:tcPr>
            <w:tcW w:w="2832" w:type="dxa"/>
          </w:tcPr>
          <w:p w14:paraId="265BC9A2"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2A531C54" w14:textId="6B913E63"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(0.0642)</w:t>
            </w:r>
          </w:p>
        </w:tc>
        <w:tc>
          <w:tcPr>
            <w:tcW w:w="2250" w:type="dxa"/>
            <w:hideMark/>
          </w:tcPr>
          <w:p w14:paraId="51727923" w14:textId="037F6084"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(0.0554)</w:t>
            </w:r>
          </w:p>
        </w:tc>
      </w:tr>
      <w:tr w:rsidR="002E7A6E" w:rsidRPr="002E7A6E" w14:paraId="584F9C03" w14:textId="77777777" w:rsidTr="00847BA3">
        <w:trPr>
          <w:jc w:val="center"/>
        </w:trPr>
        <w:tc>
          <w:tcPr>
            <w:tcW w:w="2832" w:type="dxa"/>
            <w:hideMark/>
          </w:tcPr>
          <w:p w14:paraId="0C772215"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Median age</w:t>
            </w:r>
          </w:p>
        </w:tc>
        <w:tc>
          <w:tcPr>
            <w:tcW w:w="2298" w:type="dxa"/>
            <w:hideMark/>
          </w:tcPr>
          <w:p w14:paraId="51632A90" w14:textId="30FFFD48"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-0.000525</w:t>
            </w:r>
          </w:p>
        </w:tc>
        <w:tc>
          <w:tcPr>
            <w:tcW w:w="2250" w:type="dxa"/>
            <w:hideMark/>
          </w:tcPr>
          <w:p w14:paraId="6464B339" w14:textId="2C0763BC"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-0.000414</w:t>
            </w:r>
          </w:p>
        </w:tc>
      </w:tr>
      <w:tr w:rsidR="002E7A6E" w:rsidRPr="002E7A6E" w14:paraId="024927BF" w14:textId="77777777" w:rsidTr="00847BA3">
        <w:trPr>
          <w:jc w:val="center"/>
        </w:trPr>
        <w:tc>
          <w:tcPr>
            <w:tcW w:w="2832" w:type="dxa"/>
          </w:tcPr>
          <w:p w14:paraId="0120FCAE"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698A4DAA" w14:textId="7348134E"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(0.000591)</w:t>
            </w:r>
          </w:p>
        </w:tc>
        <w:tc>
          <w:tcPr>
            <w:tcW w:w="2250" w:type="dxa"/>
            <w:hideMark/>
          </w:tcPr>
          <w:p w14:paraId="79D26446" w14:textId="037E3ED1"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(0.000520)</w:t>
            </w:r>
          </w:p>
        </w:tc>
      </w:tr>
      <w:tr w:rsidR="002E7A6E" w:rsidRPr="002E7A6E" w14:paraId="48EE1780" w14:textId="77777777" w:rsidTr="00847BA3">
        <w:trPr>
          <w:jc w:val="center"/>
        </w:trPr>
        <w:tc>
          <w:tcPr>
            <w:tcW w:w="2832" w:type="dxa"/>
            <w:hideMark/>
          </w:tcPr>
          <w:p w14:paraId="4B866BCE"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Constant</w:t>
            </w:r>
          </w:p>
        </w:tc>
        <w:tc>
          <w:tcPr>
            <w:tcW w:w="2298" w:type="dxa"/>
            <w:hideMark/>
          </w:tcPr>
          <w:p w14:paraId="7EE29820" w14:textId="38914B03"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0.687***</w:t>
            </w:r>
          </w:p>
        </w:tc>
        <w:tc>
          <w:tcPr>
            <w:tcW w:w="2250" w:type="dxa"/>
            <w:hideMark/>
          </w:tcPr>
          <w:p w14:paraId="55F2EFBF" w14:textId="08C07DA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0.749***</w:t>
            </w:r>
          </w:p>
        </w:tc>
      </w:tr>
      <w:tr w:rsidR="002E7A6E" w:rsidRPr="002E7A6E" w14:paraId="29B9A290" w14:textId="77777777" w:rsidTr="00847BA3">
        <w:trPr>
          <w:jc w:val="center"/>
        </w:trPr>
        <w:tc>
          <w:tcPr>
            <w:tcW w:w="2832" w:type="dxa"/>
          </w:tcPr>
          <w:p w14:paraId="7108624A"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69AF9416" w14:textId="64E7411C"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(0.0415)</w:t>
            </w:r>
          </w:p>
        </w:tc>
        <w:tc>
          <w:tcPr>
            <w:tcW w:w="2250" w:type="dxa"/>
            <w:hideMark/>
          </w:tcPr>
          <w:p w14:paraId="0FD0FCB7" w14:textId="6C678052"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(0.0364)</w:t>
            </w:r>
          </w:p>
        </w:tc>
      </w:tr>
      <w:tr w:rsidR="002E7A6E" w:rsidRPr="002E7A6E" w14:paraId="092A4F81" w14:textId="77777777" w:rsidTr="00847BA3">
        <w:trPr>
          <w:jc w:val="center"/>
        </w:trPr>
        <w:tc>
          <w:tcPr>
            <w:tcW w:w="2832" w:type="dxa"/>
          </w:tcPr>
          <w:p w14:paraId="519E27DB"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tcPr>
          <w:p w14:paraId="3B6BE994" w14:textId="77777777" w:rsidR="002E7A6E" w:rsidRPr="002E7A6E" w:rsidRDefault="002E7A6E" w:rsidP="002E7A6E">
            <w:pPr>
              <w:widowControl w:val="0"/>
              <w:autoSpaceDE w:val="0"/>
              <w:autoSpaceDN w:val="0"/>
              <w:adjustRightInd w:val="0"/>
              <w:spacing w:after="0" w:line="240" w:lineRule="auto"/>
              <w:jc w:val="center"/>
              <w:rPr>
                <w:rFonts w:cstheme="minorHAnsi"/>
                <w:sz w:val="20"/>
                <w:szCs w:val="20"/>
              </w:rPr>
            </w:pPr>
          </w:p>
        </w:tc>
        <w:tc>
          <w:tcPr>
            <w:tcW w:w="2250" w:type="dxa"/>
          </w:tcPr>
          <w:p w14:paraId="35ECB79F" w14:textId="77777777" w:rsidR="002E7A6E" w:rsidRPr="002E7A6E" w:rsidRDefault="002E7A6E" w:rsidP="002E7A6E">
            <w:pPr>
              <w:widowControl w:val="0"/>
              <w:autoSpaceDE w:val="0"/>
              <w:autoSpaceDN w:val="0"/>
              <w:adjustRightInd w:val="0"/>
              <w:spacing w:after="0" w:line="240" w:lineRule="auto"/>
              <w:jc w:val="center"/>
              <w:rPr>
                <w:rFonts w:cstheme="minorHAnsi"/>
                <w:sz w:val="20"/>
                <w:szCs w:val="20"/>
              </w:rPr>
            </w:pPr>
          </w:p>
        </w:tc>
      </w:tr>
      <w:tr w:rsidR="002E7A6E" w:rsidRPr="002E7A6E" w14:paraId="0A1E76D2" w14:textId="77777777" w:rsidTr="00847BA3">
        <w:trPr>
          <w:jc w:val="center"/>
        </w:trPr>
        <w:tc>
          <w:tcPr>
            <w:tcW w:w="2832" w:type="dxa"/>
            <w:hideMark/>
          </w:tcPr>
          <w:p w14:paraId="3738C06F"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Observations</w:t>
            </w:r>
          </w:p>
        </w:tc>
        <w:tc>
          <w:tcPr>
            <w:tcW w:w="2298" w:type="dxa"/>
            <w:hideMark/>
          </w:tcPr>
          <w:p w14:paraId="173B417C" w14:textId="3613BF9D"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3,135</w:t>
            </w:r>
          </w:p>
        </w:tc>
        <w:tc>
          <w:tcPr>
            <w:tcW w:w="2250" w:type="dxa"/>
            <w:hideMark/>
          </w:tcPr>
          <w:p w14:paraId="574BFFBF" w14:textId="641B88B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3,135</w:t>
            </w:r>
          </w:p>
        </w:tc>
      </w:tr>
      <w:tr w:rsidR="002E7A6E" w:rsidRPr="002E7A6E" w14:paraId="476CDD7D" w14:textId="77777777" w:rsidTr="00847BA3">
        <w:trPr>
          <w:jc w:val="center"/>
        </w:trPr>
        <w:tc>
          <w:tcPr>
            <w:tcW w:w="2832" w:type="dxa"/>
            <w:tcBorders>
              <w:top w:val="nil"/>
              <w:left w:val="nil"/>
              <w:bottom w:val="single" w:sz="6" w:space="0" w:color="auto"/>
              <w:right w:val="nil"/>
            </w:tcBorders>
            <w:hideMark/>
          </w:tcPr>
          <w:p w14:paraId="4DC10E2F"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R-squared</w:t>
            </w:r>
          </w:p>
        </w:tc>
        <w:tc>
          <w:tcPr>
            <w:tcW w:w="2298" w:type="dxa"/>
            <w:tcBorders>
              <w:top w:val="nil"/>
              <w:left w:val="nil"/>
              <w:bottom w:val="single" w:sz="6" w:space="0" w:color="auto"/>
              <w:right w:val="nil"/>
            </w:tcBorders>
            <w:hideMark/>
          </w:tcPr>
          <w:p w14:paraId="024A0E40" w14:textId="738CF5C6"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0.475</w:t>
            </w:r>
          </w:p>
        </w:tc>
        <w:tc>
          <w:tcPr>
            <w:tcW w:w="2250" w:type="dxa"/>
            <w:tcBorders>
              <w:top w:val="nil"/>
              <w:left w:val="nil"/>
              <w:bottom w:val="single" w:sz="6" w:space="0" w:color="auto"/>
              <w:right w:val="nil"/>
            </w:tcBorders>
            <w:hideMark/>
          </w:tcPr>
          <w:p w14:paraId="6E115350" w14:textId="6357724D"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0.505</w:t>
            </w:r>
          </w:p>
        </w:tc>
      </w:tr>
    </w:tbl>
    <w:p w14:paraId="4DB34CB7" w14:textId="77777777" w:rsidR="0021484C" w:rsidRPr="0018628C" w:rsidRDefault="0021484C" w:rsidP="0021484C">
      <w:pPr>
        <w:widowControl w:val="0"/>
        <w:autoSpaceDE w:val="0"/>
        <w:autoSpaceDN w:val="0"/>
        <w:adjustRightInd w:val="0"/>
        <w:spacing w:after="0" w:line="240" w:lineRule="auto"/>
        <w:rPr>
          <w:rFonts w:cstheme="minorHAnsi"/>
          <w:sz w:val="20"/>
          <w:szCs w:val="20"/>
        </w:rPr>
      </w:pPr>
      <w:r w:rsidRPr="0018628C">
        <w:rPr>
          <w:rFonts w:cstheme="minorHAnsi"/>
          <w:sz w:val="20"/>
          <w:szCs w:val="20"/>
        </w:rPr>
        <w:t>Robust standard errors in parentheses</w:t>
      </w:r>
    </w:p>
    <w:p w14:paraId="7292F220" w14:textId="77777777" w:rsidR="0021484C" w:rsidRPr="0018628C" w:rsidRDefault="0021484C" w:rsidP="0021484C">
      <w:pPr>
        <w:widowControl w:val="0"/>
        <w:autoSpaceDE w:val="0"/>
        <w:autoSpaceDN w:val="0"/>
        <w:adjustRightInd w:val="0"/>
        <w:spacing w:after="0" w:line="240" w:lineRule="auto"/>
        <w:rPr>
          <w:rFonts w:cstheme="minorHAnsi"/>
          <w:sz w:val="20"/>
          <w:szCs w:val="20"/>
        </w:rPr>
      </w:pPr>
      <w:r w:rsidRPr="0018628C">
        <w:rPr>
          <w:rFonts w:cstheme="minorHAnsi"/>
          <w:sz w:val="20"/>
          <w:szCs w:val="20"/>
        </w:rPr>
        <w:t>*** p&lt;0.01, ** p&lt;0.05, * p&lt;0.1</w:t>
      </w:r>
    </w:p>
    <w:p w14:paraId="3D42E1D0" w14:textId="77777777" w:rsidR="0021484C" w:rsidRDefault="0021484C" w:rsidP="00787A53"/>
    <w:p w14:paraId="4027C6BF" w14:textId="2E261E8E" w:rsidR="002E7A6E" w:rsidRDefault="00060D56" w:rsidP="00E130C0">
      <w:r>
        <w:t>The</w:t>
      </w:r>
      <w:r w:rsidR="00E130C0">
        <w:t xml:space="preserve"> results are </w:t>
      </w:r>
      <w:r>
        <w:t xml:space="preserve">generally </w:t>
      </w:r>
      <w:r w:rsidR="00E130C0">
        <w:t>similar, indicating a</w:t>
      </w:r>
      <w:r w:rsidR="00847BA3">
        <w:t>n increase</w:t>
      </w:r>
      <w:r w:rsidR="002E7A6E">
        <w:t xml:space="preserve"> of 4.4</w:t>
      </w:r>
      <w:r w:rsidR="00E130C0">
        <w:t xml:space="preserve"> percentage points </w:t>
      </w:r>
      <w:r w:rsidR="00847BA3">
        <w:t xml:space="preserve">in connectivity </w:t>
      </w:r>
      <w:r w:rsidR="00BC512A">
        <w:t>for households below $35,000/year</w:t>
      </w:r>
      <w:r w:rsidR="002E7A6E">
        <w:t>, and a similar increase for households</w:t>
      </w:r>
      <w:r w:rsidR="00E130C0">
        <w:t xml:space="preserve"> belo</w:t>
      </w:r>
      <w:r w:rsidR="00BC512A">
        <w:t xml:space="preserve">w $50,000/year </w:t>
      </w:r>
      <w:r w:rsidR="00847BA3">
        <w:t xml:space="preserve">in areas with adequate supply of </w:t>
      </w:r>
      <w:r w:rsidR="00656F91">
        <w:t>fixed broadband</w:t>
      </w:r>
      <w:r w:rsidR="00847BA3">
        <w:t xml:space="preserve">, relative to households at the same income levels located in </w:t>
      </w:r>
      <w:r w:rsidR="000E3A3E">
        <w:t>underserved</w:t>
      </w:r>
      <w:r w:rsidR="00847BA3">
        <w:t xml:space="preserve"> counties. </w:t>
      </w:r>
      <w:r w:rsidR="002E7A6E">
        <w:t>In the first ca</w:t>
      </w:r>
      <w:r w:rsidR="00BC512A">
        <w:t>se (household income below $35,000/</w:t>
      </w:r>
      <w:r w:rsidR="002E7A6E">
        <w:t xml:space="preserve">year), this represents an increase of </w:t>
      </w:r>
      <w:r>
        <w:t>about</w:t>
      </w:r>
      <w:r w:rsidR="00A8569F">
        <w:t xml:space="preserve"> 7</w:t>
      </w:r>
      <w:r>
        <w:t>.5</w:t>
      </w:r>
      <w:r w:rsidR="00A8569F">
        <w:t xml:space="preserve">% relative to the </w:t>
      </w:r>
      <w:r>
        <w:t xml:space="preserve">sample </w:t>
      </w:r>
      <w:r w:rsidR="00A8569F">
        <w:t xml:space="preserve">average in </w:t>
      </w:r>
      <w:r w:rsidR="000E3A3E">
        <w:t>underserved</w:t>
      </w:r>
      <w:r w:rsidR="00A8569F">
        <w:t xml:space="preserve"> areas (</w:t>
      </w:r>
      <w:r w:rsidR="00131833">
        <w:t>59</w:t>
      </w:r>
      <w:r w:rsidR="00A8569F">
        <w:t xml:space="preserve">%). </w:t>
      </w:r>
      <w:r w:rsidR="00131833">
        <w:t>For ho</w:t>
      </w:r>
      <w:r w:rsidR="00BC512A">
        <w:t>useholds with income below $50,000/</w:t>
      </w:r>
      <w:r w:rsidR="00131833">
        <w:t xml:space="preserve">year, the relative increase is just under 7% (relative to an average of 64% connected households in </w:t>
      </w:r>
      <w:r w:rsidR="000E3A3E">
        <w:t>underserved</w:t>
      </w:r>
      <w:r w:rsidR="00131833">
        <w:t xml:space="preserve"> areas).</w:t>
      </w:r>
    </w:p>
    <w:p w14:paraId="0AC4A9A4" w14:textId="77777777" w:rsidR="00060D56" w:rsidRDefault="00060D56" w:rsidP="00E130C0"/>
    <w:p w14:paraId="6B65D8C0" w14:textId="589A8357" w:rsidR="00060D56" w:rsidRDefault="00060D56" w:rsidP="00060D56">
      <w:pPr>
        <w:pStyle w:val="ListParagraph"/>
        <w:numPr>
          <w:ilvl w:val="1"/>
          <w:numId w:val="1"/>
        </w:numPr>
      </w:pPr>
      <w:commentRangeStart w:id="2"/>
      <w:r>
        <w:lastRenderedPageBreak/>
        <w:t>Difference-in-difference models</w:t>
      </w:r>
      <w:commentRangeEnd w:id="2"/>
      <w:r w:rsidR="00255454">
        <w:rPr>
          <w:rStyle w:val="CommentReference"/>
        </w:rPr>
        <w:commentReference w:id="2"/>
      </w:r>
    </w:p>
    <w:p w14:paraId="46D483CC" w14:textId="2E31F4BA" w:rsidR="00996DA7" w:rsidRDefault="00787A53" w:rsidP="00060D56">
      <w:pPr>
        <w:ind w:firstLine="360"/>
      </w:pPr>
      <w:r>
        <w:t xml:space="preserve">The </w:t>
      </w:r>
      <w:r w:rsidR="00060D56">
        <w:t xml:space="preserve">models above suggest </w:t>
      </w:r>
      <w:r>
        <w:t xml:space="preserve">an association between </w:t>
      </w:r>
      <w:r w:rsidR="00AC59D1">
        <w:t xml:space="preserve">the availability of </w:t>
      </w:r>
      <w:r w:rsidR="00060D56">
        <w:t xml:space="preserve">fixed broadband in an area and </w:t>
      </w:r>
      <w:r w:rsidR="001618C1">
        <w:t>higher le</w:t>
      </w:r>
      <w:r w:rsidR="006C557C">
        <w:t xml:space="preserve">vels of broadband and </w:t>
      </w:r>
      <w:r w:rsidR="001618C1">
        <w:t>PC adopt</w:t>
      </w:r>
      <w:r w:rsidR="00AC59D1">
        <w:t>ion among low-income households</w:t>
      </w:r>
      <w:r w:rsidR="00060D56">
        <w:t xml:space="preserve">. The key question to evaluate the impact of ACP is whether this association has changed over time as a result of the support that the </w:t>
      </w:r>
      <w:r w:rsidR="006C557C">
        <w:t xml:space="preserve">ACP </w:t>
      </w:r>
      <w:r w:rsidR="00060D56">
        <w:t>program offers. I</w:t>
      </w:r>
      <w:r>
        <w:t xml:space="preserve">n this section, we </w:t>
      </w:r>
      <w:r w:rsidR="00670710">
        <w:t xml:space="preserve">seek to </w:t>
      </w:r>
      <w:r>
        <w:t xml:space="preserve">approximate the causal effect of ACP through </w:t>
      </w:r>
      <w:r w:rsidRPr="00512CE2">
        <w:t>difference-in-difference (DiD)</w:t>
      </w:r>
      <w:r>
        <w:t xml:space="preserve"> </w:t>
      </w:r>
      <w:r w:rsidR="006C557C">
        <w:t>estimations</w:t>
      </w:r>
      <w:r w:rsidR="00060D56">
        <w:t>.</w:t>
      </w:r>
      <w:r w:rsidR="00060D56" w:rsidRPr="00060D56">
        <w:t xml:space="preserve"> </w:t>
      </w:r>
      <w:r w:rsidR="00996DA7">
        <w:t>This empirical strategy is widely used in program evaluation</w:t>
      </w:r>
      <w:r w:rsidR="00AC59D1">
        <w:t xml:space="preserve"> studies</w:t>
      </w:r>
      <w:r w:rsidR="00996DA7">
        <w:t xml:space="preserve">, including </w:t>
      </w:r>
      <w:r w:rsidR="007F5CE6">
        <w:t xml:space="preserve">studies </w:t>
      </w:r>
      <w:r w:rsidR="00996DA7">
        <w:t>of affordable connectivity programs offered by ISPs before the launch of ACP.</w:t>
      </w:r>
      <w:r w:rsidR="00996DA7">
        <w:rPr>
          <w:rStyle w:val="FootnoteReference"/>
        </w:rPr>
        <w:footnoteReference w:id="3"/>
      </w:r>
    </w:p>
    <w:p w14:paraId="6FAE3CAC" w14:textId="5B3EFFAC" w:rsidR="00060D56" w:rsidRDefault="00060D56" w:rsidP="007F5CE6">
      <w:r>
        <w:t xml:space="preserve">At the core of </w:t>
      </w:r>
      <w:r w:rsidR="007F5CE6">
        <w:t xml:space="preserve">the </w:t>
      </w:r>
      <w:r w:rsidR="00996DA7">
        <w:t>DiD</w:t>
      </w:r>
      <w:r>
        <w:t xml:space="preserve"> </w:t>
      </w:r>
      <w:r w:rsidR="007F5CE6">
        <w:t xml:space="preserve">estimations </w:t>
      </w:r>
      <w:r>
        <w:t>is a comparison</w:t>
      </w:r>
      <w:r w:rsidRPr="00512CE2">
        <w:t xml:space="preserve"> </w:t>
      </w:r>
      <w:r>
        <w:t>in</w:t>
      </w:r>
      <w:r w:rsidRPr="00512CE2">
        <w:t xml:space="preserve"> the change in </w:t>
      </w:r>
      <w:r>
        <w:t xml:space="preserve">broadband </w:t>
      </w:r>
      <w:r w:rsidRPr="00512CE2">
        <w:t xml:space="preserve">adoption before and after the introduction of </w:t>
      </w:r>
      <w:r>
        <w:t xml:space="preserve">ACP in </w:t>
      </w:r>
      <w:r w:rsidR="00460116">
        <w:t xml:space="preserve">low-income </w:t>
      </w:r>
      <w:r>
        <w:t xml:space="preserve">counties with adequate availability of fixed services to the </w:t>
      </w:r>
      <w:r w:rsidR="007F5CE6">
        <w:t xml:space="preserve">same </w:t>
      </w:r>
      <w:r>
        <w:t xml:space="preserve">change in underserved counties. </w:t>
      </w:r>
      <w:r w:rsidRPr="00512CE2">
        <w:t xml:space="preserve">This allows for isolating the contribution </w:t>
      </w:r>
      <w:r>
        <w:t xml:space="preserve">that ACP </w:t>
      </w:r>
      <w:r w:rsidRPr="00512CE2">
        <w:t>has had over and above the growth in broadband adoption that would have occurred</w:t>
      </w:r>
      <w:r>
        <w:t xml:space="preserve"> naturally - in other words,</w:t>
      </w:r>
      <w:r w:rsidRPr="00512CE2">
        <w:t xml:space="preserve"> in </w:t>
      </w:r>
      <w:r>
        <w:t xml:space="preserve">the </w:t>
      </w:r>
      <w:r w:rsidRPr="00512CE2">
        <w:t xml:space="preserve">absence of the </w:t>
      </w:r>
      <w:r>
        <w:t>ACP program</w:t>
      </w:r>
      <w:r w:rsidRPr="00512CE2">
        <w:t>.</w:t>
      </w:r>
      <w:r>
        <w:t xml:space="preserve"> In a treatment effects framework, underserved counties are the control units used to evaluate the impact of the ACP program.</w:t>
      </w:r>
    </w:p>
    <w:p w14:paraId="3585ED2B" w14:textId="3C3D0452" w:rsidR="0067730A" w:rsidRDefault="00787A53" w:rsidP="00787A53">
      <w:r>
        <w:t>The validity of the DiD estimation rests on the assumption th</w:t>
      </w:r>
      <w:r w:rsidR="003F3F7C">
        <w:t>at the trends in treated areas (well-</w:t>
      </w:r>
      <w:r w:rsidR="00460116">
        <w:t>served</w:t>
      </w:r>
      <w:r w:rsidR="003F3F7C">
        <w:t xml:space="preserve"> counties) </w:t>
      </w:r>
      <w:r>
        <w:t>and control areas (</w:t>
      </w:r>
      <w:r w:rsidR="000E3A3E">
        <w:t>underserved</w:t>
      </w:r>
      <w:r w:rsidR="003F3F7C">
        <w:t xml:space="preserve"> counties</w:t>
      </w:r>
      <w:r>
        <w:t>) followed a similar path before the start of the ACP program.</w:t>
      </w:r>
      <w:r w:rsidR="0063099C">
        <w:t xml:space="preserve"> </w:t>
      </w:r>
      <w:r w:rsidR="00757494">
        <w:fldChar w:fldCharType="begin"/>
      </w:r>
      <w:r w:rsidR="00757494">
        <w:instrText xml:space="preserve"> REF _Ref159944759 \h </w:instrText>
      </w:r>
      <w:r w:rsidR="00757494">
        <w:fldChar w:fldCharType="separate"/>
      </w:r>
      <w:r w:rsidR="00757494">
        <w:t xml:space="preserve">Figure </w:t>
      </w:r>
      <w:r w:rsidR="00757494">
        <w:rPr>
          <w:noProof/>
        </w:rPr>
        <w:t>2</w:t>
      </w:r>
      <w:r w:rsidR="00757494">
        <w:fldChar w:fldCharType="end"/>
      </w:r>
      <w:r w:rsidR="00757494">
        <w:t xml:space="preserve"> </w:t>
      </w:r>
      <w:r w:rsidR="00BE4415">
        <w:t xml:space="preserve">suggests this is the case, with adoption growing at a </w:t>
      </w:r>
      <w:r w:rsidR="009927B8">
        <w:t>rapid</w:t>
      </w:r>
      <w:r w:rsidR="00BE4415">
        <w:t xml:space="preserve"> pace in </w:t>
      </w:r>
      <w:r w:rsidR="00E93028">
        <w:t xml:space="preserve">both </w:t>
      </w:r>
      <w:r w:rsidR="00460116">
        <w:t>served</w:t>
      </w:r>
      <w:r w:rsidR="00E93028">
        <w:t xml:space="preserve"> and </w:t>
      </w:r>
      <w:r w:rsidR="00460116">
        <w:t>underserved</w:t>
      </w:r>
      <w:r w:rsidR="00BE4415">
        <w:t xml:space="preserve"> counties before </w:t>
      </w:r>
      <w:r w:rsidR="00E93028">
        <w:t xml:space="preserve">the start of ACP in </w:t>
      </w:r>
      <w:r w:rsidR="00BE4415">
        <w:t>2022.</w:t>
      </w:r>
      <w:r w:rsidR="00BE4415">
        <w:rPr>
          <w:rStyle w:val="FootnoteReference"/>
        </w:rPr>
        <w:footnoteReference w:id="4"/>
      </w:r>
      <w:r w:rsidR="00BE4415">
        <w:t xml:space="preserve"> </w:t>
      </w:r>
      <w:r w:rsidR="00364055">
        <w:t>A</w:t>
      </w:r>
      <w:r>
        <w:t xml:space="preserve"> particular a large increase </w:t>
      </w:r>
      <w:r w:rsidR="00364055">
        <w:t xml:space="preserve">takes place </w:t>
      </w:r>
      <w:r>
        <w:t xml:space="preserve">in the 2019-2021 period, which captures the growth </w:t>
      </w:r>
      <w:r w:rsidR="00BE4415">
        <w:t>in connectivity spurred by the</w:t>
      </w:r>
      <w:r>
        <w:t xml:space="preserve"> COVID</w:t>
      </w:r>
      <w:r w:rsidR="00585EAF">
        <w:t>-19</w:t>
      </w:r>
      <w:r>
        <w:t xml:space="preserve"> pandemic. The figure </w:t>
      </w:r>
      <w:r w:rsidR="0067730A">
        <w:t>shows</w:t>
      </w:r>
      <w:r>
        <w:t xml:space="preserve"> how these lines start to diverge after 202</w:t>
      </w:r>
      <w:r w:rsidR="0029566C">
        <w:t>1</w:t>
      </w:r>
      <w:r>
        <w:t xml:space="preserve">, </w:t>
      </w:r>
      <w:r w:rsidR="00460116">
        <w:t>with</w:t>
      </w:r>
      <w:r>
        <w:t xml:space="preserve"> growth in </w:t>
      </w:r>
      <w:r w:rsidR="000E3A3E">
        <w:t>underserved</w:t>
      </w:r>
      <w:r w:rsidR="00585EAF">
        <w:t xml:space="preserve"> counties </w:t>
      </w:r>
      <w:r w:rsidR="0067730A">
        <w:t>plateau</w:t>
      </w:r>
      <w:r w:rsidR="00460116">
        <w:t>ing</w:t>
      </w:r>
      <w:r>
        <w:t xml:space="preserve"> </w:t>
      </w:r>
      <w:r w:rsidR="00460116">
        <w:t>as the pandemic recedes in 2022</w:t>
      </w:r>
      <w:r w:rsidR="0067730A">
        <w:t xml:space="preserve"> while growth is sustained in </w:t>
      </w:r>
      <w:r w:rsidR="009927B8">
        <w:t>adequately-served</w:t>
      </w:r>
      <w:r w:rsidR="00144123">
        <w:t xml:space="preserve"> counties where ACP-</w:t>
      </w:r>
      <w:r w:rsidR="0067730A">
        <w:t>support</w:t>
      </w:r>
      <w:r w:rsidR="00144123">
        <w:t>ed services</w:t>
      </w:r>
      <w:r w:rsidR="0067730A">
        <w:t xml:space="preserve"> </w:t>
      </w:r>
      <w:r w:rsidR="00144123">
        <w:t>are</w:t>
      </w:r>
      <w:r w:rsidR="0067730A">
        <w:t xml:space="preserve"> </w:t>
      </w:r>
      <w:r w:rsidR="00364055">
        <w:t xml:space="preserve">more </w:t>
      </w:r>
      <w:r w:rsidR="0067730A">
        <w:t xml:space="preserve">readily available. The black dashed line illustrates the underlying logic </w:t>
      </w:r>
      <w:r w:rsidR="00460116">
        <w:t>of</w:t>
      </w:r>
      <w:r w:rsidR="0067730A">
        <w:t xml:space="preserve"> DiD analysis by representing the unobserved counterfactual - in this case, what would have happened to broadband adoption in well-</w:t>
      </w:r>
      <w:r w:rsidR="00460116">
        <w:t>served</w:t>
      </w:r>
      <w:r w:rsidR="0067730A">
        <w:t xml:space="preserve"> counties had ACP not been launched in 2022.</w:t>
      </w:r>
    </w:p>
    <w:p w14:paraId="0353CB6C" w14:textId="609C0F7C" w:rsidR="00787A53" w:rsidRDefault="00787A53" w:rsidP="00787A53"/>
    <w:p w14:paraId="40AFA95A" w14:textId="0F3CECB3" w:rsidR="00787A53" w:rsidRDefault="006616FD" w:rsidP="00B13B79">
      <w:pPr>
        <w:jc w:val="center"/>
      </w:pPr>
      <w:r>
        <w:rPr>
          <w:noProof/>
        </w:rPr>
        <w:lastRenderedPageBreak/>
        <w:drawing>
          <wp:inline distT="0" distB="0" distL="0" distR="0" wp14:anchorId="2F5159F5" wp14:editId="471BC485">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DGraph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5DE2377" w14:textId="59C1A9B5" w:rsidR="00A14DF8" w:rsidRPr="00066E70" w:rsidRDefault="000B4060" w:rsidP="00C12876">
      <w:pPr>
        <w:pStyle w:val="Caption"/>
        <w:spacing w:after="0"/>
        <w:rPr>
          <w:color w:val="auto"/>
        </w:rPr>
      </w:pPr>
      <w:bookmarkStart w:id="3" w:name="_Ref159944759"/>
      <w:commentRangeStart w:id="4"/>
      <w:r w:rsidRPr="00066E70">
        <w:rPr>
          <w:color w:val="auto"/>
        </w:rPr>
        <w:t xml:space="preserve">Figure </w:t>
      </w:r>
      <w:r w:rsidR="00ED6E79" w:rsidRPr="00066E70">
        <w:rPr>
          <w:color w:val="auto"/>
        </w:rPr>
        <w:fldChar w:fldCharType="begin"/>
      </w:r>
      <w:r w:rsidR="00ED6E79" w:rsidRPr="00066E70">
        <w:rPr>
          <w:color w:val="auto"/>
        </w:rPr>
        <w:instrText xml:space="preserve"> SEQ Figure \* ARABIC </w:instrText>
      </w:r>
      <w:r w:rsidR="00ED6E79" w:rsidRPr="00066E70">
        <w:rPr>
          <w:color w:val="auto"/>
        </w:rPr>
        <w:fldChar w:fldCharType="separate"/>
      </w:r>
      <w:r w:rsidR="00A31123" w:rsidRPr="00066E70">
        <w:rPr>
          <w:noProof/>
          <w:color w:val="auto"/>
        </w:rPr>
        <w:t>2</w:t>
      </w:r>
      <w:r w:rsidR="00ED6E79" w:rsidRPr="00066E70">
        <w:rPr>
          <w:noProof/>
          <w:color w:val="auto"/>
        </w:rPr>
        <w:fldChar w:fldCharType="end"/>
      </w:r>
      <w:bookmarkEnd w:id="3"/>
      <w:r w:rsidRPr="00066E70">
        <w:rPr>
          <w:color w:val="auto"/>
        </w:rPr>
        <w:t>: Broadband + PC adoption in low-income counties (observed means), 2016-2022</w:t>
      </w:r>
      <w:r w:rsidR="00646D75" w:rsidRPr="00066E70">
        <w:rPr>
          <w:color w:val="auto"/>
        </w:rPr>
        <w:t xml:space="preserve"> (s</w:t>
      </w:r>
      <w:r w:rsidR="00A14DF8" w:rsidRPr="00066E70">
        <w:rPr>
          <w:color w:val="auto"/>
        </w:rPr>
        <w:t>ource: ACS 1-year estimates</w:t>
      </w:r>
      <w:r w:rsidR="00646D75" w:rsidRPr="00066E70">
        <w:rPr>
          <w:color w:val="auto"/>
        </w:rPr>
        <w:t>)</w:t>
      </w:r>
      <w:r w:rsidR="00A14DF8" w:rsidRPr="00066E70">
        <w:rPr>
          <w:color w:val="auto"/>
        </w:rPr>
        <w:t>.</w:t>
      </w:r>
      <w:commentRangeEnd w:id="4"/>
      <w:r w:rsidR="00255454">
        <w:rPr>
          <w:rStyle w:val="CommentReference"/>
          <w:i w:val="0"/>
          <w:iCs w:val="0"/>
          <w:color w:val="auto"/>
        </w:rPr>
        <w:commentReference w:id="4"/>
      </w:r>
    </w:p>
    <w:p w14:paraId="25A44F01" w14:textId="77777777" w:rsidR="00A14DF8" w:rsidRDefault="00A14DF8" w:rsidP="00787A53"/>
    <w:p w14:paraId="7D92CB20" w14:textId="37511EC5" w:rsidR="00364055" w:rsidRDefault="009358DC">
      <w:r>
        <w:t xml:space="preserve">Table 3 presents average treatment effect (ATE) estimates, with controls for total </w:t>
      </w:r>
      <w:r w:rsidR="00364055">
        <w:t>population</w:t>
      </w:r>
      <w:r>
        <w:t xml:space="preserve">, income, education, and age. The table </w:t>
      </w:r>
      <w:r w:rsidR="00364055">
        <w:t xml:space="preserve">presents estimates for two different specifications. Model 1 is a standard </w:t>
      </w:r>
      <w:r w:rsidR="00DD0D4A">
        <w:t xml:space="preserve">two-way </w:t>
      </w:r>
      <w:r w:rsidR="00364055">
        <w:t>spe</w:t>
      </w:r>
      <w:r w:rsidR="00DD0D4A">
        <w:t xml:space="preserve">cification with county-year </w:t>
      </w:r>
      <w:r w:rsidR="00DD0D4A">
        <w:t>fixed effects</w:t>
      </w:r>
      <w:r w:rsidR="00DD0D4A">
        <w:t xml:space="preserve">, while model 2 is a triple difference specification that </w:t>
      </w:r>
      <w:r w:rsidR="00DD0D4A">
        <w:t>replicate</w:t>
      </w:r>
      <w:r w:rsidR="00DD0D4A">
        <w:t>s</w:t>
      </w:r>
      <w:r w:rsidR="00DD0D4A">
        <w:t xml:space="preserve"> the empirical strategy used by Zuo (2021)</w:t>
      </w:r>
      <w:r w:rsidR="00DD0D4A">
        <w:t>.</w:t>
      </w:r>
      <w:r w:rsidR="00DD0D4A">
        <w:rPr>
          <w:rStyle w:val="FootnoteReference"/>
        </w:rPr>
        <w:footnoteReference w:id="5"/>
      </w:r>
      <w:r w:rsidR="00DD0D4A">
        <w:t xml:space="preserve"> A key difference is that the treatment variable (the supply of fixed broadband) is </w:t>
      </w:r>
      <w:r w:rsidR="00AC59D1">
        <w:t xml:space="preserve">a </w:t>
      </w:r>
      <w:r w:rsidR="00DD0D4A">
        <w:t xml:space="preserve">binary </w:t>
      </w:r>
      <w:r w:rsidR="00AC59D1">
        <w:t xml:space="preserve">factor in model 1 </w:t>
      </w:r>
      <w:r w:rsidR="00DD0D4A">
        <w:t xml:space="preserve">(and thus indicates a comparison between underserved and well-served counties), while in model 2 it </w:t>
      </w:r>
      <w:r w:rsidR="00F97F57">
        <w:t xml:space="preserve">enters the model as a continuous </w:t>
      </w:r>
      <w:r w:rsidR="00F97F57">
        <w:t xml:space="preserve">variable (i.e., </w:t>
      </w:r>
      <w:r w:rsidR="00AC59D1">
        <w:t xml:space="preserve">as </w:t>
      </w:r>
      <w:r w:rsidR="00DD0D4A">
        <w:t xml:space="preserve">the share of locations </w:t>
      </w:r>
      <w:r w:rsidR="00F97F57">
        <w:t xml:space="preserve">in a county served by fixed broadband). </w:t>
      </w:r>
      <w:r w:rsidR="00AC59D1">
        <w:t>In addition, n</w:t>
      </w:r>
      <w:r w:rsidR="00F97F57">
        <w:t xml:space="preserve">otice the sample size </w:t>
      </w:r>
      <w:r w:rsidR="00F97F57">
        <w:t>is</w:t>
      </w:r>
      <w:r w:rsidR="00F97F57">
        <w:t xml:space="preserve"> significantly larger </w:t>
      </w:r>
      <w:r w:rsidR="00F97F57">
        <w:t>in</w:t>
      </w:r>
      <w:r w:rsidR="00F97F57">
        <w:t xml:space="preserve"> </w:t>
      </w:r>
      <w:r w:rsidR="00F97F57">
        <w:t>model 2</w:t>
      </w:r>
      <w:r w:rsidR="00F97F57">
        <w:t xml:space="preserve"> as this specification uses information for all counties in our sample for which ACS 1-year information is available (1,921 counties), </w:t>
      </w:r>
      <w:r w:rsidR="00F97F57">
        <w:t>whereas model 1 is restricted to low-income counties with a threshold set at $50,000/year.</w:t>
      </w:r>
    </w:p>
    <w:p w14:paraId="0E5091EB" w14:textId="5BAECA5B" w:rsidR="00363E1C" w:rsidRDefault="001C2917" w:rsidP="00787A53">
      <w:r>
        <w:t xml:space="preserve">The results </w:t>
      </w:r>
      <w:r w:rsidR="00F97F57">
        <w:t>indicate</w:t>
      </w:r>
      <w:r w:rsidR="00FE1C30">
        <w:t xml:space="preserve"> </w:t>
      </w:r>
      <w:r w:rsidR="00AC59D1">
        <w:t xml:space="preserve">that </w:t>
      </w:r>
      <w:r w:rsidR="00A14DF8">
        <w:t xml:space="preserve">the ACP program resulted in an increase </w:t>
      </w:r>
      <w:r w:rsidR="00626BF8">
        <w:t xml:space="preserve">of </w:t>
      </w:r>
      <w:r w:rsidR="00FE1C30">
        <w:t>between 6 and 10</w:t>
      </w:r>
      <w:r w:rsidR="00142A18">
        <w:t xml:space="preserve"> percentage points in broadband and </w:t>
      </w:r>
      <w:r w:rsidR="00B13B79">
        <w:t xml:space="preserve">PC adoption </w:t>
      </w:r>
      <w:r w:rsidR="005810DA">
        <w:t>in</w:t>
      </w:r>
      <w:r w:rsidR="00B13B79">
        <w:t xml:space="preserve"> low-income counties </w:t>
      </w:r>
      <w:r w:rsidR="00A14DF8">
        <w:t>adequate</w:t>
      </w:r>
      <w:r w:rsidR="00B13B79">
        <w:t xml:space="preserve">ly </w:t>
      </w:r>
      <w:r w:rsidR="00D018E5">
        <w:t>served</w:t>
      </w:r>
      <w:r w:rsidR="00B13B79">
        <w:t xml:space="preserve"> by</w:t>
      </w:r>
      <w:r w:rsidR="00A14DF8">
        <w:t xml:space="preserve"> fixed broadband</w:t>
      </w:r>
      <w:r w:rsidR="00B13B79">
        <w:t xml:space="preserve">, relative to </w:t>
      </w:r>
      <w:r w:rsidR="000E3A3E">
        <w:t>underserved</w:t>
      </w:r>
      <w:r w:rsidR="00B13B79">
        <w:t xml:space="preserve"> counties. T</w:t>
      </w:r>
      <w:r w:rsidR="00FE1C30">
        <w:t>aking the more conservative estimate in model 1, t</w:t>
      </w:r>
      <w:r w:rsidR="00B13B79">
        <w:t xml:space="preserve">his represents an increase of </w:t>
      </w:r>
      <w:r w:rsidR="00FE1C30">
        <w:t>about 7</w:t>
      </w:r>
      <w:r w:rsidR="00B13B79">
        <w:t xml:space="preserve">% relative to the </w:t>
      </w:r>
      <w:r w:rsidR="00E058A6">
        <w:t xml:space="preserve">average </w:t>
      </w:r>
      <w:r w:rsidR="00B13B79">
        <w:t xml:space="preserve">adoption level </w:t>
      </w:r>
      <w:r w:rsidR="0042600A">
        <w:t xml:space="preserve">in adequately served counties in </w:t>
      </w:r>
      <w:r w:rsidR="004970A7">
        <w:t>2021</w:t>
      </w:r>
      <w:r w:rsidR="00E058A6">
        <w:t xml:space="preserve"> </w:t>
      </w:r>
      <w:r w:rsidR="0042600A">
        <w:t>(79.7</w:t>
      </w:r>
      <w:r w:rsidR="004970A7">
        <w:t xml:space="preserve">%), the period immediately before treatment. </w:t>
      </w:r>
      <w:r w:rsidR="000A23EF">
        <w:t xml:space="preserve">Because of the relatively small sample size and the limitations in the ACS data (particularly the fact that only a single post-treatment data point is available), </w:t>
      </w:r>
      <w:r w:rsidR="00FE1C30">
        <w:t xml:space="preserve">model 1 </w:t>
      </w:r>
      <w:r w:rsidR="000A23EF">
        <w:t xml:space="preserve">results are </w:t>
      </w:r>
      <w:r w:rsidR="00066E70">
        <w:t xml:space="preserve">statistically </w:t>
      </w:r>
      <w:r w:rsidR="000A23EF">
        <w:t>significant at lower confidence levels than usual</w:t>
      </w:r>
      <w:r w:rsidR="00AC59D1">
        <w:t>. Due to these limitations</w:t>
      </w:r>
      <w:r w:rsidR="000A23EF">
        <w:t xml:space="preserve">, </w:t>
      </w:r>
      <w:r w:rsidR="00AC59D1">
        <w:t>results</w:t>
      </w:r>
      <w:r w:rsidR="000A23EF">
        <w:t xml:space="preserve"> mus</w:t>
      </w:r>
      <w:r w:rsidR="00FE1C30">
        <w:t>t be interpreted as indicative.</w:t>
      </w:r>
    </w:p>
    <w:p w14:paraId="52C277BC" w14:textId="3CB85CCE" w:rsidR="00B13B79" w:rsidRPr="00066E70" w:rsidRDefault="00411184" w:rsidP="00787A53">
      <w:pPr>
        <w:rPr>
          <w:i/>
        </w:rPr>
      </w:pPr>
      <w:r w:rsidRPr="00066E70">
        <w:rPr>
          <w:i/>
        </w:rPr>
        <w:lastRenderedPageBreak/>
        <w:t xml:space="preserve">Table 3: </w:t>
      </w:r>
      <w:r w:rsidR="00D4353D" w:rsidRPr="00066E70">
        <w:rPr>
          <w:i/>
        </w:rPr>
        <w:t>Average treatment effect</w:t>
      </w:r>
      <w:r w:rsidRPr="00066E70">
        <w:rPr>
          <w:i/>
        </w:rPr>
        <w:t xml:space="preserve"> of ACP </w:t>
      </w:r>
      <w:r w:rsidR="00142A18" w:rsidRPr="00066E70">
        <w:rPr>
          <w:i/>
        </w:rPr>
        <w:t xml:space="preserve">on broadband and </w:t>
      </w:r>
      <w:r w:rsidR="00C63C24" w:rsidRPr="00066E70">
        <w:rPr>
          <w:i/>
        </w:rPr>
        <w:t>PC adoption</w:t>
      </w:r>
    </w:p>
    <w:tbl>
      <w:tblPr>
        <w:tblW w:w="8226" w:type="dxa"/>
        <w:jc w:val="center"/>
        <w:tblLayout w:type="fixed"/>
        <w:tblCellMar>
          <w:left w:w="75" w:type="dxa"/>
          <w:right w:w="75" w:type="dxa"/>
        </w:tblCellMar>
        <w:tblLook w:val="0000" w:firstRow="0" w:lastRow="0" w:firstColumn="0" w:lastColumn="0" w:noHBand="0" w:noVBand="0"/>
      </w:tblPr>
      <w:tblGrid>
        <w:gridCol w:w="4140"/>
        <w:gridCol w:w="1980"/>
        <w:gridCol w:w="2106"/>
      </w:tblGrid>
      <w:tr w:rsidR="00F97F57" w:rsidRPr="00411184" w14:paraId="2EF3F090" w14:textId="77777777" w:rsidTr="00F97F57">
        <w:trPr>
          <w:jc w:val="center"/>
        </w:trPr>
        <w:tc>
          <w:tcPr>
            <w:tcW w:w="4140" w:type="dxa"/>
            <w:tcBorders>
              <w:top w:val="single" w:sz="4" w:space="0" w:color="auto"/>
              <w:left w:val="nil"/>
              <w:right w:val="nil"/>
            </w:tcBorders>
          </w:tcPr>
          <w:p w14:paraId="697437E9" w14:textId="545015B9" w:rsidR="00F97F57" w:rsidRPr="00411184" w:rsidRDefault="00F97F57" w:rsidP="00AC59D1">
            <w:pPr>
              <w:widowControl w:val="0"/>
              <w:autoSpaceDE w:val="0"/>
              <w:autoSpaceDN w:val="0"/>
              <w:adjustRightInd w:val="0"/>
              <w:spacing w:after="0" w:line="240" w:lineRule="auto"/>
              <w:rPr>
                <w:rFonts w:eastAsia="Times New Roman" w:cstheme="minorHAnsi"/>
                <w:sz w:val="20"/>
                <w:szCs w:val="20"/>
              </w:rPr>
            </w:pPr>
          </w:p>
        </w:tc>
        <w:tc>
          <w:tcPr>
            <w:tcW w:w="1980" w:type="dxa"/>
            <w:tcBorders>
              <w:top w:val="single" w:sz="4" w:space="0" w:color="auto"/>
              <w:left w:val="nil"/>
              <w:right w:val="nil"/>
            </w:tcBorders>
          </w:tcPr>
          <w:p w14:paraId="2A91CE19" w14:textId="1105657B" w:rsidR="00F97F57" w:rsidRPr="00411184" w:rsidRDefault="00F97F57" w:rsidP="00AC59D1">
            <w:pPr>
              <w:widowControl w:val="0"/>
              <w:autoSpaceDE w:val="0"/>
              <w:autoSpaceDN w:val="0"/>
              <w:adjustRightInd w:val="0"/>
              <w:spacing w:after="0" w:line="240" w:lineRule="auto"/>
              <w:jc w:val="center"/>
              <w:rPr>
                <w:rFonts w:eastAsia="Times New Roman" w:cstheme="minorHAnsi"/>
                <w:sz w:val="20"/>
                <w:szCs w:val="20"/>
              </w:rPr>
            </w:pPr>
            <w:r w:rsidRPr="00411184">
              <w:rPr>
                <w:rFonts w:eastAsia="Times New Roman" w:cstheme="minorHAnsi"/>
                <w:sz w:val="20"/>
                <w:szCs w:val="20"/>
              </w:rPr>
              <w:t>(1)</w:t>
            </w:r>
          </w:p>
        </w:tc>
        <w:tc>
          <w:tcPr>
            <w:tcW w:w="2106" w:type="dxa"/>
            <w:tcBorders>
              <w:top w:val="single" w:sz="4" w:space="0" w:color="auto"/>
              <w:left w:val="nil"/>
              <w:right w:val="nil"/>
            </w:tcBorders>
          </w:tcPr>
          <w:p w14:paraId="369C5080" w14:textId="41574AD5" w:rsidR="00F97F57" w:rsidRPr="00411184" w:rsidRDefault="00F97F57" w:rsidP="00AC59D1">
            <w:pPr>
              <w:widowControl w:val="0"/>
              <w:autoSpaceDE w:val="0"/>
              <w:autoSpaceDN w:val="0"/>
              <w:adjustRightInd w:val="0"/>
              <w:spacing w:after="0" w:line="240" w:lineRule="auto"/>
              <w:jc w:val="center"/>
              <w:rPr>
                <w:rFonts w:eastAsia="Times New Roman" w:cstheme="minorHAnsi"/>
                <w:sz w:val="20"/>
                <w:szCs w:val="20"/>
              </w:rPr>
            </w:pPr>
            <w:r w:rsidRPr="00411184">
              <w:rPr>
                <w:rFonts w:eastAsia="Times New Roman" w:cstheme="minorHAnsi"/>
                <w:sz w:val="20"/>
                <w:szCs w:val="20"/>
              </w:rPr>
              <w:t>(2)</w:t>
            </w:r>
          </w:p>
        </w:tc>
      </w:tr>
      <w:tr w:rsidR="00F97F57" w:rsidRPr="00411184" w14:paraId="7973DAAC" w14:textId="77777777" w:rsidTr="00F97F57">
        <w:trPr>
          <w:jc w:val="center"/>
        </w:trPr>
        <w:tc>
          <w:tcPr>
            <w:tcW w:w="4140" w:type="dxa"/>
            <w:tcBorders>
              <w:left w:val="nil"/>
              <w:bottom w:val="single" w:sz="6" w:space="0" w:color="auto"/>
              <w:right w:val="nil"/>
            </w:tcBorders>
          </w:tcPr>
          <w:p w14:paraId="7336576E" w14:textId="77777777" w:rsidR="00F97F57" w:rsidRPr="00411184" w:rsidRDefault="00F97F57" w:rsidP="00AC59D1">
            <w:pPr>
              <w:widowControl w:val="0"/>
              <w:autoSpaceDE w:val="0"/>
              <w:autoSpaceDN w:val="0"/>
              <w:adjustRightInd w:val="0"/>
              <w:spacing w:after="0" w:line="240" w:lineRule="auto"/>
              <w:rPr>
                <w:rFonts w:eastAsia="Times New Roman" w:cstheme="minorHAnsi"/>
                <w:sz w:val="20"/>
                <w:szCs w:val="20"/>
              </w:rPr>
            </w:pPr>
          </w:p>
        </w:tc>
        <w:tc>
          <w:tcPr>
            <w:tcW w:w="1980" w:type="dxa"/>
            <w:tcBorders>
              <w:left w:val="nil"/>
              <w:bottom w:val="single" w:sz="6" w:space="0" w:color="auto"/>
              <w:right w:val="nil"/>
            </w:tcBorders>
          </w:tcPr>
          <w:p w14:paraId="06C505EF" w14:textId="0B468760" w:rsidR="00F97F57" w:rsidRPr="00411184" w:rsidRDefault="00F97F57" w:rsidP="00AC59D1">
            <w:pPr>
              <w:widowControl w:val="0"/>
              <w:autoSpaceDE w:val="0"/>
              <w:autoSpaceDN w:val="0"/>
              <w:adjustRightInd w:val="0"/>
              <w:spacing w:after="0" w:line="240" w:lineRule="auto"/>
              <w:ind w:right="-379"/>
              <w:jc w:val="center"/>
              <w:rPr>
                <w:rFonts w:eastAsia="Times New Roman" w:cstheme="minorHAnsi"/>
                <w:sz w:val="20"/>
                <w:szCs w:val="20"/>
              </w:rPr>
            </w:pPr>
            <w:r>
              <w:rPr>
                <w:rFonts w:cstheme="minorHAnsi"/>
                <w:sz w:val="20"/>
                <w:szCs w:val="20"/>
              </w:rPr>
              <w:t>Double difference</w:t>
            </w:r>
            <w:r w:rsidR="00AC59D1">
              <w:rPr>
                <w:rFonts w:cstheme="minorHAnsi"/>
                <w:sz w:val="20"/>
                <w:szCs w:val="20"/>
              </w:rPr>
              <w:t xml:space="preserve"> specification</w:t>
            </w:r>
          </w:p>
        </w:tc>
        <w:tc>
          <w:tcPr>
            <w:tcW w:w="2106" w:type="dxa"/>
            <w:tcBorders>
              <w:left w:val="nil"/>
              <w:bottom w:val="single" w:sz="6" w:space="0" w:color="auto"/>
              <w:right w:val="nil"/>
            </w:tcBorders>
          </w:tcPr>
          <w:p w14:paraId="4F8155C0" w14:textId="3E072DA9" w:rsidR="00F97F57" w:rsidRPr="00411184" w:rsidRDefault="00F97F57" w:rsidP="00AC59D1">
            <w:pPr>
              <w:widowControl w:val="0"/>
              <w:autoSpaceDE w:val="0"/>
              <w:autoSpaceDN w:val="0"/>
              <w:adjustRightInd w:val="0"/>
              <w:spacing w:after="0" w:line="240" w:lineRule="auto"/>
              <w:jc w:val="center"/>
              <w:rPr>
                <w:rFonts w:eastAsia="Times New Roman" w:cstheme="minorHAnsi"/>
                <w:sz w:val="20"/>
                <w:szCs w:val="20"/>
              </w:rPr>
            </w:pPr>
            <w:r>
              <w:rPr>
                <w:rFonts w:cstheme="minorHAnsi"/>
                <w:sz w:val="20"/>
                <w:szCs w:val="20"/>
              </w:rPr>
              <w:t>Triple difference</w:t>
            </w:r>
            <w:r w:rsidR="00AC59D1">
              <w:rPr>
                <w:rFonts w:cstheme="minorHAnsi"/>
                <w:sz w:val="20"/>
                <w:szCs w:val="20"/>
              </w:rPr>
              <w:t xml:space="preserve"> specification</w:t>
            </w:r>
          </w:p>
        </w:tc>
      </w:tr>
      <w:tr w:rsidR="00F97F57" w:rsidRPr="00411184" w14:paraId="4B87DC66" w14:textId="77777777" w:rsidTr="00F97F57">
        <w:trPr>
          <w:jc w:val="center"/>
        </w:trPr>
        <w:tc>
          <w:tcPr>
            <w:tcW w:w="4140" w:type="dxa"/>
            <w:tcBorders>
              <w:top w:val="nil"/>
              <w:left w:val="nil"/>
              <w:bottom w:val="nil"/>
              <w:right w:val="nil"/>
            </w:tcBorders>
          </w:tcPr>
          <w:p w14:paraId="24EE5359" w14:textId="0B9A687B" w:rsidR="00F97F57" w:rsidRPr="00411184" w:rsidRDefault="00F97F57" w:rsidP="00F97F57">
            <w:pPr>
              <w:widowControl w:val="0"/>
              <w:autoSpaceDE w:val="0"/>
              <w:autoSpaceDN w:val="0"/>
              <w:adjustRightInd w:val="0"/>
              <w:spacing w:after="0" w:line="240" w:lineRule="auto"/>
              <w:rPr>
                <w:rFonts w:cstheme="minorHAnsi"/>
                <w:b/>
                <w:sz w:val="20"/>
                <w:szCs w:val="20"/>
              </w:rPr>
            </w:pPr>
            <w:r w:rsidRPr="00114FD5">
              <w:rPr>
                <w:rFonts w:cstheme="minorHAnsi"/>
                <w:b/>
                <w:sz w:val="20"/>
                <w:szCs w:val="20"/>
              </w:rPr>
              <w:t>Average treatment effect</w:t>
            </w:r>
            <w:r>
              <w:rPr>
                <w:rFonts w:cstheme="minorHAnsi"/>
                <w:b/>
                <w:sz w:val="20"/>
                <w:szCs w:val="20"/>
              </w:rPr>
              <w:t xml:space="preserve"> (% broadband+PC)</w:t>
            </w:r>
          </w:p>
        </w:tc>
        <w:tc>
          <w:tcPr>
            <w:tcW w:w="1980" w:type="dxa"/>
            <w:tcBorders>
              <w:top w:val="nil"/>
              <w:left w:val="nil"/>
              <w:bottom w:val="nil"/>
              <w:right w:val="nil"/>
            </w:tcBorders>
          </w:tcPr>
          <w:p w14:paraId="790AC574" w14:textId="1AE952A9" w:rsidR="00F97F57" w:rsidRPr="00142A18" w:rsidRDefault="00F97F57" w:rsidP="00114FD5">
            <w:pPr>
              <w:widowControl w:val="0"/>
              <w:autoSpaceDE w:val="0"/>
              <w:autoSpaceDN w:val="0"/>
              <w:adjustRightInd w:val="0"/>
              <w:spacing w:after="0" w:line="240" w:lineRule="auto"/>
              <w:jc w:val="center"/>
              <w:rPr>
                <w:rFonts w:cstheme="minorHAnsi"/>
                <w:b/>
                <w:sz w:val="20"/>
                <w:szCs w:val="20"/>
              </w:rPr>
            </w:pPr>
            <w:r>
              <w:rPr>
                <w:rFonts w:cstheme="minorHAnsi"/>
                <w:b/>
                <w:sz w:val="20"/>
                <w:szCs w:val="20"/>
              </w:rPr>
              <w:t>0.0572</w:t>
            </w:r>
            <w:r w:rsidRPr="00142A18">
              <w:rPr>
                <w:rFonts w:cstheme="minorHAnsi"/>
                <w:b/>
                <w:sz w:val="20"/>
                <w:szCs w:val="20"/>
              </w:rPr>
              <w:t>*</w:t>
            </w:r>
          </w:p>
          <w:p w14:paraId="66005020" w14:textId="0AD1020E" w:rsidR="00F97F57" w:rsidRPr="00FE1C30" w:rsidRDefault="00F97F57" w:rsidP="00114FD5">
            <w:pPr>
              <w:widowControl w:val="0"/>
              <w:autoSpaceDE w:val="0"/>
              <w:autoSpaceDN w:val="0"/>
              <w:adjustRightInd w:val="0"/>
              <w:spacing w:after="0" w:line="240" w:lineRule="auto"/>
              <w:jc w:val="center"/>
              <w:rPr>
                <w:rFonts w:cstheme="minorHAnsi"/>
                <w:b/>
                <w:sz w:val="20"/>
                <w:szCs w:val="20"/>
              </w:rPr>
            </w:pPr>
            <w:r>
              <w:rPr>
                <w:rFonts w:cstheme="minorHAnsi"/>
                <w:b/>
                <w:sz w:val="20"/>
                <w:szCs w:val="20"/>
              </w:rPr>
              <w:t>(</w:t>
            </w:r>
            <w:r w:rsidRPr="00E47CF9">
              <w:rPr>
                <w:rFonts w:cstheme="minorHAnsi"/>
                <w:b/>
                <w:sz w:val="20"/>
                <w:szCs w:val="20"/>
              </w:rPr>
              <w:t>0.</w:t>
            </w:r>
            <w:r w:rsidR="00FE1C30">
              <w:rPr>
                <w:rFonts w:cstheme="minorHAnsi"/>
                <w:b/>
                <w:sz w:val="20"/>
                <w:szCs w:val="20"/>
              </w:rPr>
              <w:t>0345</w:t>
            </w:r>
            <w:r w:rsidRPr="00142A18">
              <w:rPr>
                <w:rFonts w:cstheme="minorHAnsi"/>
                <w:b/>
                <w:sz w:val="20"/>
                <w:szCs w:val="20"/>
              </w:rPr>
              <w:t>)</w:t>
            </w:r>
          </w:p>
        </w:tc>
        <w:tc>
          <w:tcPr>
            <w:tcW w:w="2106" w:type="dxa"/>
            <w:tcBorders>
              <w:top w:val="nil"/>
              <w:left w:val="nil"/>
              <w:bottom w:val="nil"/>
              <w:right w:val="nil"/>
            </w:tcBorders>
          </w:tcPr>
          <w:p w14:paraId="7A9CBA33" w14:textId="77777777" w:rsidR="00FE1C30" w:rsidRDefault="00FE1C30" w:rsidP="00114FD5">
            <w:pPr>
              <w:widowControl w:val="0"/>
              <w:autoSpaceDE w:val="0"/>
              <w:autoSpaceDN w:val="0"/>
              <w:adjustRightInd w:val="0"/>
              <w:spacing w:after="0" w:line="240" w:lineRule="auto"/>
              <w:jc w:val="center"/>
              <w:rPr>
                <w:rFonts w:cstheme="minorHAnsi"/>
                <w:b/>
                <w:sz w:val="20"/>
                <w:szCs w:val="20"/>
              </w:rPr>
            </w:pPr>
            <w:r w:rsidRPr="00FE1C30">
              <w:rPr>
                <w:rFonts w:cstheme="minorHAnsi"/>
                <w:b/>
                <w:sz w:val="20"/>
                <w:szCs w:val="20"/>
              </w:rPr>
              <w:t xml:space="preserve">0.0984*** </w:t>
            </w:r>
          </w:p>
          <w:p w14:paraId="350ED0D0" w14:textId="64F98192" w:rsidR="00F97F57" w:rsidRPr="00411184" w:rsidRDefault="00F97F57" w:rsidP="00114FD5">
            <w:pPr>
              <w:widowControl w:val="0"/>
              <w:autoSpaceDE w:val="0"/>
              <w:autoSpaceDN w:val="0"/>
              <w:adjustRightInd w:val="0"/>
              <w:spacing w:after="0" w:line="240" w:lineRule="auto"/>
              <w:jc w:val="center"/>
              <w:rPr>
                <w:rFonts w:cstheme="minorHAnsi"/>
                <w:b/>
                <w:sz w:val="20"/>
                <w:szCs w:val="20"/>
              </w:rPr>
            </w:pPr>
            <w:r>
              <w:rPr>
                <w:rFonts w:cstheme="minorHAnsi"/>
                <w:b/>
                <w:sz w:val="20"/>
                <w:szCs w:val="20"/>
              </w:rPr>
              <w:t>(</w:t>
            </w:r>
            <w:r w:rsidR="00FE1C30" w:rsidRPr="00FE1C30">
              <w:rPr>
                <w:rFonts w:cstheme="minorHAnsi"/>
                <w:b/>
                <w:sz w:val="20"/>
                <w:szCs w:val="20"/>
              </w:rPr>
              <w:t>0.0307</w:t>
            </w:r>
            <w:r w:rsidRPr="00411184">
              <w:rPr>
                <w:rFonts w:cstheme="minorHAnsi"/>
                <w:b/>
                <w:sz w:val="20"/>
                <w:szCs w:val="20"/>
              </w:rPr>
              <w:t>)</w:t>
            </w:r>
          </w:p>
        </w:tc>
      </w:tr>
      <w:tr w:rsidR="00F97F57" w:rsidRPr="00411184" w14:paraId="0DFE561B" w14:textId="77777777" w:rsidTr="00F97F57">
        <w:trPr>
          <w:jc w:val="center"/>
        </w:trPr>
        <w:tc>
          <w:tcPr>
            <w:tcW w:w="4140" w:type="dxa"/>
            <w:tcBorders>
              <w:top w:val="nil"/>
              <w:left w:val="nil"/>
              <w:bottom w:val="nil"/>
              <w:right w:val="nil"/>
            </w:tcBorders>
          </w:tcPr>
          <w:p w14:paraId="361F18EF" w14:textId="77777777" w:rsidR="00F97F57" w:rsidRPr="00411184" w:rsidRDefault="00F97F57" w:rsidP="00114FD5">
            <w:pPr>
              <w:widowControl w:val="0"/>
              <w:autoSpaceDE w:val="0"/>
              <w:autoSpaceDN w:val="0"/>
              <w:adjustRightInd w:val="0"/>
              <w:spacing w:after="0" w:line="240" w:lineRule="auto"/>
              <w:rPr>
                <w:rFonts w:cstheme="minorHAnsi"/>
                <w:b/>
                <w:sz w:val="20"/>
                <w:szCs w:val="20"/>
              </w:rPr>
            </w:pPr>
          </w:p>
        </w:tc>
        <w:tc>
          <w:tcPr>
            <w:tcW w:w="1980" w:type="dxa"/>
            <w:tcBorders>
              <w:top w:val="nil"/>
              <w:left w:val="nil"/>
              <w:bottom w:val="nil"/>
              <w:right w:val="nil"/>
            </w:tcBorders>
          </w:tcPr>
          <w:p w14:paraId="620C6788" w14:textId="4511EA13" w:rsidR="00F97F57" w:rsidRPr="00411184" w:rsidRDefault="00F97F57" w:rsidP="00114FD5">
            <w:pPr>
              <w:widowControl w:val="0"/>
              <w:autoSpaceDE w:val="0"/>
              <w:autoSpaceDN w:val="0"/>
              <w:adjustRightInd w:val="0"/>
              <w:spacing w:after="0" w:line="240" w:lineRule="auto"/>
              <w:jc w:val="center"/>
              <w:rPr>
                <w:rFonts w:cstheme="minorHAnsi"/>
                <w:b/>
                <w:sz w:val="20"/>
                <w:szCs w:val="20"/>
              </w:rPr>
            </w:pPr>
          </w:p>
        </w:tc>
        <w:tc>
          <w:tcPr>
            <w:tcW w:w="2106" w:type="dxa"/>
            <w:tcBorders>
              <w:top w:val="nil"/>
              <w:left w:val="nil"/>
              <w:bottom w:val="nil"/>
              <w:right w:val="nil"/>
            </w:tcBorders>
          </w:tcPr>
          <w:p w14:paraId="10ECBD07" w14:textId="3AC5FABD" w:rsidR="00F97F57" w:rsidRPr="00411184" w:rsidRDefault="00F97F57" w:rsidP="00266CD7">
            <w:pPr>
              <w:widowControl w:val="0"/>
              <w:autoSpaceDE w:val="0"/>
              <w:autoSpaceDN w:val="0"/>
              <w:adjustRightInd w:val="0"/>
              <w:spacing w:after="0" w:line="240" w:lineRule="auto"/>
              <w:jc w:val="center"/>
              <w:rPr>
                <w:rFonts w:cstheme="minorHAnsi"/>
                <w:b/>
                <w:sz w:val="20"/>
                <w:szCs w:val="20"/>
              </w:rPr>
            </w:pPr>
          </w:p>
        </w:tc>
      </w:tr>
      <w:tr w:rsidR="00F97F57" w:rsidRPr="00411184" w14:paraId="019C5026" w14:textId="77777777" w:rsidTr="00F97F57">
        <w:trPr>
          <w:jc w:val="center"/>
        </w:trPr>
        <w:tc>
          <w:tcPr>
            <w:tcW w:w="4140" w:type="dxa"/>
            <w:tcBorders>
              <w:top w:val="nil"/>
              <w:left w:val="nil"/>
              <w:right w:val="nil"/>
            </w:tcBorders>
          </w:tcPr>
          <w:p w14:paraId="20DC6B47" w14:textId="07D72463" w:rsidR="00F97F57" w:rsidRPr="00114FD5" w:rsidRDefault="00F97F57" w:rsidP="00114FD5">
            <w:pPr>
              <w:widowControl w:val="0"/>
              <w:autoSpaceDE w:val="0"/>
              <w:autoSpaceDN w:val="0"/>
              <w:adjustRightInd w:val="0"/>
              <w:spacing w:after="0" w:line="240" w:lineRule="auto"/>
              <w:rPr>
                <w:rFonts w:cstheme="minorHAnsi"/>
                <w:sz w:val="20"/>
                <w:szCs w:val="20"/>
              </w:rPr>
            </w:pPr>
            <w:r w:rsidRPr="00114FD5">
              <w:rPr>
                <w:rFonts w:cstheme="minorHAnsi"/>
                <w:sz w:val="20"/>
                <w:szCs w:val="20"/>
              </w:rPr>
              <w:t>Demographic controls</w:t>
            </w:r>
          </w:p>
        </w:tc>
        <w:tc>
          <w:tcPr>
            <w:tcW w:w="1980" w:type="dxa"/>
            <w:tcBorders>
              <w:top w:val="nil"/>
              <w:left w:val="nil"/>
              <w:right w:val="nil"/>
            </w:tcBorders>
          </w:tcPr>
          <w:p w14:paraId="430C410F" w14:textId="508AD340" w:rsidR="00F97F57" w:rsidRPr="00114FD5" w:rsidRDefault="00F97F57" w:rsidP="00114FD5">
            <w:pPr>
              <w:widowControl w:val="0"/>
              <w:autoSpaceDE w:val="0"/>
              <w:autoSpaceDN w:val="0"/>
              <w:adjustRightInd w:val="0"/>
              <w:spacing w:after="0" w:line="240" w:lineRule="auto"/>
              <w:jc w:val="center"/>
              <w:rPr>
                <w:rFonts w:cstheme="minorHAnsi"/>
                <w:sz w:val="20"/>
                <w:szCs w:val="20"/>
              </w:rPr>
            </w:pPr>
            <w:r>
              <w:rPr>
                <w:rFonts w:cstheme="minorHAnsi"/>
                <w:sz w:val="20"/>
                <w:szCs w:val="20"/>
              </w:rPr>
              <w:t>Yes</w:t>
            </w:r>
          </w:p>
        </w:tc>
        <w:tc>
          <w:tcPr>
            <w:tcW w:w="2106" w:type="dxa"/>
            <w:tcBorders>
              <w:top w:val="nil"/>
              <w:left w:val="nil"/>
              <w:right w:val="nil"/>
            </w:tcBorders>
          </w:tcPr>
          <w:p w14:paraId="4828B41D" w14:textId="0BF17550" w:rsidR="00F97F57" w:rsidRPr="00114FD5" w:rsidRDefault="00F97F57" w:rsidP="00114FD5">
            <w:pPr>
              <w:widowControl w:val="0"/>
              <w:autoSpaceDE w:val="0"/>
              <w:autoSpaceDN w:val="0"/>
              <w:adjustRightInd w:val="0"/>
              <w:spacing w:after="0" w:line="240" w:lineRule="auto"/>
              <w:jc w:val="center"/>
              <w:rPr>
                <w:rFonts w:cstheme="minorHAnsi"/>
                <w:sz w:val="20"/>
                <w:szCs w:val="20"/>
              </w:rPr>
            </w:pPr>
            <w:r>
              <w:rPr>
                <w:rFonts w:cstheme="minorHAnsi"/>
                <w:sz w:val="20"/>
                <w:szCs w:val="20"/>
              </w:rPr>
              <w:t>Yes</w:t>
            </w:r>
          </w:p>
        </w:tc>
      </w:tr>
      <w:tr w:rsidR="00F97F57" w:rsidRPr="00411184" w14:paraId="06F3C48E" w14:textId="77777777" w:rsidTr="00F97F57">
        <w:trPr>
          <w:jc w:val="center"/>
        </w:trPr>
        <w:tc>
          <w:tcPr>
            <w:tcW w:w="4140" w:type="dxa"/>
            <w:tcBorders>
              <w:top w:val="nil"/>
              <w:left w:val="nil"/>
              <w:right w:val="nil"/>
            </w:tcBorders>
          </w:tcPr>
          <w:p w14:paraId="30CDD550" w14:textId="77777777" w:rsidR="00F97F57" w:rsidRPr="00411184" w:rsidRDefault="00F97F57" w:rsidP="00114FD5">
            <w:pPr>
              <w:widowControl w:val="0"/>
              <w:autoSpaceDE w:val="0"/>
              <w:autoSpaceDN w:val="0"/>
              <w:adjustRightInd w:val="0"/>
              <w:spacing w:after="0" w:line="240" w:lineRule="auto"/>
              <w:rPr>
                <w:rFonts w:cstheme="minorHAnsi"/>
                <w:sz w:val="20"/>
                <w:szCs w:val="20"/>
              </w:rPr>
            </w:pPr>
            <w:r w:rsidRPr="00411184">
              <w:rPr>
                <w:rFonts w:cstheme="minorHAnsi"/>
                <w:sz w:val="20"/>
                <w:szCs w:val="20"/>
              </w:rPr>
              <w:t>Observations</w:t>
            </w:r>
          </w:p>
        </w:tc>
        <w:tc>
          <w:tcPr>
            <w:tcW w:w="1980" w:type="dxa"/>
            <w:tcBorders>
              <w:top w:val="nil"/>
              <w:left w:val="nil"/>
              <w:right w:val="nil"/>
            </w:tcBorders>
          </w:tcPr>
          <w:p w14:paraId="637D1DD3" w14:textId="485FBAA2" w:rsidR="00F97F57" w:rsidRPr="00411184" w:rsidRDefault="00F97F57" w:rsidP="00114FD5">
            <w:pPr>
              <w:widowControl w:val="0"/>
              <w:autoSpaceDE w:val="0"/>
              <w:autoSpaceDN w:val="0"/>
              <w:adjustRightInd w:val="0"/>
              <w:spacing w:after="0" w:line="240" w:lineRule="auto"/>
              <w:jc w:val="center"/>
              <w:rPr>
                <w:rFonts w:cstheme="minorHAnsi"/>
                <w:sz w:val="20"/>
                <w:szCs w:val="20"/>
              </w:rPr>
            </w:pPr>
            <w:r w:rsidRPr="00114FD5">
              <w:rPr>
                <w:rFonts w:cstheme="minorHAnsi"/>
                <w:sz w:val="20"/>
                <w:szCs w:val="20"/>
              </w:rPr>
              <w:t>1,471</w:t>
            </w:r>
          </w:p>
        </w:tc>
        <w:tc>
          <w:tcPr>
            <w:tcW w:w="2106" w:type="dxa"/>
            <w:tcBorders>
              <w:top w:val="nil"/>
              <w:left w:val="nil"/>
              <w:right w:val="nil"/>
            </w:tcBorders>
          </w:tcPr>
          <w:p w14:paraId="51EE1798" w14:textId="060EAFB6" w:rsidR="00F97F57" w:rsidRPr="00411184" w:rsidRDefault="00FE1C30" w:rsidP="00114FD5">
            <w:pPr>
              <w:widowControl w:val="0"/>
              <w:autoSpaceDE w:val="0"/>
              <w:autoSpaceDN w:val="0"/>
              <w:adjustRightInd w:val="0"/>
              <w:spacing w:after="0" w:line="240" w:lineRule="auto"/>
              <w:jc w:val="center"/>
              <w:rPr>
                <w:rFonts w:cstheme="minorHAnsi"/>
                <w:sz w:val="20"/>
                <w:szCs w:val="20"/>
              </w:rPr>
            </w:pPr>
            <w:r w:rsidRPr="00FE1C30">
              <w:rPr>
                <w:rFonts w:cstheme="minorHAnsi"/>
                <w:sz w:val="20"/>
                <w:szCs w:val="20"/>
              </w:rPr>
              <w:t>11,366</w:t>
            </w:r>
          </w:p>
        </w:tc>
      </w:tr>
      <w:tr w:rsidR="00F97F57" w:rsidRPr="00411184" w14:paraId="22A2E935" w14:textId="77777777" w:rsidTr="00F97F57">
        <w:trPr>
          <w:jc w:val="center"/>
        </w:trPr>
        <w:tc>
          <w:tcPr>
            <w:tcW w:w="4140" w:type="dxa"/>
            <w:tcBorders>
              <w:top w:val="nil"/>
              <w:left w:val="nil"/>
              <w:bottom w:val="single" w:sz="4" w:space="0" w:color="auto"/>
              <w:right w:val="nil"/>
            </w:tcBorders>
          </w:tcPr>
          <w:p w14:paraId="1FD6D307" w14:textId="34EE9458" w:rsidR="00F97F57" w:rsidRPr="00411184" w:rsidRDefault="00F97F57" w:rsidP="00114FD5">
            <w:pPr>
              <w:widowControl w:val="0"/>
              <w:autoSpaceDE w:val="0"/>
              <w:autoSpaceDN w:val="0"/>
              <w:adjustRightInd w:val="0"/>
              <w:spacing w:after="0" w:line="240" w:lineRule="auto"/>
              <w:rPr>
                <w:rFonts w:cstheme="minorHAnsi"/>
                <w:sz w:val="20"/>
                <w:szCs w:val="20"/>
              </w:rPr>
            </w:pPr>
            <w:r w:rsidRPr="00411184">
              <w:rPr>
                <w:rFonts w:cstheme="minorHAnsi"/>
                <w:sz w:val="20"/>
                <w:szCs w:val="20"/>
              </w:rPr>
              <w:t xml:space="preserve">Number of </w:t>
            </w:r>
            <w:r>
              <w:rPr>
                <w:rFonts w:cstheme="minorHAnsi"/>
                <w:sz w:val="20"/>
                <w:szCs w:val="20"/>
              </w:rPr>
              <w:t>c</w:t>
            </w:r>
            <w:r w:rsidRPr="00114FD5">
              <w:rPr>
                <w:rFonts w:cstheme="minorHAnsi"/>
                <w:sz w:val="20"/>
                <w:szCs w:val="20"/>
              </w:rPr>
              <w:t>ounties</w:t>
            </w:r>
          </w:p>
        </w:tc>
        <w:tc>
          <w:tcPr>
            <w:tcW w:w="1980" w:type="dxa"/>
            <w:tcBorders>
              <w:top w:val="nil"/>
              <w:left w:val="nil"/>
              <w:bottom w:val="single" w:sz="4" w:space="0" w:color="auto"/>
              <w:right w:val="nil"/>
            </w:tcBorders>
          </w:tcPr>
          <w:p w14:paraId="0F6A7F99" w14:textId="2830CE99" w:rsidR="00F97F57" w:rsidRPr="00411184" w:rsidRDefault="00F97F57" w:rsidP="00114FD5">
            <w:pPr>
              <w:widowControl w:val="0"/>
              <w:autoSpaceDE w:val="0"/>
              <w:autoSpaceDN w:val="0"/>
              <w:adjustRightInd w:val="0"/>
              <w:spacing w:after="0" w:line="240" w:lineRule="auto"/>
              <w:jc w:val="center"/>
              <w:rPr>
                <w:rFonts w:cstheme="minorHAnsi"/>
                <w:sz w:val="20"/>
                <w:szCs w:val="20"/>
              </w:rPr>
            </w:pPr>
            <w:r w:rsidRPr="00114FD5">
              <w:rPr>
                <w:rFonts w:cstheme="minorHAnsi"/>
                <w:sz w:val="20"/>
                <w:szCs w:val="20"/>
              </w:rPr>
              <w:t>237</w:t>
            </w:r>
          </w:p>
        </w:tc>
        <w:tc>
          <w:tcPr>
            <w:tcW w:w="2106" w:type="dxa"/>
            <w:tcBorders>
              <w:top w:val="nil"/>
              <w:left w:val="nil"/>
              <w:bottom w:val="single" w:sz="4" w:space="0" w:color="auto"/>
              <w:right w:val="nil"/>
            </w:tcBorders>
          </w:tcPr>
          <w:p w14:paraId="03ADD213" w14:textId="7A87BF41" w:rsidR="00F97F57" w:rsidRPr="00411184" w:rsidRDefault="00FE1C30" w:rsidP="00114FD5">
            <w:pPr>
              <w:widowControl w:val="0"/>
              <w:autoSpaceDE w:val="0"/>
              <w:autoSpaceDN w:val="0"/>
              <w:adjustRightInd w:val="0"/>
              <w:spacing w:after="0" w:line="240" w:lineRule="auto"/>
              <w:jc w:val="center"/>
              <w:rPr>
                <w:rFonts w:cstheme="minorHAnsi"/>
                <w:sz w:val="20"/>
                <w:szCs w:val="20"/>
              </w:rPr>
            </w:pPr>
            <w:r>
              <w:rPr>
                <w:rFonts w:cstheme="minorHAnsi"/>
                <w:sz w:val="20"/>
                <w:szCs w:val="20"/>
              </w:rPr>
              <w:t>1,921</w:t>
            </w:r>
          </w:p>
        </w:tc>
      </w:tr>
    </w:tbl>
    <w:p w14:paraId="7A4014A8" w14:textId="0FE73107" w:rsidR="001D76E7" w:rsidRDefault="00BE2453" w:rsidP="00646D75">
      <w:pPr>
        <w:spacing w:after="0" w:line="240" w:lineRule="auto"/>
        <w:ind w:left="360"/>
        <w:rPr>
          <w:rFonts w:eastAsia="Times New Roman" w:cstheme="minorHAnsi"/>
          <w:sz w:val="20"/>
          <w:szCs w:val="20"/>
        </w:rPr>
      </w:pPr>
      <w:r>
        <w:rPr>
          <w:rFonts w:eastAsia="Times New Roman" w:cstheme="minorHAnsi"/>
          <w:sz w:val="20"/>
          <w:szCs w:val="20"/>
        </w:rPr>
        <w:t>Wild bootstrap</w:t>
      </w:r>
      <w:r w:rsidR="00411184" w:rsidRPr="00411184">
        <w:rPr>
          <w:rFonts w:eastAsia="Times New Roman" w:cstheme="minorHAnsi"/>
          <w:sz w:val="20"/>
          <w:szCs w:val="20"/>
        </w:rPr>
        <w:t xml:space="preserve"> standard errors </w:t>
      </w:r>
      <w:r w:rsidR="00FE1C30">
        <w:rPr>
          <w:rFonts w:eastAsia="Times New Roman" w:cstheme="minorHAnsi"/>
          <w:sz w:val="20"/>
          <w:szCs w:val="20"/>
        </w:rPr>
        <w:t xml:space="preserve">(model 1) and robust standard errors (model 2) </w:t>
      </w:r>
      <w:r w:rsidR="00411184" w:rsidRPr="00411184">
        <w:rPr>
          <w:rFonts w:eastAsia="Times New Roman" w:cstheme="minorHAnsi"/>
          <w:sz w:val="20"/>
          <w:szCs w:val="20"/>
        </w:rPr>
        <w:t xml:space="preserve">in parentheses. </w:t>
      </w:r>
    </w:p>
    <w:p w14:paraId="4AEE9117" w14:textId="4457E02E" w:rsidR="00411184" w:rsidRPr="00411184" w:rsidRDefault="00411184" w:rsidP="00646D75">
      <w:pPr>
        <w:spacing w:after="0" w:line="240" w:lineRule="auto"/>
        <w:ind w:left="360"/>
        <w:rPr>
          <w:rFonts w:eastAsia="Times New Roman" w:cstheme="minorHAnsi"/>
          <w:sz w:val="20"/>
          <w:szCs w:val="20"/>
        </w:rPr>
      </w:pPr>
      <w:r w:rsidRPr="00411184">
        <w:rPr>
          <w:rFonts w:eastAsia="Times New Roman" w:cstheme="minorHAnsi"/>
          <w:sz w:val="20"/>
          <w:szCs w:val="20"/>
        </w:rPr>
        <w:t>*** p&lt;0.01, ** p&lt;0.05, * p&lt;0.1</w:t>
      </w:r>
    </w:p>
    <w:p w14:paraId="75072AE0" w14:textId="11B22B7A" w:rsidR="00787A53" w:rsidRDefault="00787A53" w:rsidP="00787A53"/>
    <w:p w14:paraId="4BC32A51" w14:textId="666A467E" w:rsidR="00066E70" w:rsidRDefault="00066E70" w:rsidP="00787A53">
      <w:r>
        <w:t xml:space="preserve">Appendix B presents a robustness check for these results with an event study formulation in which a model </w:t>
      </w:r>
      <w:r w:rsidR="00FE1C30">
        <w:t xml:space="preserve">1 </w:t>
      </w:r>
      <w:r>
        <w:t>is estimated separately for each year, with 2021 (the last pre-treatment year) being the omitted comparison period. This is akin to a placebo test, in which the main result is evaluated in each pre and post treatment period separately. The results provide further validation that the observed impact of ACP only manifests in the post-treatment period (year 2022).</w:t>
      </w:r>
    </w:p>
    <w:p w14:paraId="54EF2EF8" w14:textId="77777777" w:rsidR="00D4353D" w:rsidRDefault="00D4353D" w:rsidP="00787A53"/>
    <w:p w14:paraId="2F04CC50" w14:textId="420AB19D" w:rsidR="00787A53" w:rsidRDefault="00787A53" w:rsidP="00787A53">
      <w:pPr>
        <w:pStyle w:val="ListParagraph"/>
        <w:numPr>
          <w:ilvl w:val="0"/>
          <w:numId w:val="1"/>
        </w:numPr>
      </w:pPr>
      <w:r>
        <w:t>Conclusion</w:t>
      </w:r>
      <w:r w:rsidR="00F11CAF">
        <w:t xml:space="preserve"> </w:t>
      </w:r>
    </w:p>
    <w:p w14:paraId="73F67FAA" w14:textId="0E2AC652" w:rsidR="000123B4" w:rsidRDefault="0088722C" w:rsidP="00222326">
      <w:pPr>
        <w:ind w:firstLine="360"/>
      </w:pPr>
      <w:r>
        <w:t xml:space="preserve">Suppose the federal government started a program that offered vouchers to low-income households to buy fresh fruits and </w:t>
      </w:r>
      <w:r w:rsidRPr="0088722C">
        <w:t>vegetables</w:t>
      </w:r>
      <w:r>
        <w:t xml:space="preserve">. </w:t>
      </w:r>
      <w:r w:rsidR="00D76E43">
        <w:t>Such</w:t>
      </w:r>
      <w:r>
        <w:t xml:space="preserve"> </w:t>
      </w:r>
      <w:r w:rsidR="00114FD5">
        <w:t xml:space="preserve">a </w:t>
      </w:r>
      <w:r>
        <w:t>program</w:t>
      </w:r>
      <w:r w:rsidR="00D76E43">
        <w:t>, valuable as it would be,</w:t>
      </w:r>
      <w:r>
        <w:t xml:space="preserve"> </w:t>
      </w:r>
      <w:r w:rsidR="000123B4">
        <w:t>is</w:t>
      </w:r>
      <w:r w:rsidR="00D76E43">
        <w:t xml:space="preserve"> likely </w:t>
      </w:r>
      <w:r w:rsidR="000123B4">
        <w:t xml:space="preserve">to </w:t>
      </w:r>
      <w:r w:rsidR="00D76E43">
        <w:t xml:space="preserve">have </w:t>
      </w:r>
      <w:r>
        <w:t xml:space="preserve">very limited </w:t>
      </w:r>
      <w:r w:rsidR="003C6744">
        <w:t>benefits</w:t>
      </w:r>
      <w:r>
        <w:t xml:space="preserve"> </w:t>
      </w:r>
      <w:r w:rsidR="00222326">
        <w:t>for</w:t>
      </w:r>
      <w:r w:rsidR="0065743F">
        <w:t xml:space="preserve"> households </w:t>
      </w:r>
      <w:r>
        <w:t xml:space="preserve">in so-called “food deserts” </w:t>
      </w:r>
      <w:r w:rsidR="0065743F">
        <w:t>(</w:t>
      </w:r>
      <w:r w:rsidR="00D76E43">
        <w:t>which are disproportionately low-income areas</w:t>
      </w:r>
      <w:r w:rsidR="0065743F">
        <w:t xml:space="preserve">), given the </w:t>
      </w:r>
      <w:r w:rsidR="000123B4">
        <w:t>inadequate</w:t>
      </w:r>
      <w:r w:rsidR="0065743F">
        <w:t xml:space="preserve"> availability of fresh fruits and vegetables </w:t>
      </w:r>
      <w:r w:rsidR="00222326">
        <w:t>at</w:t>
      </w:r>
      <w:r w:rsidR="0065743F">
        <w:t xml:space="preserve"> local stores</w:t>
      </w:r>
      <w:r w:rsidR="00C6539D">
        <w:t>.</w:t>
      </w:r>
      <w:r w:rsidR="00C6539D">
        <w:rPr>
          <w:rStyle w:val="FootnoteReference"/>
        </w:rPr>
        <w:footnoteReference w:id="6"/>
      </w:r>
      <w:r w:rsidR="00C6539D">
        <w:t xml:space="preserve"> </w:t>
      </w:r>
      <w:r>
        <w:t xml:space="preserve">This study uses a similar premise to evaluate the impact of the ACP program, comparing </w:t>
      </w:r>
      <w:r w:rsidR="003C6744">
        <w:t xml:space="preserve">broadband </w:t>
      </w:r>
      <w:r w:rsidR="000123B4">
        <w:t xml:space="preserve">and PC </w:t>
      </w:r>
      <w:r w:rsidR="003C6744">
        <w:t>adoption</w:t>
      </w:r>
      <w:r w:rsidR="000123B4">
        <w:t xml:space="preserve"> </w:t>
      </w:r>
      <w:r w:rsidR="00114FD5">
        <w:t xml:space="preserve">in </w:t>
      </w:r>
      <w:r w:rsidR="003C6744">
        <w:t xml:space="preserve">low-income </w:t>
      </w:r>
      <w:r w:rsidR="004F36CA">
        <w:t>counties</w:t>
      </w:r>
      <w:r>
        <w:t xml:space="preserve"> adequate</w:t>
      </w:r>
      <w:r w:rsidR="000123B4">
        <w:t>ly supplied</w:t>
      </w:r>
      <w:r>
        <w:t xml:space="preserve"> </w:t>
      </w:r>
      <w:r w:rsidR="000123B4">
        <w:t>by</w:t>
      </w:r>
      <w:r>
        <w:t xml:space="preserve"> fixed </w:t>
      </w:r>
      <w:r w:rsidR="000123B4">
        <w:t>broadband</w:t>
      </w:r>
      <w:r>
        <w:t xml:space="preserve"> </w:t>
      </w:r>
      <w:r w:rsidR="000123B4">
        <w:t xml:space="preserve">operators </w:t>
      </w:r>
      <w:r>
        <w:t xml:space="preserve">to </w:t>
      </w:r>
      <w:r w:rsidR="000123B4">
        <w:t xml:space="preserve">similarly low-income </w:t>
      </w:r>
      <w:r w:rsidR="00114FD5">
        <w:t>counties</w:t>
      </w:r>
      <w:r w:rsidR="000123B4">
        <w:t xml:space="preserve"> where the availability of fixed services is limited.</w:t>
      </w:r>
    </w:p>
    <w:p w14:paraId="03719D48" w14:textId="4ACCE3AE" w:rsidR="000B4060" w:rsidRDefault="004F36CA" w:rsidP="00D76E43">
      <w:r>
        <w:t xml:space="preserve">Overall, the results indicate that ACP has had a positive impact </w:t>
      </w:r>
      <w:r w:rsidR="000123B4">
        <w:t>in</w:t>
      </w:r>
      <w:r>
        <w:t xml:space="preserve"> fixed broadband and </w:t>
      </w:r>
      <w:r w:rsidR="000123B4">
        <w:t>PC uptake</w:t>
      </w:r>
      <w:r>
        <w:t xml:space="preserve"> among low-income households. </w:t>
      </w:r>
      <w:r w:rsidR="00114FD5">
        <w:t xml:space="preserve">The magnitude of the effect varies across models, depending on the </w:t>
      </w:r>
      <w:r w:rsidR="003C6744">
        <w:t>specification</w:t>
      </w:r>
      <w:r w:rsidR="00114FD5">
        <w:t xml:space="preserve"> and the sample </w:t>
      </w:r>
      <w:r w:rsidR="000B4060">
        <w:t xml:space="preserve">of counties </w:t>
      </w:r>
      <w:r w:rsidR="00114FD5">
        <w:t>used</w:t>
      </w:r>
      <w:r w:rsidR="00C96175">
        <w:t>. In the difference-in-difference estimations</w:t>
      </w:r>
      <w:r w:rsidR="00114FD5">
        <w:t xml:space="preserve">, </w:t>
      </w:r>
      <w:r w:rsidR="00C96175">
        <w:t xml:space="preserve">which </w:t>
      </w:r>
      <w:r w:rsidR="000123B4">
        <w:t>are</w:t>
      </w:r>
      <w:r w:rsidR="00C96175">
        <w:t xml:space="preserve"> more robust to baseline differences and other confounders, the effect size</w:t>
      </w:r>
      <w:r w:rsidR="00222326">
        <w:t xml:space="preserve"> </w:t>
      </w:r>
      <w:r w:rsidR="00401524">
        <w:t>is between 6</w:t>
      </w:r>
      <w:r w:rsidR="000123B4">
        <w:t xml:space="preserve"> and 10 percentage points </w:t>
      </w:r>
      <w:r w:rsidR="000B4060">
        <w:t>above and beyond the expected adoption rate had ACP not been lau</w:t>
      </w:r>
      <w:r w:rsidR="00C96175">
        <w:t xml:space="preserve">nched </w:t>
      </w:r>
      <w:r w:rsidR="000B4060">
        <w:t>(Table 3)</w:t>
      </w:r>
      <w:r w:rsidR="00222326">
        <w:t>.</w:t>
      </w:r>
      <w:r w:rsidR="00401524">
        <w:t xml:space="preserve"> While the</w:t>
      </w:r>
      <w:r w:rsidR="00401524">
        <w:t xml:space="preserve"> </w:t>
      </w:r>
      <w:r w:rsidR="00401524">
        <w:t>low statistical significance</w:t>
      </w:r>
      <w:r w:rsidR="00EC3AF1">
        <w:t xml:space="preserve"> in model 1 and the</w:t>
      </w:r>
      <w:r w:rsidR="00401524">
        <w:t xml:space="preserve"> </w:t>
      </w:r>
      <w:r w:rsidR="00401524">
        <w:t xml:space="preserve">variations in effect size </w:t>
      </w:r>
      <w:r w:rsidR="00401524">
        <w:t>deserve</w:t>
      </w:r>
      <w:r w:rsidR="00401524">
        <w:t xml:space="preserve"> further examination, the </w:t>
      </w:r>
      <w:r w:rsidR="00401524">
        <w:t>different</w:t>
      </w:r>
      <w:r w:rsidR="00401524">
        <w:t xml:space="preserve"> specification</w:t>
      </w:r>
      <w:r w:rsidR="00401524">
        <w:t xml:space="preserve">s </w:t>
      </w:r>
      <w:r w:rsidR="00EC3AF1">
        <w:t xml:space="preserve">and the robustness check </w:t>
      </w:r>
      <w:r w:rsidR="00401524">
        <w:t>generally validate</w:t>
      </w:r>
      <w:r w:rsidR="00401524">
        <w:t xml:space="preserve"> the </w:t>
      </w:r>
      <w:r w:rsidR="00401524">
        <w:t>main results.</w:t>
      </w:r>
    </w:p>
    <w:p w14:paraId="5A3A5D52" w14:textId="55DEF6BC" w:rsidR="00821626" w:rsidRDefault="00781904" w:rsidP="00685241">
      <w:r>
        <w:t xml:space="preserve">Given the scale of the ACP program, do these findings point to relatively modest impacts? </w:t>
      </w:r>
      <w:r w:rsidR="00D579D7">
        <w:t xml:space="preserve">Quite to the contrary, we believe these effects are surprisingly large given the context and the goals of the program. </w:t>
      </w:r>
      <w:r w:rsidR="003C6744">
        <w:t>First, it</w:t>
      </w:r>
      <w:r w:rsidR="00D579D7">
        <w:t xml:space="preserve"> is important to note that broadband and PC adoption levels were relatively high </w:t>
      </w:r>
      <w:r w:rsidR="000B4060">
        <w:t>at the time</w:t>
      </w:r>
      <w:r w:rsidR="00D579D7">
        <w:t xml:space="preserve"> ACP was launched </w:t>
      </w:r>
      <w:r w:rsidR="00EC3AF1">
        <w:t xml:space="preserve">in early 2022 </w:t>
      </w:r>
      <w:r w:rsidR="00821626">
        <w:t xml:space="preserve">- </w:t>
      </w:r>
      <w:r w:rsidR="00371225">
        <w:t xml:space="preserve">in the 75-80% range, depending on the </w:t>
      </w:r>
      <w:r>
        <w:t>sample of counties</w:t>
      </w:r>
      <w:r w:rsidR="00821626">
        <w:t xml:space="preserve"> (see Figure 2</w:t>
      </w:r>
      <w:r w:rsidR="00371225">
        <w:t xml:space="preserve">). </w:t>
      </w:r>
      <w:r w:rsidR="00371225">
        <w:lastRenderedPageBreak/>
        <w:t xml:space="preserve">Research shows that, as more households are connected, it </w:t>
      </w:r>
      <w:r w:rsidR="003C6744">
        <w:t>is</w:t>
      </w:r>
      <w:r w:rsidR="00371225">
        <w:t xml:space="preserve"> increasingly difficult to close the remaining gaps because of the complex interplay of affordability </w:t>
      </w:r>
      <w:r>
        <w:t xml:space="preserve">barriers </w:t>
      </w:r>
      <w:r w:rsidR="00371225">
        <w:t>with other factors related to digital literacy,</w:t>
      </w:r>
      <w:r w:rsidR="00821626">
        <w:t xml:space="preserve"> </w:t>
      </w:r>
      <w:r w:rsidR="003C6744">
        <w:t>housing instability and others.</w:t>
      </w:r>
      <w:r w:rsidR="00EC3AF1">
        <w:t xml:space="preserve"> </w:t>
      </w:r>
      <w:r w:rsidR="003C6744">
        <w:t>Second, a</w:t>
      </w:r>
      <w:r w:rsidR="00D579D7">
        <w:t xml:space="preserve">s </w:t>
      </w:r>
      <w:r w:rsidR="00821626">
        <w:t xml:space="preserve">federal policymakers and </w:t>
      </w:r>
      <w:r w:rsidR="00D579D7">
        <w:t xml:space="preserve">analysts have noted, </w:t>
      </w:r>
      <w:r w:rsidR="00371225">
        <w:t xml:space="preserve">the goal of the ACP program was not simply to </w:t>
      </w:r>
      <w:r w:rsidR="0007730F">
        <w:t>bring new households online</w:t>
      </w:r>
      <w:r w:rsidR="00371225">
        <w:t xml:space="preserve">, but </w:t>
      </w:r>
      <w:r w:rsidR="0007730F">
        <w:t>more broadly</w:t>
      </w:r>
      <w:r w:rsidR="00371225">
        <w:t xml:space="preserve"> to sustain the progress </w:t>
      </w:r>
      <w:r w:rsidR="0007730F">
        <w:t>made in connecting low-income households during the COVID-19 pandemic</w:t>
      </w:r>
      <w:r w:rsidR="00D579D7">
        <w:t>.</w:t>
      </w:r>
      <w:r w:rsidR="00D579D7">
        <w:rPr>
          <w:rStyle w:val="FootnoteReference"/>
        </w:rPr>
        <w:footnoteReference w:id="7"/>
      </w:r>
      <w:r w:rsidR="0007730F">
        <w:t xml:space="preserve"> </w:t>
      </w:r>
      <w:r w:rsidR="00F251FC">
        <w:t>As such</w:t>
      </w:r>
      <w:r w:rsidR="00371225">
        <w:t xml:space="preserve">, </w:t>
      </w:r>
      <w:r w:rsidR="00685241">
        <w:t xml:space="preserve">a key goal of ACP was to </w:t>
      </w:r>
      <w:r w:rsidR="00957249">
        <w:t xml:space="preserve">alleviate </w:t>
      </w:r>
      <w:r w:rsidR="00685241">
        <w:t xml:space="preserve">the </w:t>
      </w:r>
      <w:r w:rsidR="00957249">
        <w:t xml:space="preserve">cost burden of connectivity </w:t>
      </w:r>
      <w:r w:rsidR="00685241">
        <w:t>for</w:t>
      </w:r>
      <w:r w:rsidR="00957249">
        <w:t xml:space="preserve"> </w:t>
      </w:r>
      <w:r w:rsidR="0007730F">
        <w:t>vulnerable</w:t>
      </w:r>
      <w:r w:rsidR="00957249">
        <w:t xml:space="preserve"> </w:t>
      </w:r>
      <w:r w:rsidR="00685241">
        <w:t>households</w:t>
      </w:r>
      <w:r w:rsidR="00CD3721">
        <w:t>, which research shows tend to experience fluctuations in connectivity that depend on economic conditions and other factors.</w:t>
      </w:r>
      <w:r w:rsidR="00CD3721">
        <w:rPr>
          <w:rStyle w:val="FootnoteReference"/>
        </w:rPr>
        <w:footnoteReference w:id="8"/>
      </w:r>
    </w:p>
    <w:p w14:paraId="0F0CE824" w14:textId="73CF1B56" w:rsidR="00CD3721" w:rsidRDefault="00255454" w:rsidP="00787A53">
      <w:r w:rsidRPr="00255454">
        <w:t>A key takeaway from this study is the complementarity between demand-side support programs such as ACP and supply-side programs such as BEAD. Without adequate service availability and robust competition on price and quality, the impact of demand-side support programs is severely limited. At the same time, without ACP support many middle and low-income households are likely to find the services offered by BEAD recipients unaffordable, threatening their economic sustainability. This is why programs such as ACP will be necessary in the foreseeable future, and why its expiration is likely to have ripple effects across other digital equity efforts.</w:t>
      </w:r>
    </w:p>
    <w:p w14:paraId="148C9C24" w14:textId="77777777" w:rsidR="00787A53" w:rsidRDefault="00787A53" w:rsidP="00787A53">
      <w:r>
        <w:br w:type="page"/>
      </w:r>
    </w:p>
    <w:p w14:paraId="714ED9D5" w14:textId="1F6DE718" w:rsidR="00787A53" w:rsidRPr="001C2D18" w:rsidRDefault="00787A53" w:rsidP="00787A53">
      <w:pPr>
        <w:rPr>
          <w:i/>
        </w:rPr>
      </w:pPr>
      <w:r w:rsidRPr="001C2D18">
        <w:rPr>
          <w:i/>
        </w:rPr>
        <w:lastRenderedPageBreak/>
        <w:t>Appendix A</w:t>
      </w:r>
    </w:p>
    <w:p w14:paraId="058AE927" w14:textId="2EF8F962" w:rsidR="001C2D18" w:rsidRDefault="000429A7" w:rsidP="001C2D18">
      <w:pPr>
        <w:ind w:firstLine="360"/>
      </w:pPr>
      <w:r w:rsidRPr="00AB4DEB">
        <w:t xml:space="preserve">Our main estimates are </w:t>
      </w:r>
      <w:r w:rsidR="001C2D18">
        <w:t>premised</w:t>
      </w:r>
      <w:r w:rsidRPr="00AB4DEB">
        <w:t xml:space="preserve"> on </w:t>
      </w:r>
      <w:r w:rsidR="00F251FC">
        <w:t>identifying</w:t>
      </w:r>
      <w:r w:rsidR="008C6F5D">
        <w:t xml:space="preserve"> low-income counties where </w:t>
      </w:r>
      <w:r w:rsidR="008C6F5D" w:rsidRPr="00AB4DEB">
        <w:t>a majority of households is</w:t>
      </w:r>
      <w:r w:rsidRPr="00AB4DEB">
        <w:t xml:space="preserve"> e</w:t>
      </w:r>
      <w:r w:rsidR="008C6F5D">
        <w:t>ligible to receive ACP benefits</w:t>
      </w:r>
      <w:r w:rsidRPr="00AB4DEB">
        <w:t xml:space="preserve">. To test </w:t>
      </w:r>
      <w:r w:rsidR="00F251FC">
        <w:t>different</w:t>
      </w:r>
      <w:r w:rsidRPr="00AB4DEB">
        <w:t xml:space="preserve"> </w:t>
      </w:r>
      <w:r w:rsidR="00F251FC">
        <w:t xml:space="preserve">income </w:t>
      </w:r>
      <w:r w:rsidRPr="00AB4DEB">
        <w:t>threshold</w:t>
      </w:r>
      <w:r w:rsidR="00F251FC">
        <w:t>s</w:t>
      </w:r>
      <w:r w:rsidRPr="00AB4DEB">
        <w:t>, we use ACS microdata to estimate the share of A</w:t>
      </w:r>
      <w:r w:rsidR="00AB4DEB">
        <w:t>C</w:t>
      </w:r>
      <w:r w:rsidRPr="00AB4DEB">
        <w:t>P</w:t>
      </w:r>
      <w:r w:rsidR="00AB4DEB">
        <w:t>-</w:t>
      </w:r>
      <w:r w:rsidRPr="00AB4DEB">
        <w:t xml:space="preserve">eligible households </w:t>
      </w:r>
      <w:r w:rsidR="00F251FC">
        <w:t xml:space="preserve">for counties </w:t>
      </w:r>
      <w:r w:rsidR="001C2D18">
        <w:t>in</w:t>
      </w:r>
      <w:r w:rsidRPr="00AB4DEB">
        <w:t xml:space="preserve"> several states</w:t>
      </w:r>
      <w:r w:rsidR="001C2D18">
        <w:t xml:space="preserve"> across different </w:t>
      </w:r>
      <w:r w:rsidR="00F251FC">
        <w:t xml:space="preserve">median </w:t>
      </w:r>
      <w:r w:rsidR="001C2D18">
        <w:t>income thresholds (</w:t>
      </w:r>
      <w:r w:rsidR="001C0A71">
        <w:fldChar w:fldCharType="begin"/>
      </w:r>
      <w:r w:rsidR="001C0A71">
        <w:instrText xml:space="preserve"> REF _Ref160021687 \h </w:instrText>
      </w:r>
      <w:r w:rsidR="001C0A71">
        <w:fldChar w:fldCharType="separate"/>
      </w:r>
      <w:r w:rsidR="001C0A71">
        <w:t xml:space="preserve">Figure </w:t>
      </w:r>
      <w:r w:rsidR="001C0A71">
        <w:rPr>
          <w:noProof/>
        </w:rPr>
        <w:t>3</w:t>
      </w:r>
      <w:r w:rsidR="001C0A71">
        <w:fldChar w:fldCharType="end"/>
      </w:r>
      <w:r w:rsidR="00AB4DEB">
        <w:t xml:space="preserve">). As expected, the lower the threshold the higher the share of ACP-eligible households. </w:t>
      </w:r>
      <w:r w:rsidR="001C2D18">
        <w:t>At the same time</w:t>
      </w:r>
      <w:r w:rsidR="00AB4DEB">
        <w:t>, a lower</w:t>
      </w:r>
      <w:r w:rsidR="001C0A71">
        <w:t xml:space="preserve"> median income</w:t>
      </w:r>
      <w:r w:rsidR="00AB4DEB">
        <w:t xml:space="preserve"> </w:t>
      </w:r>
      <w:r w:rsidR="001C2D18">
        <w:t>threshold</w:t>
      </w:r>
      <w:r w:rsidR="00AB4DEB">
        <w:t xml:space="preserve"> yields a smal</w:t>
      </w:r>
      <w:r w:rsidR="001C2D18">
        <w:t xml:space="preserve">ler sample of </w:t>
      </w:r>
      <w:r w:rsidR="001C0A71">
        <w:t xml:space="preserve">low-income </w:t>
      </w:r>
      <w:r w:rsidR="001C2D18">
        <w:t xml:space="preserve">counties, and thus a trade-off </w:t>
      </w:r>
      <w:r w:rsidR="00F251FC">
        <w:t xml:space="preserve">must be made </w:t>
      </w:r>
      <w:r w:rsidR="001C2D18">
        <w:t xml:space="preserve">between precision (in terms of capturing </w:t>
      </w:r>
      <w:r w:rsidR="001C0A71">
        <w:t>ACP-</w:t>
      </w:r>
      <w:r w:rsidR="001C2D18">
        <w:t>eligible households) and sample size.</w:t>
      </w:r>
    </w:p>
    <w:p w14:paraId="3E3AFE7C" w14:textId="4F9EB473" w:rsidR="001C0A71" w:rsidRDefault="001C2D18" w:rsidP="001C2D18">
      <w:r>
        <w:t>Our preferred threshold is $50,000</w:t>
      </w:r>
      <w:r w:rsidR="00A37476">
        <w:t>/year. T</w:t>
      </w:r>
      <w:r w:rsidR="00AB4DEB">
        <w:t xml:space="preserve">his </w:t>
      </w:r>
      <w:r w:rsidR="00A37476">
        <w:t xml:space="preserve">threshold </w:t>
      </w:r>
      <w:r w:rsidR="00AB4DEB">
        <w:t xml:space="preserve">yields a reasonable large sample of counties </w:t>
      </w:r>
      <w:r w:rsidR="00A37476">
        <w:t xml:space="preserve">(n=237) </w:t>
      </w:r>
      <w:r w:rsidR="00AB4DEB">
        <w:t>in which a vast majority of households are eligible to receive ACP</w:t>
      </w:r>
      <w:r w:rsidR="00F251FC">
        <w:t xml:space="preserve"> benefits</w:t>
      </w:r>
      <w:r w:rsidR="001C0A71">
        <w:t xml:space="preserve">. The figure below illustrates this </w:t>
      </w:r>
      <w:r w:rsidR="00646D75">
        <w:t>in</w:t>
      </w:r>
      <w:r w:rsidR="001C0A71">
        <w:t xml:space="preserve"> four states (Calif</w:t>
      </w:r>
      <w:r w:rsidR="00F251FC">
        <w:t>ornia, Texas, Ohio and Alabama)</w:t>
      </w:r>
      <w:r w:rsidR="00A37476">
        <w:t>,</w:t>
      </w:r>
      <w:r w:rsidR="001C0A71">
        <w:t xml:space="preserve"> ranging from high to low income. As shown, in counties below $50,000/year about 80% of households are ACP-eligible, </w:t>
      </w:r>
      <w:r w:rsidR="00EF5509">
        <w:t>with only small variations by</w:t>
      </w:r>
      <w:r w:rsidR="001C0A71">
        <w:t xml:space="preserve"> state. </w:t>
      </w:r>
      <w:r w:rsidR="00EF5509">
        <w:t>This means that, using this threshold,</w:t>
      </w:r>
      <w:r w:rsidR="001C0A71">
        <w:t xml:space="preserve"> only a small </w:t>
      </w:r>
      <w:r w:rsidR="00646D75">
        <w:t>fraction</w:t>
      </w:r>
      <w:r w:rsidR="001C0A71">
        <w:t xml:space="preserve"> of households in counties considered “treated” </w:t>
      </w:r>
      <w:r w:rsidR="00EF5509">
        <w:t>would be</w:t>
      </w:r>
      <w:r w:rsidR="001C0A71">
        <w:t xml:space="preserve"> ineligible </w:t>
      </w:r>
      <w:r w:rsidR="00A37476">
        <w:t>to receive</w:t>
      </w:r>
      <w:r w:rsidR="001C0A71">
        <w:t xml:space="preserve"> ACP benefits.</w:t>
      </w:r>
    </w:p>
    <w:p w14:paraId="296FE244" w14:textId="77777777" w:rsidR="001C0A71" w:rsidRDefault="001C0A71" w:rsidP="001C2D18"/>
    <w:p w14:paraId="5B938E53" w14:textId="64D2C1FC" w:rsidR="000429A7" w:rsidRDefault="00577E2F" w:rsidP="00787A53">
      <w:r>
        <w:rPr>
          <w:noProof/>
        </w:rPr>
        <w:drawing>
          <wp:inline distT="0" distB="0" distL="0" distR="0" wp14:anchorId="0468D7E0" wp14:editId="0D2F715A">
            <wp:extent cx="4572000" cy="26765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BB9A906" w14:textId="5E303561" w:rsidR="00576D93" w:rsidRPr="005B3D44" w:rsidRDefault="001C2D18" w:rsidP="001C2D18">
      <w:pPr>
        <w:pStyle w:val="Caption"/>
        <w:rPr>
          <w:color w:val="auto"/>
        </w:rPr>
      </w:pPr>
      <w:bookmarkStart w:id="5" w:name="_Ref160021687"/>
      <w:r w:rsidRPr="005B3D44">
        <w:rPr>
          <w:color w:val="auto"/>
        </w:rPr>
        <w:t xml:space="preserve">Figure </w:t>
      </w:r>
      <w:r w:rsidR="00ED6E79" w:rsidRPr="005B3D44">
        <w:rPr>
          <w:color w:val="auto"/>
        </w:rPr>
        <w:fldChar w:fldCharType="begin"/>
      </w:r>
      <w:r w:rsidR="00ED6E79" w:rsidRPr="005B3D44">
        <w:rPr>
          <w:color w:val="auto"/>
        </w:rPr>
        <w:instrText xml:space="preserve"> SEQ Figure \* ARABIC </w:instrText>
      </w:r>
      <w:r w:rsidR="00ED6E79" w:rsidRPr="005B3D44">
        <w:rPr>
          <w:color w:val="auto"/>
        </w:rPr>
        <w:fldChar w:fldCharType="separate"/>
      </w:r>
      <w:r w:rsidR="00A31123" w:rsidRPr="005B3D44">
        <w:rPr>
          <w:noProof/>
          <w:color w:val="auto"/>
        </w:rPr>
        <w:t>3</w:t>
      </w:r>
      <w:r w:rsidR="00ED6E79" w:rsidRPr="005B3D44">
        <w:rPr>
          <w:noProof/>
          <w:color w:val="auto"/>
        </w:rPr>
        <w:fldChar w:fldCharType="end"/>
      </w:r>
      <w:bookmarkEnd w:id="5"/>
      <w:r w:rsidRPr="005B3D44">
        <w:rPr>
          <w:color w:val="auto"/>
        </w:rPr>
        <w:t xml:space="preserve">: Share of ACP-eligible HHs </w:t>
      </w:r>
      <w:r w:rsidR="00646D75" w:rsidRPr="005B3D44">
        <w:rPr>
          <w:color w:val="auto"/>
        </w:rPr>
        <w:t>using</w:t>
      </w:r>
      <w:r w:rsidRPr="005B3D44">
        <w:rPr>
          <w:color w:val="auto"/>
        </w:rPr>
        <w:t xml:space="preserve"> different low-income thresholds in selected states (source: </w:t>
      </w:r>
      <w:r w:rsidR="00646D75" w:rsidRPr="005B3D44">
        <w:rPr>
          <w:color w:val="auto"/>
        </w:rPr>
        <w:t xml:space="preserve">2022 </w:t>
      </w:r>
      <w:r w:rsidRPr="005B3D44">
        <w:rPr>
          <w:color w:val="auto"/>
        </w:rPr>
        <w:t>ACS</w:t>
      </w:r>
      <w:r w:rsidR="00646D75" w:rsidRPr="005B3D44">
        <w:rPr>
          <w:color w:val="auto"/>
        </w:rPr>
        <w:t xml:space="preserve"> 1-year estimates</w:t>
      </w:r>
      <w:r w:rsidRPr="005B3D44">
        <w:rPr>
          <w:color w:val="auto"/>
        </w:rPr>
        <w:t>).</w:t>
      </w:r>
    </w:p>
    <w:p w14:paraId="35D92F77" w14:textId="77777777" w:rsidR="00787A53" w:rsidRDefault="00787A53" w:rsidP="00787A53"/>
    <w:p w14:paraId="39C63F1E" w14:textId="77777777" w:rsidR="00646D75" w:rsidRDefault="00646D75" w:rsidP="00787A53"/>
    <w:p w14:paraId="1D18EBE2" w14:textId="77777777" w:rsidR="00646D75" w:rsidRDefault="00646D75" w:rsidP="00787A53"/>
    <w:p w14:paraId="216EF546" w14:textId="77777777" w:rsidR="00646D75" w:rsidRDefault="00646D75" w:rsidP="00787A53"/>
    <w:p w14:paraId="38130CDB" w14:textId="77777777" w:rsidR="00646D75" w:rsidRDefault="00646D75" w:rsidP="00787A53"/>
    <w:p w14:paraId="745DBF96" w14:textId="77777777" w:rsidR="00646D75" w:rsidRDefault="00646D75" w:rsidP="00787A53"/>
    <w:p w14:paraId="39701D03" w14:textId="77777777" w:rsidR="00EF5509" w:rsidRDefault="00EF5509" w:rsidP="00787A53"/>
    <w:p w14:paraId="67FEBBC6" w14:textId="407DE968" w:rsidR="00787A53" w:rsidRDefault="00787A53" w:rsidP="00787A53">
      <w:r>
        <w:lastRenderedPageBreak/>
        <w:t>Appendix B</w:t>
      </w:r>
    </w:p>
    <w:p w14:paraId="76927B6E" w14:textId="5D7DEF3C" w:rsidR="007451B2" w:rsidRDefault="00D64C65" w:rsidP="007451B2">
      <w:pPr>
        <w:ind w:firstLine="360"/>
      </w:pPr>
      <w:r>
        <w:t xml:space="preserve">The event study plot below offers a placebo test of the main </w:t>
      </w:r>
      <w:r w:rsidR="00EF5509">
        <w:t xml:space="preserve">DiD </w:t>
      </w:r>
      <w:r>
        <w:t xml:space="preserve">results by testing the impact of the “treatment” (the launch of ACP in 2022) in each pre and post treatment period separately. The coefficients are similar to model 1 in Table 3 (double difference estimator using the $50,000/year threshold), except that each year is evaluated separately against 2021, the last pre-treatment period (denoted -1 in the plot, </w:t>
      </w:r>
      <w:r w:rsidR="007451B2">
        <w:t>which</w:t>
      </w:r>
      <w:r>
        <w:t xml:space="preserve"> by definition</w:t>
      </w:r>
      <w:r w:rsidR="00EF5509">
        <w:t xml:space="preserve"> has a </w:t>
      </w:r>
      <w:r w:rsidR="007451B2">
        <w:t>coefficient of zero</w:t>
      </w:r>
      <w:r>
        <w:t>). Because 2020 ACS 1-year data is not available, no results exist for the s</w:t>
      </w:r>
      <w:r w:rsidR="007451B2">
        <w:t xml:space="preserve">econd lag year (-2 in the plot). The results validate the </w:t>
      </w:r>
      <w:r w:rsidR="00EF5509">
        <w:t xml:space="preserve">main </w:t>
      </w:r>
      <w:r w:rsidR="007451B2">
        <w:t>findings, showing that statistically signi</w:t>
      </w:r>
      <w:r w:rsidR="00EF5509">
        <w:t xml:space="preserve">ficant differences in broadband and </w:t>
      </w:r>
      <w:r w:rsidR="007451B2">
        <w:t xml:space="preserve">PC adoption between underserved and served low-income counties only </w:t>
      </w:r>
      <w:r w:rsidR="00EF5509">
        <w:t>manifest</w:t>
      </w:r>
      <w:r w:rsidR="007451B2">
        <w:t xml:space="preserve"> after the launch of ACP in 2022 (year 0 in the plot).</w:t>
      </w:r>
    </w:p>
    <w:p w14:paraId="557EC846" w14:textId="0BA550B3" w:rsidR="008B6F63" w:rsidRDefault="008B6F63" w:rsidP="00787A53"/>
    <w:p w14:paraId="32768913" w14:textId="60430C43" w:rsidR="00787A53" w:rsidRDefault="00FE1C30" w:rsidP="00787A53">
      <w:r>
        <w:rPr>
          <w:noProof/>
        </w:rPr>
        <w:drawing>
          <wp:inline distT="0" distB="0" distL="0" distR="0" wp14:anchorId="073A4CEC" wp14:editId="033947CE">
            <wp:extent cx="4399434" cy="3200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DGraph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9434" cy="3200400"/>
                    </a:xfrm>
                    <a:prstGeom prst="rect">
                      <a:avLst/>
                    </a:prstGeom>
                  </pic:spPr>
                </pic:pic>
              </a:graphicData>
            </a:graphic>
          </wp:inline>
        </w:drawing>
      </w:r>
    </w:p>
    <w:p w14:paraId="08757832" w14:textId="74D33505" w:rsidR="001A5DA1" w:rsidRPr="005B3D44" w:rsidRDefault="00A31123" w:rsidP="00A31123">
      <w:pPr>
        <w:pStyle w:val="Caption"/>
        <w:rPr>
          <w:color w:val="auto"/>
        </w:rPr>
      </w:pPr>
      <w:commentRangeStart w:id="6"/>
      <w:r w:rsidRPr="005B3D44">
        <w:rPr>
          <w:color w:val="auto"/>
        </w:rPr>
        <w:t xml:space="preserve">Figure </w:t>
      </w:r>
      <w:r w:rsidR="00ED6E79" w:rsidRPr="005B3D44">
        <w:rPr>
          <w:color w:val="auto"/>
        </w:rPr>
        <w:fldChar w:fldCharType="begin"/>
      </w:r>
      <w:r w:rsidR="00ED6E79" w:rsidRPr="005B3D44">
        <w:rPr>
          <w:color w:val="auto"/>
        </w:rPr>
        <w:instrText xml:space="preserve"> SEQ Figure \* ARABIC </w:instrText>
      </w:r>
      <w:r w:rsidR="00ED6E79" w:rsidRPr="005B3D44">
        <w:rPr>
          <w:color w:val="auto"/>
        </w:rPr>
        <w:fldChar w:fldCharType="separate"/>
      </w:r>
      <w:r w:rsidRPr="005B3D44">
        <w:rPr>
          <w:noProof/>
          <w:color w:val="auto"/>
        </w:rPr>
        <w:t>4</w:t>
      </w:r>
      <w:r w:rsidR="00ED6E79" w:rsidRPr="005B3D44">
        <w:rPr>
          <w:noProof/>
          <w:color w:val="auto"/>
        </w:rPr>
        <w:fldChar w:fldCharType="end"/>
      </w:r>
      <w:r w:rsidRPr="005B3D44">
        <w:rPr>
          <w:color w:val="auto"/>
        </w:rPr>
        <w:t xml:space="preserve">: ATE estimates from </w:t>
      </w:r>
      <w:r w:rsidR="00FE1C30">
        <w:rPr>
          <w:color w:val="auto"/>
        </w:rPr>
        <w:t xml:space="preserve">model 1 in </w:t>
      </w:r>
      <w:r w:rsidRPr="005B3D44">
        <w:rPr>
          <w:color w:val="auto"/>
        </w:rPr>
        <w:t>Tab</w:t>
      </w:r>
      <w:bookmarkStart w:id="7" w:name="_GoBack"/>
      <w:bookmarkEnd w:id="7"/>
      <w:r w:rsidRPr="005B3D44">
        <w:rPr>
          <w:color w:val="auto"/>
        </w:rPr>
        <w:t>le 3 by year, 2021 is the omitted comparison period (90% confidence intervals)</w:t>
      </w:r>
      <w:commentRangeEnd w:id="6"/>
      <w:r w:rsidR="003E0B92">
        <w:rPr>
          <w:rStyle w:val="CommentReference"/>
          <w:i w:val="0"/>
          <w:iCs w:val="0"/>
          <w:color w:val="auto"/>
        </w:rPr>
        <w:commentReference w:id="6"/>
      </w:r>
    </w:p>
    <w:sectPr w:rsidR="001A5DA1" w:rsidRPr="005B3D44">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rnan Galperin" w:date="2024-03-10T16:00:00Z" w:initials="HG">
    <w:p w14:paraId="038E31EA" w14:textId="77777777" w:rsidR="00255454" w:rsidRDefault="00255454" w:rsidP="00255454">
      <w:pPr>
        <w:pStyle w:val="CommentText"/>
      </w:pPr>
      <w:r>
        <w:rPr>
          <w:rStyle w:val="CommentReference"/>
        </w:rPr>
        <w:annotationRef/>
      </w:r>
      <w:r>
        <w:rPr>
          <w:rStyle w:val="CommentReference"/>
        </w:rPr>
        <w:annotationRef/>
      </w:r>
      <w:r>
        <w:t>Data files for this section (Stata files):</w:t>
      </w:r>
    </w:p>
    <w:p w14:paraId="011D7E4E" w14:textId="77777777" w:rsidR="00255454" w:rsidRDefault="00255454" w:rsidP="00255454">
      <w:pPr>
        <w:pStyle w:val="CommentText"/>
        <w:numPr>
          <w:ilvl w:val="0"/>
          <w:numId w:val="10"/>
        </w:numPr>
      </w:pPr>
      <w:r>
        <w:t xml:space="preserve"> </w:t>
      </w:r>
      <w:r w:rsidRPr="00310138">
        <w:t>acpdeserts_county_v2.dta</w:t>
      </w:r>
    </w:p>
    <w:p w14:paraId="36C8F666" w14:textId="638334D3" w:rsidR="00255454" w:rsidRDefault="00255454" w:rsidP="00255454">
      <w:pPr>
        <w:pStyle w:val="CommentText"/>
      </w:pPr>
      <w:r>
        <w:t xml:space="preserve"> </w:t>
      </w:r>
      <w:r w:rsidRPr="00310138">
        <w:t>simplereg_acpdesert_county</w:t>
      </w:r>
      <w:r>
        <w:t>.do</w:t>
      </w:r>
    </w:p>
  </w:comment>
  <w:comment w:id="1" w:author="Hernan Galperin" w:date="2024-03-10T16:01:00Z" w:initials="HG">
    <w:p w14:paraId="235C5E6A" w14:textId="77777777" w:rsidR="00255454" w:rsidRDefault="00255454" w:rsidP="00255454">
      <w:pPr>
        <w:pStyle w:val="CommentText"/>
      </w:pPr>
      <w:r>
        <w:rPr>
          <w:rStyle w:val="CommentReference"/>
        </w:rPr>
        <w:annotationRef/>
      </w:r>
      <w:r>
        <w:t>Data files for this section (Stata files):</w:t>
      </w:r>
    </w:p>
    <w:p w14:paraId="299ED802" w14:textId="77777777" w:rsidR="00255454" w:rsidRDefault="00255454" w:rsidP="00255454">
      <w:pPr>
        <w:pStyle w:val="CommentText"/>
        <w:numPr>
          <w:ilvl w:val="0"/>
          <w:numId w:val="10"/>
        </w:numPr>
      </w:pPr>
      <w:r>
        <w:t xml:space="preserve"> </w:t>
      </w:r>
      <w:r w:rsidRPr="00310138">
        <w:t>acpdeserts_county_v2.dta</w:t>
      </w:r>
    </w:p>
    <w:p w14:paraId="047B2450" w14:textId="4DD193DA" w:rsidR="00255454" w:rsidRDefault="00255454" w:rsidP="00255454">
      <w:pPr>
        <w:pStyle w:val="CommentText"/>
      </w:pPr>
      <w:r>
        <w:t xml:space="preserve"> </w:t>
      </w:r>
      <w:r w:rsidRPr="00310138">
        <w:t>simplereg_acpdesert_county</w:t>
      </w:r>
      <w:r>
        <w:t>.do</w:t>
      </w:r>
    </w:p>
  </w:comment>
  <w:comment w:id="2" w:author="Hernan Galperin" w:date="2024-03-10T16:01:00Z" w:initials="HG">
    <w:p w14:paraId="02C57BA5" w14:textId="77777777" w:rsidR="00255454" w:rsidRDefault="00255454" w:rsidP="00255454">
      <w:pPr>
        <w:pStyle w:val="CommentText"/>
      </w:pPr>
      <w:r>
        <w:rPr>
          <w:rStyle w:val="CommentReference"/>
        </w:rPr>
        <w:annotationRef/>
      </w:r>
      <w:r>
        <w:t>Data files for this section (Stata files):</w:t>
      </w:r>
    </w:p>
    <w:p w14:paraId="6D2528A1" w14:textId="77777777" w:rsidR="00255454" w:rsidRDefault="00255454" w:rsidP="00255454">
      <w:pPr>
        <w:pStyle w:val="CommentText"/>
        <w:numPr>
          <w:ilvl w:val="0"/>
          <w:numId w:val="10"/>
        </w:numPr>
      </w:pPr>
      <w:r>
        <w:t xml:space="preserve"> </w:t>
      </w:r>
      <w:r w:rsidRPr="00F02123">
        <w:t>acpdesertdid_county_k202.dta</w:t>
      </w:r>
    </w:p>
    <w:p w14:paraId="68461FF5" w14:textId="1E45C285" w:rsidR="00255454" w:rsidRDefault="00255454" w:rsidP="00255454">
      <w:pPr>
        <w:pStyle w:val="CommentText"/>
      </w:pPr>
      <w:r>
        <w:t xml:space="preserve"> </w:t>
      </w:r>
      <w:r w:rsidRPr="00F02123">
        <w:t>ACPdesertdid_county</w:t>
      </w:r>
      <w:r>
        <w:t>_v2</w:t>
      </w:r>
      <w:r>
        <w:t>.do</w:t>
      </w:r>
    </w:p>
  </w:comment>
  <w:comment w:id="4" w:author="Hernan Galperin" w:date="2024-03-10T16:02:00Z" w:initials="HG">
    <w:p w14:paraId="30D72AA9" w14:textId="63ADC681" w:rsidR="00255454" w:rsidRDefault="00255454">
      <w:pPr>
        <w:pStyle w:val="CommentText"/>
      </w:pPr>
      <w:r>
        <w:rPr>
          <w:rStyle w:val="CommentReference"/>
        </w:rPr>
        <w:annotationRef/>
      </w:r>
      <w:r>
        <w:t xml:space="preserve">This figure is generated by calculating means for each group (treated/control) over years. The code is in </w:t>
      </w:r>
      <w:r w:rsidRPr="00F02123">
        <w:t>ACPdesertdid_county</w:t>
      </w:r>
      <w:r>
        <w:t>_v2</w:t>
      </w:r>
      <w:r>
        <w:t>.do</w:t>
      </w:r>
    </w:p>
  </w:comment>
  <w:comment w:id="6" w:author="Hernan Galperin" w:date="2024-03-10T16:03:00Z" w:initials="HG">
    <w:p w14:paraId="72C53760" w14:textId="31A4D8F8" w:rsidR="003E0B92" w:rsidRDefault="003E0B92">
      <w:pPr>
        <w:pStyle w:val="CommentText"/>
      </w:pPr>
      <w:r>
        <w:rPr>
          <w:rStyle w:val="CommentReference"/>
        </w:rPr>
        <w:annotationRef/>
      </w:r>
      <w:r>
        <w:t>Figure generated by csdid plot command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C8F666" w15:done="0"/>
  <w15:commentEx w15:paraId="047B2450" w15:done="0"/>
  <w15:commentEx w15:paraId="68461FF5" w15:done="0"/>
  <w15:commentEx w15:paraId="30D72AA9" w15:done="0"/>
  <w15:commentEx w15:paraId="72C537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38C5738" w16cex:dateUtc="2024-02-08T02:32:00Z"/>
  <w16cex:commentExtensible w16cex:durableId="4925385E" w16cex:dateUtc="2024-02-08T02:30:00Z"/>
  <w16cex:commentExtensible w16cex:durableId="26A1C9C7" w16cex:dateUtc="2024-02-08T02:40:00Z"/>
  <w16cex:commentExtensible w16cex:durableId="24E3C816" w16cex:dateUtc="2024-02-08T0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1557E" w16cid:durableId="638C5738"/>
  <w16cid:commentId w16cid:paraId="586E0062" w16cid:durableId="4925385E"/>
  <w16cid:commentId w16cid:paraId="5F22DF1C" w16cid:durableId="26A1C9C7"/>
  <w16cid:commentId w16cid:paraId="3CDAEAA7" w16cid:durableId="24E3C8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C07AB" w14:textId="77777777" w:rsidR="008C6F5D" w:rsidRDefault="008C6F5D" w:rsidP="00787A53">
      <w:pPr>
        <w:spacing w:after="0" w:line="240" w:lineRule="auto"/>
      </w:pPr>
      <w:r>
        <w:separator/>
      </w:r>
    </w:p>
  </w:endnote>
  <w:endnote w:type="continuationSeparator" w:id="0">
    <w:p w14:paraId="5307E6EB" w14:textId="77777777" w:rsidR="008C6F5D" w:rsidRDefault="008C6F5D" w:rsidP="0078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1481401"/>
      <w:docPartObj>
        <w:docPartGallery w:val="Page Numbers (Bottom of Page)"/>
        <w:docPartUnique/>
      </w:docPartObj>
    </w:sdtPr>
    <w:sdtEndPr>
      <w:rPr>
        <w:noProof/>
      </w:rPr>
    </w:sdtEndPr>
    <w:sdtContent>
      <w:p w14:paraId="2182E57D" w14:textId="2897D461" w:rsidR="008C6F5D" w:rsidRDefault="008C6F5D">
        <w:pPr>
          <w:pStyle w:val="Footer"/>
          <w:jc w:val="right"/>
        </w:pPr>
        <w:r>
          <w:fldChar w:fldCharType="begin"/>
        </w:r>
        <w:r>
          <w:instrText xml:space="preserve"> PAGE   \* MERGEFORMAT </w:instrText>
        </w:r>
        <w:r>
          <w:fldChar w:fldCharType="separate"/>
        </w:r>
        <w:r w:rsidR="003E0B92">
          <w:rPr>
            <w:noProof/>
          </w:rPr>
          <w:t>12</w:t>
        </w:r>
        <w:r>
          <w:rPr>
            <w:noProof/>
          </w:rPr>
          <w:fldChar w:fldCharType="end"/>
        </w:r>
      </w:p>
    </w:sdtContent>
  </w:sdt>
  <w:p w14:paraId="3CFC0225" w14:textId="77777777" w:rsidR="008C6F5D" w:rsidRDefault="008C6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CEDF4" w14:textId="77777777" w:rsidR="008C6F5D" w:rsidRDefault="008C6F5D" w:rsidP="00787A53">
      <w:pPr>
        <w:spacing w:after="0" w:line="240" w:lineRule="auto"/>
      </w:pPr>
      <w:r>
        <w:separator/>
      </w:r>
    </w:p>
  </w:footnote>
  <w:footnote w:type="continuationSeparator" w:id="0">
    <w:p w14:paraId="1EE2B339" w14:textId="77777777" w:rsidR="008C6F5D" w:rsidRDefault="008C6F5D" w:rsidP="00787A53">
      <w:pPr>
        <w:spacing w:after="0" w:line="240" w:lineRule="auto"/>
      </w:pPr>
      <w:r>
        <w:continuationSeparator/>
      </w:r>
    </w:p>
  </w:footnote>
  <w:footnote w:id="1">
    <w:p w14:paraId="3588C5B3" w14:textId="1EC344EE" w:rsidR="008C6F5D" w:rsidRDefault="008C6F5D">
      <w:pPr>
        <w:pStyle w:val="FootnoteText"/>
      </w:pPr>
      <w:r>
        <w:rPr>
          <w:rStyle w:val="FootnoteReference"/>
        </w:rPr>
        <w:footnoteRef/>
      </w:r>
      <w:r>
        <w:t xml:space="preserve"> See, among others, </w:t>
      </w:r>
      <w:r w:rsidRPr="00B90884">
        <w:t>Hauge, Janice A., Mark A. Jamison, and R. Todd Jewell. “Discounting Telephone Service: An Examination of Participation in the Lifeline Assistance Program Using Panel Data.” Information Economics and Policy 20, no. 2 (2008): 135–49. doi.org/10.1016/j.infoecopol.2007.12.002.</w:t>
      </w:r>
    </w:p>
  </w:footnote>
  <w:footnote w:id="2">
    <w:p w14:paraId="7DA5562E" w14:textId="77777777" w:rsidR="008C6F5D" w:rsidRDefault="008C6F5D" w:rsidP="00535CC8">
      <w:pPr>
        <w:pStyle w:val="FootnoteText"/>
      </w:pPr>
      <w:r>
        <w:rPr>
          <w:rStyle w:val="FootnoteReference"/>
        </w:rPr>
        <w:footnoteRef/>
      </w:r>
      <w:r>
        <w:t xml:space="preserve"> For details about the FCC broadband map data collection and the definition of serviceable location see </w:t>
      </w:r>
      <w:hyperlink r:id="rId1" w:history="1">
        <w:r w:rsidRPr="00C37C3F">
          <w:rPr>
            <w:rStyle w:val="Hyperlink"/>
          </w:rPr>
          <w:t>https://help.bdc.fcc.gov</w:t>
        </w:r>
      </w:hyperlink>
      <w:r>
        <w:t>. It is worth noting that the maps are known to overestimate the availability of services, and have been challenged by several states and advocacy organizations (</w:t>
      </w:r>
      <w:hyperlink r:id="rId2" w:history="1">
        <w:r w:rsidRPr="00C37C3F">
          <w:rPr>
            <w:rStyle w:val="Hyperlink"/>
          </w:rPr>
          <w:t>https://arstechnica.com/tech-policy/2023/01/fccs-new-broadband-map-greatly-overstates-actual-coverage-senators-say</w:t>
        </w:r>
      </w:hyperlink>
      <w:r>
        <w:t xml:space="preserve">). </w:t>
      </w:r>
    </w:p>
  </w:footnote>
  <w:footnote w:id="3">
    <w:p w14:paraId="09313B21" w14:textId="7EE472C7" w:rsidR="008C6F5D" w:rsidRDefault="008C6F5D" w:rsidP="00996DA7">
      <w:pPr>
        <w:pStyle w:val="FootnoteText"/>
      </w:pPr>
      <w:r>
        <w:rPr>
          <w:rStyle w:val="FootnoteReference"/>
        </w:rPr>
        <w:footnoteRef/>
      </w:r>
      <w:r>
        <w:t xml:space="preserve"> For example, </w:t>
      </w:r>
      <w:r w:rsidRPr="00512CE2">
        <w:t>Rosston and</w:t>
      </w:r>
      <w:r>
        <w:t xml:space="preserve"> Wallsten (2020) and Zuo (2021) use DiD to estimate the impact of Comcast’s low-cost broadband plan (Internet Essentials). Similarly, Galperin (2022) uses DiD to evaluate the outcome of affordable plans by Comcast, AT&amp;T and Frontier in California.</w:t>
      </w:r>
    </w:p>
  </w:footnote>
  <w:footnote w:id="4">
    <w:p w14:paraId="6A56D9A7" w14:textId="6543B6A0" w:rsidR="008C6F5D" w:rsidRDefault="008C6F5D">
      <w:pPr>
        <w:pStyle w:val="FootnoteText"/>
      </w:pPr>
      <w:r>
        <w:rPr>
          <w:rStyle w:val="FootnoteReference"/>
        </w:rPr>
        <w:footnoteRef/>
      </w:r>
      <w:r>
        <w:t xml:space="preserve"> Due to the COVID-19 pandemic, ACS 1-year estimates for 2020 are not available.</w:t>
      </w:r>
    </w:p>
  </w:footnote>
  <w:footnote w:id="5">
    <w:p w14:paraId="3F194FF0" w14:textId="77777777" w:rsidR="00DD0D4A" w:rsidRDefault="00DD0D4A" w:rsidP="00DD0D4A">
      <w:pPr>
        <w:pStyle w:val="FootnoteText"/>
      </w:pPr>
      <w:r>
        <w:rPr>
          <w:rStyle w:val="FootnoteReference"/>
        </w:rPr>
        <w:footnoteRef/>
      </w:r>
      <w:r>
        <w:t xml:space="preserve"> </w:t>
      </w:r>
      <w:r w:rsidRPr="00266CD7">
        <w:t>Zuo, George W. 2021. "Wired and Hired: Employment Effects of Subsidized Broadband Internet for Low-Income Americans." American Economic Journal: Economic Policy, 13 (3): 447-82.</w:t>
      </w:r>
    </w:p>
  </w:footnote>
  <w:footnote w:id="6">
    <w:p w14:paraId="2E3022D5" w14:textId="34D0A85F" w:rsidR="008C6F5D" w:rsidRDefault="008C6F5D">
      <w:pPr>
        <w:pStyle w:val="FootnoteText"/>
      </w:pPr>
      <w:r>
        <w:rPr>
          <w:rStyle w:val="FootnoteReference"/>
        </w:rPr>
        <w:footnoteRef/>
      </w:r>
      <w:r>
        <w:t xml:space="preserve"> These programs in fact exist at the state level. For example, the </w:t>
      </w:r>
      <w:r w:rsidRPr="00C6539D">
        <w:t>CalFr</w:t>
      </w:r>
      <w:r>
        <w:t>esh fruit and v</w:t>
      </w:r>
      <w:r w:rsidRPr="00C6539D">
        <w:t>egetable EBT Pilot Project</w:t>
      </w:r>
      <w:r>
        <w:t xml:space="preserve"> was launched in California in 2018 and offers a refund of up to $60/month to food assistance recipients when benefits are used to buy fresh fruits and vegetables (see </w:t>
      </w:r>
      <w:r w:rsidRPr="00C6539D">
        <w:t>https://www.cdss.ca.gov/inforesources/ebt/california-fruit-vegetable-ebt-pilot-project</w:t>
      </w:r>
      <w:r>
        <w:t>).</w:t>
      </w:r>
    </w:p>
  </w:footnote>
  <w:footnote w:id="7">
    <w:p w14:paraId="49E7DD64" w14:textId="6440977F" w:rsidR="008C6F5D" w:rsidRDefault="008C6F5D">
      <w:pPr>
        <w:pStyle w:val="FootnoteText"/>
      </w:pPr>
      <w:r>
        <w:rPr>
          <w:rStyle w:val="FootnoteReference"/>
        </w:rPr>
        <w:footnoteRef/>
      </w:r>
      <w:r>
        <w:t xml:space="preserve"> See Horrigan (2023). </w:t>
      </w:r>
      <w:r w:rsidRPr="00D579D7">
        <w:t>https://www.benton.org/blog/gain-and-sustain-affordable-connectivity-program-getting-more-people-online</w:t>
      </w:r>
      <w:r>
        <w:t>.</w:t>
      </w:r>
    </w:p>
  </w:footnote>
  <w:footnote w:id="8">
    <w:p w14:paraId="312FD7D8" w14:textId="484AD1F3" w:rsidR="008C6F5D" w:rsidRDefault="008C6F5D">
      <w:pPr>
        <w:pStyle w:val="FootnoteText"/>
      </w:pPr>
      <w:r>
        <w:rPr>
          <w:rStyle w:val="FootnoteReference"/>
        </w:rPr>
        <w:footnoteRef/>
      </w:r>
      <w:r>
        <w:t xml:space="preserve"> See for example </w:t>
      </w:r>
      <w:r w:rsidRPr="00821626">
        <w:t>Gonzales, A.L. (2016). From Internet access to Internet maintenance: A new approach to the US Internet divide. Information, Communication, and Society, 19, 2, 234-248</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384A"/>
    <w:multiLevelType w:val="hybridMultilevel"/>
    <w:tmpl w:val="12E0653C"/>
    <w:lvl w:ilvl="0" w:tplc="42C0505A">
      <w:start w:val="1"/>
      <w:numFmt w:val="decimal"/>
      <w:lvlText w:val="%1."/>
      <w:lvlJc w:val="left"/>
      <w:pPr>
        <w:ind w:left="720" w:hanging="360"/>
      </w:pPr>
    </w:lvl>
    <w:lvl w:ilvl="1" w:tplc="0F26A4F8">
      <w:start w:val="1"/>
      <w:numFmt w:val="lowerLetter"/>
      <w:lvlText w:val="%2."/>
      <w:lvlJc w:val="left"/>
      <w:pPr>
        <w:ind w:left="1440" w:hanging="360"/>
      </w:pPr>
    </w:lvl>
    <w:lvl w:ilvl="2" w:tplc="61183074">
      <w:start w:val="1"/>
      <w:numFmt w:val="lowerRoman"/>
      <w:lvlText w:val="%3."/>
      <w:lvlJc w:val="right"/>
      <w:pPr>
        <w:ind w:left="2160" w:hanging="180"/>
      </w:pPr>
    </w:lvl>
    <w:lvl w:ilvl="3" w:tplc="2FC05E06">
      <w:start w:val="1"/>
      <w:numFmt w:val="decimal"/>
      <w:lvlText w:val="%4."/>
      <w:lvlJc w:val="left"/>
      <w:pPr>
        <w:ind w:left="2880" w:hanging="360"/>
      </w:pPr>
    </w:lvl>
    <w:lvl w:ilvl="4" w:tplc="703291CA">
      <w:start w:val="1"/>
      <w:numFmt w:val="lowerLetter"/>
      <w:lvlText w:val="%5."/>
      <w:lvlJc w:val="left"/>
      <w:pPr>
        <w:ind w:left="3600" w:hanging="360"/>
      </w:pPr>
    </w:lvl>
    <w:lvl w:ilvl="5" w:tplc="65085D36">
      <w:start w:val="1"/>
      <w:numFmt w:val="lowerRoman"/>
      <w:lvlText w:val="%6."/>
      <w:lvlJc w:val="right"/>
      <w:pPr>
        <w:ind w:left="4320" w:hanging="180"/>
      </w:pPr>
    </w:lvl>
    <w:lvl w:ilvl="6" w:tplc="778E12A8">
      <w:start w:val="1"/>
      <w:numFmt w:val="decimal"/>
      <w:lvlText w:val="%7."/>
      <w:lvlJc w:val="left"/>
      <w:pPr>
        <w:ind w:left="5040" w:hanging="360"/>
      </w:pPr>
    </w:lvl>
    <w:lvl w:ilvl="7" w:tplc="00783A94">
      <w:start w:val="1"/>
      <w:numFmt w:val="lowerLetter"/>
      <w:lvlText w:val="%8."/>
      <w:lvlJc w:val="left"/>
      <w:pPr>
        <w:ind w:left="5760" w:hanging="360"/>
      </w:pPr>
    </w:lvl>
    <w:lvl w:ilvl="8" w:tplc="AB88127C">
      <w:start w:val="1"/>
      <w:numFmt w:val="lowerRoman"/>
      <w:lvlText w:val="%9."/>
      <w:lvlJc w:val="right"/>
      <w:pPr>
        <w:ind w:left="6480" w:hanging="180"/>
      </w:pPr>
    </w:lvl>
  </w:abstractNum>
  <w:abstractNum w:abstractNumId="1" w15:restartNumberingAfterBreak="0">
    <w:nsid w:val="1D8E04A4"/>
    <w:multiLevelType w:val="hybridMultilevel"/>
    <w:tmpl w:val="E84EA33E"/>
    <w:lvl w:ilvl="0" w:tplc="6FF0E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A10CB"/>
    <w:multiLevelType w:val="hybridMultilevel"/>
    <w:tmpl w:val="F722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65A11"/>
    <w:multiLevelType w:val="hybridMultilevel"/>
    <w:tmpl w:val="DD6E6528"/>
    <w:lvl w:ilvl="0" w:tplc="A7387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52841"/>
    <w:multiLevelType w:val="hybridMultilevel"/>
    <w:tmpl w:val="096E3408"/>
    <w:lvl w:ilvl="0" w:tplc="89227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C2C3A"/>
    <w:multiLevelType w:val="hybridMultilevel"/>
    <w:tmpl w:val="B5BCA282"/>
    <w:lvl w:ilvl="0" w:tplc="F11E98A0">
      <w:start w:val="1"/>
      <w:numFmt w:val="bullet"/>
      <w:lvlText w:val=""/>
      <w:lvlJc w:val="left"/>
      <w:pPr>
        <w:ind w:left="720" w:hanging="360"/>
      </w:pPr>
      <w:rPr>
        <w:rFonts w:ascii="Symbol" w:hAnsi="Symbol"/>
      </w:rPr>
    </w:lvl>
    <w:lvl w:ilvl="1" w:tplc="B87AC752">
      <w:start w:val="1"/>
      <w:numFmt w:val="bullet"/>
      <w:lvlText w:val=""/>
      <w:lvlJc w:val="left"/>
      <w:pPr>
        <w:ind w:left="720" w:hanging="360"/>
      </w:pPr>
      <w:rPr>
        <w:rFonts w:ascii="Symbol" w:hAnsi="Symbol"/>
      </w:rPr>
    </w:lvl>
    <w:lvl w:ilvl="2" w:tplc="4968A02A">
      <w:start w:val="1"/>
      <w:numFmt w:val="bullet"/>
      <w:lvlText w:val=""/>
      <w:lvlJc w:val="left"/>
      <w:pPr>
        <w:ind w:left="720" w:hanging="360"/>
      </w:pPr>
      <w:rPr>
        <w:rFonts w:ascii="Symbol" w:hAnsi="Symbol"/>
      </w:rPr>
    </w:lvl>
    <w:lvl w:ilvl="3" w:tplc="DF960EB2">
      <w:start w:val="1"/>
      <w:numFmt w:val="bullet"/>
      <w:lvlText w:val=""/>
      <w:lvlJc w:val="left"/>
      <w:pPr>
        <w:ind w:left="720" w:hanging="360"/>
      </w:pPr>
      <w:rPr>
        <w:rFonts w:ascii="Symbol" w:hAnsi="Symbol"/>
      </w:rPr>
    </w:lvl>
    <w:lvl w:ilvl="4" w:tplc="1FF20BB2">
      <w:start w:val="1"/>
      <w:numFmt w:val="bullet"/>
      <w:lvlText w:val=""/>
      <w:lvlJc w:val="left"/>
      <w:pPr>
        <w:ind w:left="720" w:hanging="360"/>
      </w:pPr>
      <w:rPr>
        <w:rFonts w:ascii="Symbol" w:hAnsi="Symbol"/>
      </w:rPr>
    </w:lvl>
    <w:lvl w:ilvl="5" w:tplc="2CAAFCB8">
      <w:start w:val="1"/>
      <w:numFmt w:val="bullet"/>
      <w:lvlText w:val=""/>
      <w:lvlJc w:val="left"/>
      <w:pPr>
        <w:ind w:left="720" w:hanging="360"/>
      </w:pPr>
      <w:rPr>
        <w:rFonts w:ascii="Symbol" w:hAnsi="Symbol"/>
      </w:rPr>
    </w:lvl>
    <w:lvl w:ilvl="6" w:tplc="C2641D86">
      <w:start w:val="1"/>
      <w:numFmt w:val="bullet"/>
      <w:lvlText w:val=""/>
      <w:lvlJc w:val="left"/>
      <w:pPr>
        <w:ind w:left="720" w:hanging="360"/>
      </w:pPr>
      <w:rPr>
        <w:rFonts w:ascii="Symbol" w:hAnsi="Symbol"/>
      </w:rPr>
    </w:lvl>
    <w:lvl w:ilvl="7" w:tplc="28383230">
      <w:start w:val="1"/>
      <w:numFmt w:val="bullet"/>
      <w:lvlText w:val=""/>
      <w:lvlJc w:val="left"/>
      <w:pPr>
        <w:ind w:left="720" w:hanging="360"/>
      </w:pPr>
      <w:rPr>
        <w:rFonts w:ascii="Symbol" w:hAnsi="Symbol"/>
      </w:rPr>
    </w:lvl>
    <w:lvl w:ilvl="8" w:tplc="AA921FA8">
      <w:start w:val="1"/>
      <w:numFmt w:val="bullet"/>
      <w:lvlText w:val=""/>
      <w:lvlJc w:val="left"/>
      <w:pPr>
        <w:ind w:left="720" w:hanging="360"/>
      </w:pPr>
      <w:rPr>
        <w:rFonts w:ascii="Symbol" w:hAnsi="Symbol"/>
      </w:rPr>
    </w:lvl>
  </w:abstractNum>
  <w:abstractNum w:abstractNumId="6" w15:restartNumberingAfterBreak="0">
    <w:nsid w:val="37365514"/>
    <w:multiLevelType w:val="hybridMultilevel"/>
    <w:tmpl w:val="1FD8FB3C"/>
    <w:lvl w:ilvl="0" w:tplc="3D6E2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855FE"/>
    <w:multiLevelType w:val="hybridMultilevel"/>
    <w:tmpl w:val="8304ADA4"/>
    <w:lvl w:ilvl="0" w:tplc="0F26A4F8">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76B5D"/>
    <w:multiLevelType w:val="hybridMultilevel"/>
    <w:tmpl w:val="60924B06"/>
    <w:lvl w:ilvl="0" w:tplc="7A0240FC">
      <w:start w:val="1"/>
      <w:numFmt w:val="bullet"/>
      <w:lvlText w:val=""/>
      <w:lvlJc w:val="left"/>
      <w:pPr>
        <w:ind w:left="720" w:hanging="360"/>
      </w:pPr>
      <w:rPr>
        <w:rFonts w:ascii="Symbol" w:hAnsi="Symbol"/>
      </w:rPr>
    </w:lvl>
    <w:lvl w:ilvl="1" w:tplc="83B2A17E">
      <w:start w:val="1"/>
      <w:numFmt w:val="bullet"/>
      <w:lvlText w:val=""/>
      <w:lvlJc w:val="left"/>
      <w:pPr>
        <w:ind w:left="720" w:hanging="360"/>
      </w:pPr>
      <w:rPr>
        <w:rFonts w:ascii="Symbol" w:hAnsi="Symbol"/>
      </w:rPr>
    </w:lvl>
    <w:lvl w:ilvl="2" w:tplc="106E8D5A">
      <w:start w:val="1"/>
      <w:numFmt w:val="bullet"/>
      <w:lvlText w:val=""/>
      <w:lvlJc w:val="left"/>
      <w:pPr>
        <w:ind w:left="720" w:hanging="360"/>
      </w:pPr>
      <w:rPr>
        <w:rFonts w:ascii="Symbol" w:hAnsi="Symbol"/>
      </w:rPr>
    </w:lvl>
    <w:lvl w:ilvl="3" w:tplc="54BC2E6E">
      <w:start w:val="1"/>
      <w:numFmt w:val="bullet"/>
      <w:lvlText w:val=""/>
      <w:lvlJc w:val="left"/>
      <w:pPr>
        <w:ind w:left="720" w:hanging="360"/>
      </w:pPr>
      <w:rPr>
        <w:rFonts w:ascii="Symbol" w:hAnsi="Symbol"/>
      </w:rPr>
    </w:lvl>
    <w:lvl w:ilvl="4" w:tplc="A54E28A0">
      <w:start w:val="1"/>
      <w:numFmt w:val="bullet"/>
      <w:lvlText w:val=""/>
      <w:lvlJc w:val="left"/>
      <w:pPr>
        <w:ind w:left="720" w:hanging="360"/>
      </w:pPr>
      <w:rPr>
        <w:rFonts w:ascii="Symbol" w:hAnsi="Symbol"/>
      </w:rPr>
    </w:lvl>
    <w:lvl w:ilvl="5" w:tplc="F836F5F2">
      <w:start w:val="1"/>
      <w:numFmt w:val="bullet"/>
      <w:lvlText w:val=""/>
      <w:lvlJc w:val="left"/>
      <w:pPr>
        <w:ind w:left="720" w:hanging="360"/>
      </w:pPr>
      <w:rPr>
        <w:rFonts w:ascii="Symbol" w:hAnsi="Symbol"/>
      </w:rPr>
    </w:lvl>
    <w:lvl w:ilvl="6" w:tplc="E1F06C92">
      <w:start w:val="1"/>
      <w:numFmt w:val="bullet"/>
      <w:lvlText w:val=""/>
      <w:lvlJc w:val="left"/>
      <w:pPr>
        <w:ind w:left="720" w:hanging="360"/>
      </w:pPr>
      <w:rPr>
        <w:rFonts w:ascii="Symbol" w:hAnsi="Symbol"/>
      </w:rPr>
    </w:lvl>
    <w:lvl w:ilvl="7" w:tplc="99B8C3C8">
      <w:start w:val="1"/>
      <w:numFmt w:val="bullet"/>
      <w:lvlText w:val=""/>
      <w:lvlJc w:val="left"/>
      <w:pPr>
        <w:ind w:left="720" w:hanging="360"/>
      </w:pPr>
      <w:rPr>
        <w:rFonts w:ascii="Symbol" w:hAnsi="Symbol"/>
      </w:rPr>
    </w:lvl>
    <w:lvl w:ilvl="8" w:tplc="604CE170">
      <w:start w:val="1"/>
      <w:numFmt w:val="bullet"/>
      <w:lvlText w:val=""/>
      <w:lvlJc w:val="left"/>
      <w:pPr>
        <w:ind w:left="720" w:hanging="360"/>
      </w:pPr>
      <w:rPr>
        <w:rFonts w:ascii="Symbol" w:hAnsi="Symbol"/>
      </w:rPr>
    </w:lvl>
  </w:abstractNum>
  <w:abstractNum w:abstractNumId="9" w15:restartNumberingAfterBreak="0">
    <w:nsid w:val="4A4C0A15"/>
    <w:multiLevelType w:val="hybridMultilevel"/>
    <w:tmpl w:val="D7D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2"/>
  </w:num>
  <w:num w:numId="6">
    <w:abstractNumId w:val="9"/>
  </w:num>
  <w:num w:numId="7">
    <w:abstractNumId w:val="8"/>
  </w:num>
  <w:num w:numId="8">
    <w:abstractNumId w:val="5"/>
  </w:num>
  <w:num w:numId="9">
    <w:abstractNumId w:val="7"/>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rnan Galperin">
    <w15:presenceInfo w15:providerId="None" w15:userId="Hernan Galp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53"/>
    <w:rsid w:val="000123B4"/>
    <w:rsid w:val="0002388D"/>
    <w:rsid w:val="00033995"/>
    <w:rsid w:val="0003519A"/>
    <w:rsid w:val="00035983"/>
    <w:rsid w:val="000429A7"/>
    <w:rsid w:val="00060D56"/>
    <w:rsid w:val="00066E70"/>
    <w:rsid w:val="0007730F"/>
    <w:rsid w:val="00077BA8"/>
    <w:rsid w:val="00083BF7"/>
    <w:rsid w:val="000A23EF"/>
    <w:rsid w:val="000A3303"/>
    <w:rsid w:val="000A64DA"/>
    <w:rsid w:val="000B4060"/>
    <w:rsid w:val="000D1EFE"/>
    <w:rsid w:val="000D5350"/>
    <w:rsid w:val="000E058A"/>
    <w:rsid w:val="000E3A3E"/>
    <w:rsid w:val="000F460A"/>
    <w:rsid w:val="00105DEF"/>
    <w:rsid w:val="001068A4"/>
    <w:rsid w:val="00114FD5"/>
    <w:rsid w:val="00131833"/>
    <w:rsid w:val="00133619"/>
    <w:rsid w:val="001366CF"/>
    <w:rsid w:val="001426F2"/>
    <w:rsid w:val="00142A18"/>
    <w:rsid w:val="00144123"/>
    <w:rsid w:val="00145EF1"/>
    <w:rsid w:val="00150AC1"/>
    <w:rsid w:val="00153799"/>
    <w:rsid w:val="001618C1"/>
    <w:rsid w:val="00164B82"/>
    <w:rsid w:val="001743EC"/>
    <w:rsid w:val="00185E5C"/>
    <w:rsid w:val="001947E5"/>
    <w:rsid w:val="001A244B"/>
    <w:rsid w:val="001A5DA1"/>
    <w:rsid w:val="001A6195"/>
    <w:rsid w:val="001C0A71"/>
    <w:rsid w:val="001C2917"/>
    <w:rsid w:val="001C2D18"/>
    <w:rsid w:val="001D2640"/>
    <w:rsid w:val="001D76E7"/>
    <w:rsid w:val="001E1B24"/>
    <w:rsid w:val="001E6EA9"/>
    <w:rsid w:val="001F4900"/>
    <w:rsid w:val="001F685E"/>
    <w:rsid w:val="00212754"/>
    <w:rsid w:val="0021484C"/>
    <w:rsid w:val="00222326"/>
    <w:rsid w:val="00230058"/>
    <w:rsid w:val="00255454"/>
    <w:rsid w:val="002600DA"/>
    <w:rsid w:val="00263F37"/>
    <w:rsid w:val="00266CD7"/>
    <w:rsid w:val="002720D7"/>
    <w:rsid w:val="00286FB7"/>
    <w:rsid w:val="0029498D"/>
    <w:rsid w:val="0029566C"/>
    <w:rsid w:val="002B72D0"/>
    <w:rsid w:val="002C400E"/>
    <w:rsid w:val="002C5678"/>
    <w:rsid w:val="002E2AF1"/>
    <w:rsid w:val="002E77B0"/>
    <w:rsid w:val="002E7A6E"/>
    <w:rsid w:val="003047FA"/>
    <w:rsid w:val="00310138"/>
    <w:rsid w:val="00311E3B"/>
    <w:rsid w:val="00312794"/>
    <w:rsid w:val="0035006A"/>
    <w:rsid w:val="00351AE0"/>
    <w:rsid w:val="00363E1C"/>
    <w:rsid w:val="00364055"/>
    <w:rsid w:val="00371225"/>
    <w:rsid w:val="00372C7A"/>
    <w:rsid w:val="0037326C"/>
    <w:rsid w:val="00373AA0"/>
    <w:rsid w:val="00375242"/>
    <w:rsid w:val="00375D29"/>
    <w:rsid w:val="003820CB"/>
    <w:rsid w:val="00396220"/>
    <w:rsid w:val="003A406C"/>
    <w:rsid w:val="003B7C43"/>
    <w:rsid w:val="003C5461"/>
    <w:rsid w:val="003C6744"/>
    <w:rsid w:val="003D3493"/>
    <w:rsid w:val="003E0B92"/>
    <w:rsid w:val="003F1BCA"/>
    <w:rsid w:val="003F3F7C"/>
    <w:rsid w:val="00401524"/>
    <w:rsid w:val="00404B1F"/>
    <w:rsid w:val="00406A46"/>
    <w:rsid w:val="00410986"/>
    <w:rsid w:val="00411184"/>
    <w:rsid w:val="00411D36"/>
    <w:rsid w:val="004133B8"/>
    <w:rsid w:val="00413A78"/>
    <w:rsid w:val="0042289A"/>
    <w:rsid w:val="0042600A"/>
    <w:rsid w:val="00434275"/>
    <w:rsid w:val="004530F2"/>
    <w:rsid w:val="0045776B"/>
    <w:rsid w:val="00460116"/>
    <w:rsid w:val="004838E1"/>
    <w:rsid w:val="004970A7"/>
    <w:rsid w:val="004972C8"/>
    <w:rsid w:val="004A7D53"/>
    <w:rsid w:val="004B5217"/>
    <w:rsid w:val="004C0FD4"/>
    <w:rsid w:val="004D1BCA"/>
    <w:rsid w:val="004E0C56"/>
    <w:rsid w:val="004F36CA"/>
    <w:rsid w:val="004F417B"/>
    <w:rsid w:val="005012A4"/>
    <w:rsid w:val="00526D97"/>
    <w:rsid w:val="00535CC8"/>
    <w:rsid w:val="00540ABD"/>
    <w:rsid w:val="00563D8E"/>
    <w:rsid w:val="005672AD"/>
    <w:rsid w:val="00576D93"/>
    <w:rsid w:val="00577E2F"/>
    <w:rsid w:val="005810DA"/>
    <w:rsid w:val="0058331A"/>
    <w:rsid w:val="00585EAF"/>
    <w:rsid w:val="005924B1"/>
    <w:rsid w:val="0059303A"/>
    <w:rsid w:val="005973E5"/>
    <w:rsid w:val="005A06C2"/>
    <w:rsid w:val="005A2506"/>
    <w:rsid w:val="005B3D44"/>
    <w:rsid w:val="005C2638"/>
    <w:rsid w:val="005E661A"/>
    <w:rsid w:val="005F6CED"/>
    <w:rsid w:val="00605427"/>
    <w:rsid w:val="00613C6D"/>
    <w:rsid w:val="00622E73"/>
    <w:rsid w:val="00626BF8"/>
    <w:rsid w:val="0063099C"/>
    <w:rsid w:val="00630D9E"/>
    <w:rsid w:val="006336D0"/>
    <w:rsid w:val="00634137"/>
    <w:rsid w:val="00646D75"/>
    <w:rsid w:val="00651693"/>
    <w:rsid w:val="00656F91"/>
    <w:rsid w:val="0065743F"/>
    <w:rsid w:val="006616FD"/>
    <w:rsid w:val="006621EE"/>
    <w:rsid w:val="00663FAE"/>
    <w:rsid w:val="00670710"/>
    <w:rsid w:val="006724D8"/>
    <w:rsid w:val="00672B83"/>
    <w:rsid w:val="00674BCA"/>
    <w:rsid w:val="0067730A"/>
    <w:rsid w:val="00681188"/>
    <w:rsid w:val="00682633"/>
    <w:rsid w:val="00685241"/>
    <w:rsid w:val="00694952"/>
    <w:rsid w:val="00694E29"/>
    <w:rsid w:val="006C2E9F"/>
    <w:rsid w:val="006C557C"/>
    <w:rsid w:val="006E2236"/>
    <w:rsid w:val="006F5D87"/>
    <w:rsid w:val="007212DD"/>
    <w:rsid w:val="00737017"/>
    <w:rsid w:val="00737FDD"/>
    <w:rsid w:val="007436D6"/>
    <w:rsid w:val="007451B2"/>
    <w:rsid w:val="00757494"/>
    <w:rsid w:val="00760A36"/>
    <w:rsid w:val="00766B0E"/>
    <w:rsid w:val="00781904"/>
    <w:rsid w:val="007833C5"/>
    <w:rsid w:val="00786C85"/>
    <w:rsid w:val="00787171"/>
    <w:rsid w:val="00787A53"/>
    <w:rsid w:val="00797815"/>
    <w:rsid w:val="007A3877"/>
    <w:rsid w:val="007B0C5D"/>
    <w:rsid w:val="007B6932"/>
    <w:rsid w:val="007C1AEC"/>
    <w:rsid w:val="007C43DF"/>
    <w:rsid w:val="007C59A3"/>
    <w:rsid w:val="007C7639"/>
    <w:rsid w:val="007D6689"/>
    <w:rsid w:val="007E4AAE"/>
    <w:rsid w:val="007E67B8"/>
    <w:rsid w:val="007F0313"/>
    <w:rsid w:val="007F0E45"/>
    <w:rsid w:val="007F5CE6"/>
    <w:rsid w:val="007F6A7B"/>
    <w:rsid w:val="0080629D"/>
    <w:rsid w:val="00821626"/>
    <w:rsid w:val="0082196D"/>
    <w:rsid w:val="00825A2B"/>
    <w:rsid w:val="00833394"/>
    <w:rsid w:val="0083514D"/>
    <w:rsid w:val="00846CDC"/>
    <w:rsid w:val="00847BA3"/>
    <w:rsid w:val="008652C1"/>
    <w:rsid w:val="00867E1F"/>
    <w:rsid w:val="00875249"/>
    <w:rsid w:val="00877513"/>
    <w:rsid w:val="00883F88"/>
    <w:rsid w:val="00886BD8"/>
    <w:rsid w:val="0088722C"/>
    <w:rsid w:val="008960A6"/>
    <w:rsid w:val="008A5B96"/>
    <w:rsid w:val="008B6F63"/>
    <w:rsid w:val="008C239E"/>
    <w:rsid w:val="008C6F5D"/>
    <w:rsid w:val="008C7801"/>
    <w:rsid w:val="008E558B"/>
    <w:rsid w:val="008F682C"/>
    <w:rsid w:val="008F7C55"/>
    <w:rsid w:val="00900F0C"/>
    <w:rsid w:val="00901C00"/>
    <w:rsid w:val="009221E9"/>
    <w:rsid w:val="009358DC"/>
    <w:rsid w:val="00942FB0"/>
    <w:rsid w:val="00950E78"/>
    <w:rsid w:val="00952172"/>
    <w:rsid w:val="00956F6D"/>
    <w:rsid w:val="00957249"/>
    <w:rsid w:val="00967E1B"/>
    <w:rsid w:val="009927B8"/>
    <w:rsid w:val="00993AD4"/>
    <w:rsid w:val="00996DA7"/>
    <w:rsid w:val="009A6D0C"/>
    <w:rsid w:val="009C0FEB"/>
    <w:rsid w:val="009D5002"/>
    <w:rsid w:val="009E48A3"/>
    <w:rsid w:val="00A14DF8"/>
    <w:rsid w:val="00A225F0"/>
    <w:rsid w:val="00A31123"/>
    <w:rsid w:val="00A37476"/>
    <w:rsid w:val="00A37D17"/>
    <w:rsid w:val="00A457F5"/>
    <w:rsid w:val="00A543F5"/>
    <w:rsid w:val="00A72F4A"/>
    <w:rsid w:val="00A8541A"/>
    <w:rsid w:val="00A8569F"/>
    <w:rsid w:val="00A96857"/>
    <w:rsid w:val="00AA41D0"/>
    <w:rsid w:val="00AA5C76"/>
    <w:rsid w:val="00AB109B"/>
    <w:rsid w:val="00AB4DEB"/>
    <w:rsid w:val="00AC59D1"/>
    <w:rsid w:val="00AD7BD9"/>
    <w:rsid w:val="00AE4043"/>
    <w:rsid w:val="00AF3D6B"/>
    <w:rsid w:val="00AF7C65"/>
    <w:rsid w:val="00B13B79"/>
    <w:rsid w:val="00B151DE"/>
    <w:rsid w:val="00B21729"/>
    <w:rsid w:val="00B33F3E"/>
    <w:rsid w:val="00B35218"/>
    <w:rsid w:val="00B56AA1"/>
    <w:rsid w:val="00B72908"/>
    <w:rsid w:val="00B76B33"/>
    <w:rsid w:val="00B90884"/>
    <w:rsid w:val="00B935FA"/>
    <w:rsid w:val="00BA5BD4"/>
    <w:rsid w:val="00BA655B"/>
    <w:rsid w:val="00BB060D"/>
    <w:rsid w:val="00BB1ABD"/>
    <w:rsid w:val="00BB48D8"/>
    <w:rsid w:val="00BC512A"/>
    <w:rsid w:val="00BC576E"/>
    <w:rsid w:val="00BC794D"/>
    <w:rsid w:val="00BE2453"/>
    <w:rsid w:val="00BE4415"/>
    <w:rsid w:val="00BF567C"/>
    <w:rsid w:val="00BF5BA1"/>
    <w:rsid w:val="00C12876"/>
    <w:rsid w:val="00C1637A"/>
    <w:rsid w:val="00C23CB7"/>
    <w:rsid w:val="00C360B5"/>
    <w:rsid w:val="00C57D6E"/>
    <w:rsid w:val="00C63C24"/>
    <w:rsid w:val="00C65354"/>
    <w:rsid w:val="00C6539D"/>
    <w:rsid w:val="00C71DCF"/>
    <w:rsid w:val="00C76F9E"/>
    <w:rsid w:val="00C808B3"/>
    <w:rsid w:val="00C84583"/>
    <w:rsid w:val="00C87023"/>
    <w:rsid w:val="00C96175"/>
    <w:rsid w:val="00CA0014"/>
    <w:rsid w:val="00CB4FBF"/>
    <w:rsid w:val="00CC729C"/>
    <w:rsid w:val="00CC7D6D"/>
    <w:rsid w:val="00CD3721"/>
    <w:rsid w:val="00D018E5"/>
    <w:rsid w:val="00D0647B"/>
    <w:rsid w:val="00D22F24"/>
    <w:rsid w:val="00D241B8"/>
    <w:rsid w:val="00D333D9"/>
    <w:rsid w:val="00D4353D"/>
    <w:rsid w:val="00D468E7"/>
    <w:rsid w:val="00D46C9A"/>
    <w:rsid w:val="00D579D7"/>
    <w:rsid w:val="00D64C65"/>
    <w:rsid w:val="00D65090"/>
    <w:rsid w:val="00D73362"/>
    <w:rsid w:val="00D76E43"/>
    <w:rsid w:val="00D87227"/>
    <w:rsid w:val="00DA0CBA"/>
    <w:rsid w:val="00DA1F86"/>
    <w:rsid w:val="00DB5137"/>
    <w:rsid w:val="00DB6A9C"/>
    <w:rsid w:val="00DC432F"/>
    <w:rsid w:val="00DD0D4A"/>
    <w:rsid w:val="00DF0CD2"/>
    <w:rsid w:val="00E001C9"/>
    <w:rsid w:val="00E04F7E"/>
    <w:rsid w:val="00E058A6"/>
    <w:rsid w:val="00E109B7"/>
    <w:rsid w:val="00E130C0"/>
    <w:rsid w:val="00E44221"/>
    <w:rsid w:val="00E47CF9"/>
    <w:rsid w:val="00E505A9"/>
    <w:rsid w:val="00E5276C"/>
    <w:rsid w:val="00E6276A"/>
    <w:rsid w:val="00E82253"/>
    <w:rsid w:val="00E93028"/>
    <w:rsid w:val="00EB7C68"/>
    <w:rsid w:val="00EC1704"/>
    <w:rsid w:val="00EC3AF1"/>
    <w:rsid w:val="00ED6E79"/>
    <w:rsid w:val="00EF5509"/>
    <w:rsid w:val="00F01200"/>
    <w:rsid w:val="00F02123"/>
    <w:rsid w:val="00F075FB"/>
    <w:rsid w:val="00F07E17"/>
    <w:rsid w:val="00F11CAF"/>
    <w:rsid w:val="00F1452A"/>
    <w:rsid w:val="00F251FC"/>
    <w:rsid w:val="00F32D7A"/>
    <w:rsid w:val="00F41FE8"/>
    <w:rsid w:val="00F5103F"/>
    <w:rsid w:val="00F62460"/>
    <w:rsid w:val="00F65ED9"/>
    <w:rsid w:val="00F7108F"/>
    <w:rsid w:val="00F76D21"/>
    <w:rsid w:val="00F81FA1"/>
    <w:rsid w:val="00F94C1A"/>
    <w:rsid w:val="00F97F57"/>
    <w:rsid w:val="00FB2A6F"/>
    <w:rsid w:val="00FC1EE0"/>
    <w:rsid w:val="00FD4D8A"/>
    <w:rsid w:val="00FD51E7"/>
    <w:rsid w:val="00FE1C30"/>
    <w:rsid w:val="00FF1B5E"/>
    <w:rsid w:val="00FF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DF3E"/>
  <w15:chartTrackingRefBased/>
  <w15:docId w15:val="{2773DE4E-38DE-4391-B142-7E01ADDD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53"/>
    <w:pPr>
      <w:ind w:left="720"/>
      <w:contextualSpacing/>
    </w:pPr>
  </w:style>
  <w:style w:type="character" w:styleId="FootnoteReference">
    <w:name w:val="footnote reference"/>
    <w:basedOn w:val="DefaultParagraphFont"/>
    <w:uiPriority w:val="99"/>
    <w:semiHidden/>
    <w:unhideWhenUsed/>
    <w:rsid w:val="00787A53"/>
    <w:rPr>
      <w:vertAlign w:val="superscript"/>
    </w:rPr>
  </w:style>
  <w:style w:type="character" w:customStyle="1" w:styleId="FootnoteTextChar">
    <w:name w:val="Footnote Text Char"/>
    <w:basedOn w:val="DefaultParagraphFont"/>
    <w:link w:val="FootnoteText"/>
    <w:uiPriority w:val="99"/>
    <w:semiHidden/>
    <w:rsid w:val="00787A53"/>
    <w:rPr>
      <w:sz w:val="20"/>
      <w:szCs w:val="20"/>
    </w:rPr>
  </w:style>
  <w:style w:type="paragraph" w:styleId="FootnoteText">
    <w:name w:val="footnote text"/>
    <w:basedOn w:val="Normal"/>
    <w:link w:val="FootnoteTextChar"/>
    <w:uiPriority w:val="99"/>
    <w:semiHidden/>
    <w:unhideWhenUsed/>
    <w:rsid w:val="00787A53"/>
    <w:pPr>
      <w:spacing w:after="0" w:line="240" w:lineRule="auto"/>
    </w:pPr>
    <w:rPr>
      <w:sz w:val="20"/>
      <w:szCs w:val="20"/>
    </w:rPr>
  </w:style>
  <w:style w:type="character" w:customStyle="1" w:styleId="FootnoteTextChar1">
    <w:name w:val="Footnote Text Char1"/>
    <w:basedOn w:val="DefaultParagraphFont"/>
    <w:uiPriority w:val="99"/>
    <w:semiHidden/>
    <w:rsid w:val="00787A53"/>
    <w:rPr>
      <w:sz w:val="20"/>
      <w:szCs w:val="20"/>
    </w:rPr>
  </w:style>
  <w:style w:type="character" w:styleId="Hyperlink">
    <w:name w:val="Hyperlink"/>
    <w:basedOn w:val="DefaultParagraphFont"/>
    <w:uiPriority w:val="99"/>
    <w:unhideWhenUsed/>
    <w:rsid w:val="005973E5"/>
    <w:rPr>
      <w:color w:val="0563C1" w:themeColor="hyperlink"/>
      <w:u w:val="single"/>
    </w:rPr>
  </w:style>
  <w:style w:type="paragraph" w:styleId="Header">
    <w:name w:val="header"/>
    <w:basedOn w:val="Normal"/>
    <w:link w:val="HeaderChar"/>
    <w:uiPriority w:val="99"/>
    <w:unhideWhenUsed/>
    <w:rsid w:val="00567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2AD"/>
  </w:style>
  <w:style w:type="paragraph" w:styleId="Footer">
    <w:name w:val="footer"/>
    <w:basedOn w:val="Normal"/>
    <w:link w:val="FooterChar"/>
    <w:uiPriority w:val="99"/>
    <w:unhideWhenUsed/>
    <w:rsid w:val="00567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2AD"/>
  </w:style>
  <w:style w:type="paragraph" w:styleId="Revision">
    <w:name w:val="Revision"/>
    <w:hidden/>
    <w:uiPriority w:val="99"/>
    <w:semiHidden/>
    <w:rsid w:val="007833C5"/>
    <w:pPr>
      <w:spacing w:after="0" w:line="240" w:lineRule="auto"/>
    </w:pPr>
  </w:style>
  <w:style w:type="paragraph" w:styleId="Caption">
    <w:name w:val="caption"/>
    <w:basedOn w:val="Normal"/>
    <w:next w:val="Normal"/>
    <w:uiPriority w:val="35"/>
    <w:unhideWhenUsed/>
    <w:qFormat/>
    <w:rsid w:val="007C1AE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E4043"/>
    <w:rPr>
      <w:sz w:val="16"/>
      <w:szCs w:val="16"/>
    </w:rPr>
  </w:style>
  <w:style w:type="paragraph" w:styleId="CommentText">
    <w:name w:val="annotation text"/>
    <w:basedOn w:val="Normal"/>
    <w:link w:val="CommentTextChar"/>
    <w:uiPriority w:val="99"/>
    <w:unhideWhenUsed/>
    <w:rsid w:val="00AE4043"/>
    <w:pPr>
      <w:spacing w:line="240" w:lineRule="auto"/>
    </w:pPr>
    <w:rPr>
      <w:sz w:val="20"/>
      <w:szCs w:val="20"/>
    </w:rPr>
  </w:style>
  <w:style w:type="character" w:customStyle="1" w:styleId="CommentTextChar">
    <w:name w:val="Comment Text Char"/>
    <w:basedOn w:val="DefaultParagraphFont"/>
    <w:link w:val="CommentText"/>
    <w:uiPriority w:val="99"/>
    <w:rsid w:val="00AE4043"/>
    <w:rPr>
      <w:sz w:val="20"/>
      <w:szCs w:val="20"/>
    </w:rPr>
  </w:style>
  <w:style w:type="paragraph" w:styleId="CommentSubject">
    <w:name w:val="annotation subject"/>
    <w:basedOn w:val="CommentText"/>
    <w:next w:val="CommentText"/>
    <w:link w:val="CommentSubjectChar"/>
    <w:uiPriority w:val="99"/>
    <w:semiHidden/>
    <w:unhideWhenUsed/>
    <w:rsid w:val="00AE4043"/>
    <w:rPr>
      <w:b/>
      <w:bCs/>
    </w:rPr>
  </w:style>
  <w:style w:type="character" w:customStyle="1" w:styleId="CommentSubjectChar">
    <w:name w:val="Comment Subject Char"/>
    <w:basedOn w:val="CommentTextChar"/>
    <w:link w:val="CommentSubject"/>
    <w:uiPriority w:val="99"/>
    <w:semiHidden/>
    <w:rsid w:val="00AE4043"/>
    <w:rPr>
      <w:b/>
      <w:bCs/>
      <w:sz w:val="20"/>
      <w:szCs w:val="20"/>
    </w:rPr>
  </w:style>
  <w:style w:type="character" w:customStyle="1" w:styleId="UnresolvedMention1">
    <w:name w:val="Unresolved Mention1"/>
    <w:basedOn w:val="DefaultParagraphFont"/>
    <w:uiPriority w:val="99"/>
    <w:semiHidden/>
    <w:unhideWhenUsed/>
    <w:rsid w:val="00663FAE"/>
    <w:rPr>
      <w:color w:val="605E5C"/>
      <w:shd w:val="clear" w:color="auto" w:fill="E1DFDD"/>
    </w:rPr>
  </w:style>
  <w:style w:type="character" w:styleId="FollowedHyperlink">
    <w:name w:val="FollowedHyperlink"/>
    <w:basedOn w:val="DefaultParagraphFont"/>
    <w:uiPriority w:val="99"/>
    <w:semiHidden/>
    <w:unhideWhenUsed/>
    <w:rsid w:val="00FF1B5E"/>
    <w:rPr>
      <w:color w:val="954F72" w:themeColor="followedHyperlink"/>
      <w:u w:val="single"/>
    </w:rPr>
  </w:style>
  <w:style w:type="paragraph" w:styleId="BalloonText">
    <w:name w:val="Balloon Text"/>
    <w:basedOn w:val="Normal"/>
    <w:link w:val="BalloonTextChar"/>
    <w:uiPriority w:val="99"/>
    <w:semiHidden/>
    <w:unhideWhenUsed/>
    <w:rsid w:val="00FC1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805396">
      <w:bodyDiv w:val="1"/>
      <w:marLeft w:val="0"/>
      <w:marRight w:val="0"/>
      <w:marTop w:val="0"/>
      <w:marBottom w:val="0"/>
      <w:divBdr>
        <w:top w:val="none" w:sz="0" w:space="0" w:color="auto"/>
        <w:left w:val="none" w:sz="0" w:space="0" w:color="auto"/>
        <w:bottom w:val="none" w:sz="0" w:space="0" w:color="auto"/>
        <w:right w:val="none" w:sz="0" w:space="0" w:color="auto"/>
      </w:divBdr>
    </w:div>
    <w:div w:id="1240290625">
      <w:bodyDiv w:val="1"/>
      <w:marLeft w:val="0"/>
      <w:marRight w:val="0"/>
      <w:marTop w:val="0"/>
      <w:marBottom w:val="0"/>
      <w:divBdr>
        <w:top w:val="none" w:sz="0" w:space="0" w:color="auto"/>
        <w:left w:val="none" w:sz="0" w:space="0" w:color="auto"/>
        <w:bottom w:val="none" w:sz="0" w:space="0" w:color="auto"/>
        <w:right w:val="none" w:sz="0" w:space="0" w:color="auto"/>
      </w:divBdr>
    </w:div>
    <w:div w:id="1631545741">
      <w:bodyDiv w:val="1"/>
      <w:marLeft w:val="0"/>
      <w:marRight w:val="0"/>
      <w:marTop w:val="0"/>
      <w:marBottom w:val="0"/>
      <w:divBdr>
        <w:top w:val="none" w:sz="0" w:space="0" w:color="auto"/>
        <w:left w:val="none" w:sz="0" w:space="0" w:color="auto"/>
        <w:bottom w:val="none" w:sz="0" w:space="0" w:color="auto"/>
        <w:right w:val="none" w:sz="0" w:space="0" w:color="auto"/>
      </w:divBdr>
    </w:div>
    <w:div w:id="16700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ublic.tableau.com/app/profile/arnic7024/viz/UnderservicedCountiesScatterplot/UnderservicedCountiesScatterplot" TargetMode="External"/><Relationship Id="rId17" Type="http://schemas.openxmlformats.org/officeDocument/2006/relationships/image" Target="media/image2.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tableau.com/app/profile/arnic7024/viz/UnderservicedCounties/UnderservicedCountiesMap" TargetMode="Externa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public.tableau.com/app/profile/arnic7024/viz/UnderservicedCounties/UnderservicedCountiesMa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arstechnica.com/tech-policy/2023/01/fccs-new-broadband-map-greatly-overstates-actual-coverage-senators-say" TargetMode="External"/><Relationship Id="rId1" Type="http://schemas.openxmlformats.org/officeDocument/2006/relationships/hyperlink" Target="https://help.bdc.fcc.go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scedu-my.sharepoint.com/personal/hgalperi_usc_edu/Documents/projects/ARNIC/Pew%20project/Phase%202/Deliverables/Deliverable%20#2/report/appendix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Sheet1!$C$1</c:f>
              <c:strCache>
                <c:ptCount val="1"/>
                <c:pt idx="0">
                  <c:v>CA</c:v>
                </c:pt>
              </c:strCache>
            </c:strRef>
          </c:tx>
          <c:spPr>
            <a:solidFill>
              <a:schemeClr val="tx1">
                <a:lumMod val="95000"/>
                <a:lumOff val="5000"/>
              </a:schemeClr>
            </a:solidFill>
            <a:ln>
              <a:noFill/>
            </a:ln>
            <a:effectLst/>
          </c:spPr>
          <c:invertIfNegative val="0"/>
          <c:cat>
            <c:strRef>
              <c:f>Sheet1!$B$2:$B$5</c:f>
              <c:strCache>
                <c:ptCount val="4"/>
                <c:pt idx="0">
                  <c:v>$40K (n=33)</c:v>
                </c:pt>
                <c:pt idx="1">
                  <c:v>$50K (n=237)</c:v>
                </c:pt>
                <c:pt idx="2">
                  <c:v>$60K (n=719)</c:v>
                </c:pt>
                <c:pt idx="3">
                  <c:v>$70K (n=1,206)</c:v>
                </c:pt>
              </c:strCache>
            </c:strRef>
          </c:cat>
          <c:val>
            <c:numRef>
              <c:f>Sheet1!$C$2:$C$5</c:f>
              <c:numCache>
                <c:formatCode>General</c:formatCode>
                <c:ptCount val="4"/>
                <c:pt idx="0">
                  <c:v>90.5</c:v>
                </c:pt>
                <c:pt idx="1">
                  <c:v>83.51</c:v>
                </c:pt>
                <c:pt idx="2">
                  <c:v>77.75</c:v>
                </c:pt>
                <c:pt idx="3">
                  <c:v>72.97</c:v>
                </c:pt>
              </c:numCache>
            </c:numRef>
          </c:val>
          <c:extLst>
            <c:ext xmlns:c16="http://schemas.microsoft.com/office/drawing/2014/chart" uri="{C3380CC4-5D6E-409C-BE32-E72D297353CC}">
              <c16:uniqueId val="{00000000-4E83-4482-A23E-79C150522EE2}"/>
            </c:ext>
          </c:extLst>
        </c:ser>
        <c:ser>
          <c:idx val="1"/>
          <c:order val="1"/>
          <c:tx>
            <c:strRef>
              <c:f>Sheet1!$D$1</c:f>
              <c:strCache>
                <c:ptCount val="1"/>
                <c:pt idx="0">
                  <c:v>TX</c:v>
                </c:pt>
              </c:strCache>
            </c:strRef>
          </c:tx>
          <c:spPr>
            <a:solidFill>
              <a:schemeClr val="tx1">
                <a:lumMod val="65000"/>
                <a:lumOff val="35000"/>
              </a:schemeClr>
            </a:solidFill>
            <a:ln>
              <a:noFill/>
            </a:ln>
            <a:effectLst/>
          </c:spPr>
          <c:invertIfNegative val="0"/>
          <c:cat>
            <c:strRef>
              <c:f>Sheet1!$B$2:$B$5</c:f>
              <c:strCache>
                <c:ptCount val="4"/>
                <c:pt idx="0">
                  <c:v>$40K (n=33)</c:v>
                </c:pt>
                <c:pt idx="1">
                  <c:v>$50K (n=237)</c:v>
                </c:pt>
                <c:pt idx="2">
                  <c:v>$60K (n=719)</c:v>
                </c:pt>
                <c:pt idx="3">
                  <c:v>$70K (n=1,206)</c:v>
                </c:pt>
              </c:strCache>
            </c:strRef>
          </c:cat>
          <c:val>
            <c:numRef>
              <c:f>Sheet1!$D$2:$D$5</c:f>
              <c:numCache>
                <c:formatCode>General</c:formatCode>
                <c:ptCount val="4"/>
                <c:pt idx="0">
                  <c:v>88.31</c:v>
                </c:pt>
                <c:pt idx="1">
                  <c:v>79.22</c:v>
                </c:pt>
                <c:pt idx="2">
                  <c:v>71.86</c:v>
                </c:pt>
                <c:pt idx="3">
                  <c:v>65.98</c:v>
                </c:pt>
              </c:numCache>
            </c:numRef>
          </c:val>
          <c:extLst>
            <c:ext xmlns:c16="http://schemas.microsoft.com/office/drawing/2014/chart" uri="{C3380CC4-5D6E-409C-BE32-E72D297353CC}">
              <c16:uniqueId val="{00000001-4E83-4482-A23E-79C150522EE2}"/>
            </c:ext>
          </c:extLst>
        </c:ser>
        <c:ser>
          <c:idx val="2"/>
          <c:order val="2"/>
          <c:tx>
            <c:strRef>
              <c:f>Sheet1!$E$1</c:f>
              <c:strCache>
                <c:ptCount val="1"/>
                <c:pt idx="0">
                  <c:v>OH</c:v>
                </c:pt>
              </c:strCache>
            </c:strRef>
          </c:tx>
          <c:spPr>
            <a:solidFill>
              <a:schemeClr val="bg1">
                <a:lumMod val="50000"/>
              </a:schemeClr>
            </a:solidFill>
            <a:ln>
              <a:noFill/>
            </a:ln>
            <a:effectLst/>
          </c:spPr>
          <c:invertIfNegative val="0"/>
          <c:cat>
            <c:strRef>
              <c:f>Sheet1!$B$2:$B$5</c:f>
              <c:strCache>
                <c:ptCount val="4"/>
                <c:pt idx="0">
                  <c:v>$40K (n=33)</c:v>
                </c:pt>
                <c:pt idx="1">
                  <c:v>$50K (n=237)</c:v>
                </c:pt>
                <c:pt idx="2">
                  <c:v>$60K (n=719)</c:v>
                </c:pt>
                <c:pt idx="3">
                  <c:v>$70K (n=1,206)</c:v>
                </c:pt>
              </c:strCache>
            </c:strRef>
          </c:cat>
          <c:val>
            <c:numRef>
              <c:f>Sheet1!$E$2:$E$5</c:f>
              <c:numCache>
                <c:formatCode>General</c:formatCode>
                <c:ptCount val="4"/>
                <c:pt idx="0">
                  <c:v>86.15</c:v>
                </c:pt>
                <c:pt idx="1">
                  <c:v>75.98</c:v>
                </c:pt>
                <c:pt idx="2">
                  <c:v>68.63</c:v>
                </c:pt>
                <c:pt idx="3">
                  <c:v>63.62</c:v>
                </c:pt>
              </c:numCache>
            </c:numRef>
          </c:val>
          <c:extLst>
            <c:ext xmlns:c16="http://schemas.microsoft.com/office/drawing/2014/chart" uri="{C3380CC4-5D6E-409C-BE32-E72D297353CC}">
              <c16:uniqueId val="{00000002-4E83-4482-A23E-79C150522EE2}"/>
            </c:ext>
          </c:extLst>
        </c:ser>
        <c:ser>
          <c:idx val="3"/>
          <c:order val="3"/>
          <c:tx>
            <c:strRef>
              <c:f>Sheet1!$F$1</c:f>
              <c:strCache>
                <c:ptCount val="1"/>
                <c:pt idx="0">
                  <c:v>AL</c:v>
                </c:pt>
              </c:strCache>
            </c:strRef>
          </c:tx>
          <c:spPr>
            <a:solidFill>
              <a:schemeClr val="bg1">
                <a:lumMod val="75000"/>
              </a:schemeClr>
            </a:solidFill>
            <a:ln>
              <a:noFill/>
            </a:ln>
            <a:effectLst/>
          </c:spPr>
          <c:invertIfNegative val="0"/>
          <c:cat>
            <c:strRef>
              <c:f>Sheet1!$B$2:$B$5</c:f>
              <c:strCache>
                <c:ptCount val="4"/>
                <c:pt idx="0">
                  <c:v>$40K (n=33)</c:v>
                </c:pt>
                <c:pt idx="1">
                  <c:v>$50K (n=237)</c:v>
                </c:pt>
                <c:pt idx="2">
                  <c:v>$60K (n=719)</c:v>
                </c:pt>
                <c:pt idx="3">
                  <c:v>$70K (n=1,206)</c:v>
                </c:pt>
              </c:strCache>
            </c:strRef>
          </c:cat>
          <c:val>
            <c:numRef>
              <c:f>Sheet1!$F$2:$F$5</c:f>
              <c:numCache>
                <c:formatCode>General</c:formatCode>
                <c:ptCount val="4"/>
                <c:pt idx="0">
                  <c:v>89.67</c:v>
                </c:pt>
                <c:pt idx="1">
                  <c:v>80.94</c:v>
                </c:pt>
                <c:pt idx="2">
                  <c:v>74.14</c:v>
                </c:pt>
                <c:pt idx="3">
                  <c:v>68.97</c:v>
                </c:pt>
              </c:numCache>
            </c:numRef>
          </c:val>
          <c:extLst>
            <c:ext xmlns:c16="http://schemas.microsoft.com/office/drawing/2014/chart" uri="{C3380CC4-5D6E-409C-BE32-E72D297353CC}">
              <c16:uniqueId val="{00000003-4E83-4482-A23E-79C150522EE2}"/>
            </c:ext>
          </c:extLst>
        </c:ser>
        <c:dLbls>
          <c:showLegendKey val="0"/>
          <c:showVal val="0"/>
          <c:showCatName val="0"/>
          <c:showSerName val="0"/>
          <c:showPercent val="0"/>
          <c:showBubbleSize val="0"/>
        </c:dLbls>
        <c:gapWidth val="219"/>
        <c:overlap val="-27"/>
        <c:axId val="572895072"/>
        <c:axId val="572901728"/>
      </c:barChart>
      <c:catAx>
        <c:axId val="57289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901728"/>
        <c:crosses val="autoZero"/>
        <c:auto val="1"/>
        <c:lblAlgn val="ctr"/>
        <c:lblOffset val="100"/>
        <c:noMultiLvlLbl val="0"/>
      </c:catAx>
      <c:valAx>
        <c:axId val="57290172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HHs ACP eligible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8950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4dde8e-0302-4204-8831-7b6b0b57b4c4" xsi:nil="true"/>
    <lcf76f155ced4ddcb4097134ff3c332f xmlns="1fa1d493-2533-4267-bd8d-f20e718e3e9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ECE92E5E5FC8429A54C4E0067B4A6F" ma:contentTypeVersion="17" ma:contentTypeDescription="Create a new document." ma:contentTypeScope="" ma:versionID="3f7df67d7b77a87bc2c7806a35bdea1f">
  <xsd:schema xmlns:xsd="http://www.w3.org/2001/XMLSchema" xmlns:xs="http://www.w3.org/2001/XMLSchema" xmlns:p="http://schemas.microsoft.com/office/2006/metadata/properties" xmlns:ns2="1fa1d493-2533-4267-bd8d-f20e718e3e9a" xmlns:ns3="154dde8e-0302-4204-8831-7b6b0b57b4c4" targetNamespace="http://schemas.microsoft.com/office/2006/metadata/properties" ma:root="true" ma:fieldsID="596fb714c99e83722ee9492ad8c52e2b" ns2:_="" ns3:_="">
    <xsd:import namespace="1fa1d493-2533-4267-bd8d-f20e718e3e9a"/>
    <xsd:import namespace="154dde8e-0302-4204-8831-7b6b0b57b4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1d493-2533-4267-bd8d-f20e718e3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4859ec5-0d3b-4e39-82c7-2539434c4ec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4dde8e-0302-4204-8831-7b6b0b57b4c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5ee67cf-e758-477a-bab2-d974491e85bf}" ma:internalName="TaxCatchAll" ma:showField="CatchAllData" ma:web="154dde8e-0302-4204-8831-7b6b0b57b4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5AD12-E981-4124-AB2D-D6B34036EB11}">
  <ds:schemaRefs>
    <ds:schemaRef ds:uri="http://purl.org/dc/elements/1.1/"/>
    <ds:schemaRef ds:uri="834d4979-d433-4706-838e-1398cb95a381"/>
    <ds:schemaRef ds:uri="http://purl.org/dc/term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37d0c27c-418a-40fb-92a1-53d3b85f816f"/>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B41A3BF-695A-48CE-A7A5-5336DF53A82F}">
  <ds:schemaRefs>
    <ds:schemaRef ds:uri="http://schemas.microsoft.com/sharepoint/v3/contenttype/forms"/>
  </ds:schemaRefs>
</ds:datastoreItem>
</file>

<file path=customXml/itemProps3.xml><?xml version="1.0" encoding="utf-8"?>
<ds:datastoreItem xmlns:ds="http://schemas.openxmlformats.org/officeDocument/2006/customXml" ds:itemID="{BCAF26E7-3452-4562-98D9-32523F42C9BE}"/>
</file>

<file path=customXml/itemProps4.xml><?xml version="1.0" encoding="utf-8"?>
<ds:datastoreItem xmlns:ds="http://schemas.openxmlformats.org/officeDocument/2006/customXml" ds:itemID="{619C798B-42A2-4C35-8332-D0B1E8270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Galperin</dc:creator>
  <cp:keywords/>
  <dc:description/>
  <cp:lastModifiedBy>Hernan Galperin</cp:lastModifiedBy>
  <cp:revision>2</cp:revision>
  <dcterms:created xsi:type="dcterms:W3CDTF">2024-03-10T23:04:00Z</dcterms:created>
  <dcterms:modified xsi:type="dcterms:W3CDTF">2024-03-10T23:04:00Z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0x01010051ECE92E5E5FC8429A54C4E0067B4A6F</vt:lpwstr>
  </property>
  <property fmtid="{D5CDD505-2E9C-101B-9397-08002B2CF9AE}" pid="3" name="MediaServiceImageTags">
    <vt:lpwstr/>
  </property>
</Properties>
</file>