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F6EB23" w14:textId="3D59616D" w:rsidR="00D50F5D" w:rsidRDefault="00AC50A7">
      <w:r>
        <w:t>Appendix: Contract Characteristics</w:t>
      </w:r>
    </w:p>
    <w:p w14:paraId="4CE11FDF" w14:textId="59A5D6D7" w:rsidR="00AC50A7" w:rsidRDefault="00AC50A7">
      <w:r>
        <w:t>This appendix lists the detailed characteristics of the “standard” (most liquid) interest-rate swaps contract for the currencies studied in this paper.</w:t>
      </w:r>
    </w:p>
    <w:tbl>
      <w:tblPr>
        <w:tblStyle w:val="PlainTable5"/>
        <w:tblW w:w="0" w:type="auto"/>
        <w:tblLook w:val="06A0" w:firstRow="1" w:lastRow="0" w:firstColumn="1" w:lastColumn="0" w:noHBand="1" w:noVBand="1"/>
      </w:tblPr>
      <w:tblGrid>
        <w:gridCol w:w="1870"/>
        <w:gridCol w:w="1870"/>
        <w:gridCol w:w="1870"/>
        <w:gridCol w:w="1870"/>
        <w:gridCol w:w="1870"/>
      </w:tblGrid>
      <w:tr w:rsidR="00AC50A7" w14:paraId="3DFD3079" w14:textId="77777777" w:rsidTr="009D36B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70" w:type="dxa"/>
          </w:tcPr>
          <w:p w14:paraId="76334069" w14:textId="0BA47D5E" w:rsidR="00AC50A7" w:rsidRDefault="00D44EFC">
            <w:r>
              <w:t>Currency</w:t>
            </w:r>
          </w:p>
        </w:tc>
        <w:tc>
          <w:tcPr>
            <w:tcW w:w="1870" w:type="dxa"/>
          </w:tcPr>
          <w:p w14:paraId="78D97748" w14:textId="03A6B586" w:rsidR="00AC50A7" w:rsidRDefault="00AC50A7">
            <w:pPr>
              <w:cnfStyle w:val="100000000000" w:firstRow="1" w:lastRow="0" w:firstColumn="0" w:lastColumn="0" w:oddVBand="0" w:evenVBand="0" w:oddHBand="0" w:evenHBand="0" w:firstRowFirstColumn="0" w:firstRowLastColumn="0" w:lastRowFirstColumn="0" w:lastRowLastColumn="0"/>
            </w:pPr>
            <w:r>
              <w:t>USD</w:t>
            </w:r>
          </w:p>
        </w:tc>
        <w:tc>
          <w:tcPr>
            <w:tcW w:w="1870" w:type="dxa"/>
          </w:tcPr>
          <w:p w14:paraId="273AEA4A" w14:textId="3961C666" w:rsidR="00AC50A7" w:rsidRDefault="00AC50A7">
            <w:pPr>
              <w:cnfStyle w:val="100000000000" w:firstRow="1" w:lastRow="0" w:firstColumn="0" w:lastColumn="0" w:oddVBand="0" w:evenVBand="0" w:oddHBand="0" w:evenHBand="0" w:firstRowFirstColumn="0" w:firstRowLastColumn="0" w:lastRowFirstColumn="0" w:lastRowLastColumn="0"/>
            </w:pPr>
            <w:r>
              <w:t>CAD</w:t>
            </w:r>
          </w:p>
        </w:tc>
        <w:tc>
          <w:tcPr>
            <w:tcW w:w="1870" w:type="dxa"/>
          </w:tcPr>
          <w:p w14:paraId="1A3AF32D" w14:textId="1C863A2B" w:rsidR="00AC50A7" w:rsidRDefault="00AC50A7">
            <w:pPr>
              <w:cnfStyle w:val="100000000000" w:firstRow="1" w:lastRow="0" w:firstColumn="0" w:lastColumn="0" w:oddVBand="0" w:evenVBand="0" w:oddHBand="0" w:evenHBand="0" w:firstRowFirstColumn="0" w:firstRowLastColumn="0" w:lastRowFirstColumn="0" w:lastRowLastColumn="0"/>
            </w:pPr>
            <w:r>
              <w:t>GBP</w:t>
            </w:r>
          </w:p>
        </w:tc>
        <w:tc>
          <w:tcPr>
            <w:tcW w:w="1870" w:type="dxa"/>
          </w:tcPr>
          <w:p w14:paraId="628FB41A" w14:textId="0CA039F8" w:rsidR="00AC50A7" w:rsidRDefault="00AC50A7">
            <w:pPr>
              <w:cnfStyle w:val="100000000000" w:firstRow="1" w:lastRow="0" w:firstColumn="0" w:lastColumn="0" w:oddVBand="0" w:evenVBand="0" w:oddHBand="0" w:evenHBand="0" w:firstRowFirstColumn="0" w:firstRowLastColumn="0" w:lastRowFirstColumn="0" w:lastRowLastColumn="0"/>
            </w:pPr>
            <w:r>
              <w:t>CHF</w:t>
            </w:r>
          </w:p>
        </w:tc>
      </w:tr>
      <w:tr w:rsidR="00AC50A7" w14:paraId="718B3B1E" w14:textId="77777777" w:rsidTr="009D36B4">
        <w:tc>
          <w:tcPr>
            <w:cnfStyle w:val="001000000000" w:firstRow="0" w:lastRow="0" w:firstColumn="1" w:lastColumn="0" w:oddVBand="0" w:evenVBand="0" w:oddHBand="0" w:evenHBand="0" w:firstRowFirstColumn="0" w:firstRowLastColumn="0" w:lastRowFirstColumn="0" w:lastRowLastColumn="0"/>
            <w:tcW w:w="1870" w:type="dxa"/>
          </w:tcPr>
          <w:p w14:paraId="3539626E" w14:textId="1B9B9725" w:rsidR="00AC50A7" w:rsidRDefault="00AC50A7">
            <w:r>
              <w:t>Settlement</w:t>
            </w:r>
          </w:p>
        </w:tc>
        <w:tc>
          <w:tcPr>
            <w:tcW w:w="1870" w:type="dxa"/>
          </w:tcPr>
          <w:p w14:paraId="31A81F5D" w14:textId="46215638" w:rsidR="00AC50A7" w:rsidRDefault="00AC50A7">
            <w:pPr>
              <w:cnfStyle w:val="000000000000" w:firstRow="0" w:lastRow="0" w:firstColumn="0" w:lastColumn="0" w:oddVBand="0" w:evenVBand="0" w:oddHBand="0" w:evenHBand="0" w:firstRowFirstColumn="0" w:firstRowLastColumn="0" w:lastRowFirstColumn="0" w:lastRowLastColumn="0"/>
            </w:pPr>
            <w:r>
              <w:t>T+2</w:t>
            </w:r>
          </w:p>
        </w:tc>
        <w:tc>
          <w:tcPr>
            <w:tcW w:w="1870" w:type="dxa"/>
          </w:tcPr>
          <w:p w14:paraId="7581F2F2" w14:textId="2C54A34E" w:rsidR="00AC50A7" w:rsidRDefault="00576631">
            <w:pPr>
              <w:cnfStyle w:val="000000000000" w:firstRow="0" w:lastRow="0" w:firstColumn="0" w:lastColumn="0" w:oddVBand="0" w:evenVBand="0" w:oddHBand="0" w:evenHBand="0" w:firstRowFirstColumn="0" w:firstRowLastColumn="0" w:lastRowFirstColumn="0" w:lastRowLastColumn="0"/>
            </w:pPr>
            <w:r>
              <w:t>T+0</w:t>
            </w:r>
          </w:p>
        </w:tc>
        <w:tc>
          <w:tcPr>
            <w:tcW w:w="1870" w:type="dxa"/>
          </w:tcPr>
          <w:p w14:paraId="155217B7" w14:textId="081CCC86" w:rsidR="00AC50A7" w:rsidRDefault="009D36B4">
            <w:pPr>
              <w:cnfStyle w:val="000000000000" w:firstRow="0" w:lastRow="0" w:firstColumn="0" w:lastColumn="0" w:oddVBand="0" w:evenVBand="0" w:oddHBand="0" w:evenHBand="0" w:firstRowFirstColumn="0" w:firstRowLastColumn="0" w:lastRowFirstColumn="0" w:lastRowLastColumn="0"/>
            </w:pPr>
            <w:r>
              <w:t>T+0</w:t>
            </w:r>
          </w:p>
        </w:tc>
        <w:tc>
          <w:tcPr>
            <w:tcW w:w="1870" w:type="dxa"/>
          </w:tcPr>
          <w:p w14:paraId="09648D3E" w14:textId="0766FC83" w:rsidR="00AC50A7" w:rsidRDefault="009D36B4">
            <w:pPr>
              <w:cnfStyle w:val="000000000000" w:firstRow="0" w:lastRow="0" w:firstColumn="0" w:lastColumn="0" w:oddVBand="0" w:evenVBand="0" w:oddHBand="0" w:evenHBand="0" w:firstRowFirstColumn="0" w:firstRowLastColumn="0" w:lastRowFirstColumn="0" w:lastRowLastColumn="0"/>
            </w:pPr>
            <w:r>
              <w:t>T+2</w:t>
            </w:r>
          </w:p>
        </w:tc>
      </w:tr>
      <w:tr w:rsidR="00D44EFC" w14:paraId="7154F59C" w14:textId="77777777" w:rsidTr="009D36B4">
        <w:tc>
          <w:tcPr>
            <w:cnfStyle w:val="001000000000" w:firstRow="0" w:lastRow="0" w:firstColumn="1" w:lastColumn="0" w:oddVBand="0" w:evenVBand="0" w:oddHBand="0" w:evenHBand="0" w:firstRowFirstColumn="0" w:firstRowLastColumn="0" w:lastRowFirstColumn="0" w:lastRowLastColumn="0"/>
            <w:tcW w:w="9350" w:type="dxa"/>
            <w:gridSpan w:val="5"/>
            <w:tcBorders>
              <w:bottom w:val="single" w:sz="4" w:space="0" w:color="auto"/>
              <w:right w:val="none" w:sz="0" w:space="0" w:color="auto"/>
            </w:tcBorders>
          </w:tcPr>
          <w:p w14:paraId="03586630" w14:textId="7AA4D7B1" w:rsidR="00D44EFC" w:rsidRDefault="00D44EFC" w:rsidP="009D36B4">
            <w:pPr>
              <w:jc w:val="left"/>
            </w:pPr>
            <w:r>
              <w:t>Fixed Leg</w:t>
            </w:r>
          </w:p>
        </w:tc>
      </w:tr>
      <w:tr w:rsidR="00AC50A7" w14:paraId="2AE69010" w14:textId="77777777" w:rsidTr="009D36B4">
        <w:tc>
          <w:tcPr>
            <w:cnfStyle w:val="001000000000" w:firstRow="0" w:lastRow="0" w:firstColumn="1" w:lastColumn="0" w:oddVBand="0" w:evenVBand="0" w:oddHBand="0" w:evenHBand="0" w:firstRowFirstColumn="0" w:firstRowLastColumn="0" w:lastRowFirstColumn="0" w:lastRowLastColumn="0"/>
            <w:tcW w:w="1870" w:type="dxa"/>
            <w:tcBorders>
              <w:top w:val="single" w:sz="4" w:space="0" w:color="auto"/>
            </w:tcBorders>
          </w:tcPr>
          <w:p w14:paraId="0567E590" w14:textId="7B2FD088" w:rsidR="00AC50A7" w:rsidRDefault="00AC50A7">
            <w:r>
              <w:t>Day Count</w:t>
            </w:r>
            <w:r w:rsidR="00D44EFC">
              <w:t xml:space="preserve"> Convention</w:t>
            </w:r>
          </w:p>
        </w:tc>
        <w:tc>
          <w:tcPr>
            <w:tcW w:w="1870" w:type="dxa"/>
            <w:tcBorders>
              <w:top w:val="single" w:sz="4" w:space="0" w:color="auto"/>
            </w:tcBorders>
          </w:tcPr>
          <w:p w14:paraId="2A908830" w14:textId="66B3FAD5" w:rsidR="00AC50A7" w:rsidRDefault="00AC50A7">
            <w:pPr>
              <w:cnfStyle w:val="000000000000" w:firstRow="0" w:lastRow="0" w:firstColumn="0" w:lastColumn="0" w:oddVBand="0" w:evenVBand="0" w:oddHBand="0" w:evenHBand="0" w:firstRowFirstColumn="0" w:firstRowLastColumn="0" w:lastRowFirstColumn="0" w:lastRowLastColumn="0"/>
            </w:pPr>
            <w:r>
              <w:t>30I/360</w:t>
            </w:r>
          </w:p>
        </w:tc>
        <w:tc>
          <w:tcPr>
            <w:tcW w:w="1870" w:type="dxa"/>
            <w:tcBorders>
              <w:top w:val="single" w:sz="4" w:space="0" w:color="auto"/>
            </w:tcBorders>
          </w:tcPr>
          <w:p w14:paraId="7DDE7BEF" w14:textId="2AF3D653" w:rsidR="00AC50A7" w:rsidRDefault="00576631">
            <w:pPr>
              <w:cnfStyle w:val="000000000000" w:firstRow="0" w:lastRow="0" w:firstColumn="0" w:lastColumn="0" w:oddVBand="0" w:evenVBand="0" w:oddHBand="0" w:evenHBand="0" w:firstRowFirstColumn="0" w:firstRowLastColumn="0" w:lastRowFirstColumn="0" w:lastRowLastColumn="0"/>
            </w:pPr>
            <w:r>
              <w:t>ACT/365.FIXED</w:t>
            </w:r>
          </w:p>
        </w:tc>
        <w:tc>
          <w:tcPr>
            <w:tcW w:w="1870" w:type="dxa"/>
            <w:tcBorders>
              <w:top w:val="single" w:sz="4" w:space="0" w:color="auto"/>
            </w:tcBorders>
          </w:tcPr>
          <w:p w14:paraId="5B45699F" w14:textId="405708EB" w:rsidR="00AC50A7" w:rsidRDefault="009D36B4">
            <w:pPr>
              <w:cnfStyle w:val="000000000000" w:firstRow="0" w:lastRow="0" w:firstColumn="0" w:lastColumn="0" w:oddVBand="0" w:evenVBand="0" w:oddHBand="0" w:evenHBand="0" w:firstRowFirstColumn="0" w:firstRowLastColumn="0" w:lastRowFirstColumn="0" w:lastRowLastColumn="0"/>
            </w:pPr>
            <w:r>
              <w:t>ACT/365.FIXED</w:t>
            </w:r>
          </w:p>
        </w:tc>
        <w:tc>
          <w:tcPr>
            <w:tcW w:w="1870" w:type="dxa"/>
            <w:tcBorders>
              <w:top w:val="single" w:sz="4" w:space="0" w:color="auto"/>
            </w:tcBorders>
          </w:tcPr>
          <w:p w14:paraId="10F1E4E3" w14:textId="51993242" w:rsidR="00AC50A7" w:rsidRDefault="009D36B4">
            <w:pPr>
              <w:cnfStyle w:val="000000000000" w:firstRow="0" w:lastRow="0" w:firstColumn="0" w:lastColumn="0" w:oddVBand="0" w:evenVBand="0" w:oddHBand="0" w:evenHBand="0" w:firstRowFirstColumn="0" w:firstRowLastColumn="0" w:lastRowFirstColumn="0" w:lastRowLastColumn="0"/>
            </w:pPr>
            <w:r>
              <w:t>30E/360</w:t>
            </w:r>
          </w:p>
        </w:tc>
      </w:tr>
      <w:tr w:rsidR="00AC50A7" w14:paraId="4056DEF9" w14:textId="77777777" w:rsidTr="009D36B4">
        <w:tc>
          <w:tcPr>
            <w:cnfStyle w:val="001000000000" w:firstRow="0" w:lastRow="0" w:firstColumn="1" w:lastColumn="0" w:oddVBand="0" w:evenVBand="0" w:oddHBand="0" w:evenHBand="0" w:firstRowFirstColumn="0" w:firstRowLastColumn="0" w:lastRowFirstColumn="0" w:lastRowLastColumn="0"/>
            <w:tcW w:w="1870" w:type="dxa"/>
          </w:tcPr>
          <w:p w14:paraId="6A31871C" w14:textId="50537644" w:rsidR="00AC50A7" w:rsidRDefault="00AC50A7">
            <w:r>
              <w:t>Payment Frequency</w:t>
            </w:r>
          </w:p>
        </w:tc>
        <w:tc>
          <w:tcPr>
            <w:tcW w:w="1870" w:type="dxa"/>
          </w:tcPr>
          <w:p w14:paraId="7EED8A1D" w14:textId="47276825" w:rsidR="00AC50A7" w:rsidRDefault="00D44EFC">
            <w:pPr>
              <w:cnfStyle w:val="000000000000" w:firstRow="0" w:lastRow="0" w:firstColumn="0" w:lastColumn="0" w:oddVBand="0" w:evenVBand="0" w:oddHBand="0" w:evenHBand="0" w:firstRowFirstColumn="0" w:firstRowLastColumn="0" w:lastRowFirstColumn="0" w:lastRowLastColumn="0"/>
            </w:pPr>
            <w:r>
              <w:t>Semiannual</w:t>
            </w:r>
          </w:p>
        </w:tc>
        <w:tc>
          <w:tcPr>
            <w:tcW w:w="1870" w:type="dxa"/>
          </w:tcPr>
          <w:p w14:paraId="09191A16" w14:textId="2BE5C8B2" w:rsidR="00AC50A7" w:rsidRDefault="00576631">
            <w:pPr>
              <w:cnfStyle w:val="000000000000" w:firstRow="0" w:lastRow="0" w:firstColumn="0" w:lastColumn="0" w:oddVBand="0" w:evenVBand="0" w:oddHBand="0" w:evenHBand="0" w:firstRowFirstColumn="0" w:firstRowLastColumn="0" w:lastRowFirstColumn="0" w:lastRowLastColumn="0"/>
            </w:pPr>
            <w:r>
              <w:t>Semiannual</w:t>
            </w:r>
          </w:p>
        </w:tc>
        <w:tc>
          <w:tcPr>
            <w:tcW w:w="1870" w:type="dxa"/>
          </w:tcPr>
          <w:p w14:paraId="230A7A76" w14:textId="143B4114" w:rsidR="00AC50A7" w:rsidRDefault="009D36B4">
            <w:pPr>
              <w:cnfStyle w:val="000000000000" w:firstRow="0" w:lastRow="0" w:firstColumn="0" w:lastColumn="0" w:oddVBand="0" w:evenVBand="0" w:oddHBand="0" w:evenHBand="0" w:firstRowFirstColumn="0" w:firstRowLastColumn="0" w:lastRowFirstColumn="0" w:lastRowLastColumn="0"/>
            </w:pPr>
            <w:r>
              <w:t>Semiannual</w:t>
            </w:r>
          </w:p>
        </w:tc>
        <w:tc>
          <w:tcPr>
            <w:tcW w:w="1870" w:type="dxa"/>
          </w:tcPr>
          <w:p w14:paraId="6408CABF" w14:textId="310F0CA3" w:rsidR="00AC50A7" w:rsidRDefault="009D36B4">
            <w:pPr>
              <w:cnfStyle w:val="000000000000" w:firstRow="0" w:lastRow="0" w:firstColumn="0" w:lastColumn="0" w:oddVBand="0" w:evenVBand="0" w:oddHBand="0" w:evenHBand="0" w:firstRowFirstColumn="0" w:firstRowLastColumn="0" w:lastRowFirstColumn="0" w:lastRowLastColumn="0"/>
            </w:pPr>
            <w:r>
              <w:t>Annual</w:t>
            </w:r>
          </w:p>
        </w:tc>
      </w:tr>
      <w:tr w:rsidR="00AC50A7" w14:paraId="16289307" w14:textId="77777777" w:rsidTr="009D36B4">
        <w:tc>
          <w:tcPr>
            <w:cnfStyle w:val="001000000000" w:firstRow="0" w:lastRow="0" w:firstColumn="1" w:lastColumn="0" w:oddVBand="0" w:evenVBand="0" w:oddHBand="0" w:evenHBand="0" w:firstRowFirstColumn="0" w:firstRowLastColumn="0" w:lastRowFirstColumn="0" w:lastRowLastColumn="0"/>
            <w:tcW w:w="1870" w:type="dxa"/>
          </w:tcPr>
          <w:p w14:paraId="5FB4CB46" w14:textId="7FD25041" w:rsidR="00AC50A7" w:rsidRDefault="00AC50A7">
            <w:r>
              <w:t>Business Day Adjustment Convention</w:t>
            </w:r>
          </w:p>
        </w:tc>
        <w:tc>
          <w:tcPr>
            <w:tcW w:w="1870" w:type="dxa"/>
          </w:tcPr>
          <w:p w14:paraId="00625C6A" w14:textId="42F829AD" w:rsidR="00AC50A7" w:rsidRDefault="00AC50A7">
            <w:pPr>
              <w:cnfStyle w:val="000000000000" w:firstRow="0" w:lastRow="0" w:firstColumn="0" w:lastColumn="0" w:oddVBand="0" w:evenVBand="0" w:oddHBand="0" w:evenHBand="0" w:firstRowFirstColumn="0" w:firstRowLastColumn="0" w:lastRowFirstColumn="0" w:lastRowLastColumn="0"/>
            </w:pPr>
            <w:r>
              <w:t>Modified Following</w:t>
            </w:r>
          </w:p>
        </w:tc>
        <w:tc>
          <w:tcPr>
            <w:tcW w:w="1870" w:type="dxa"/>
          </w:tcPr>
          <w:p w14:paraId="35E72DF2" w14:textId="430530F1" w:rsidR="00AC50A7" w:rsidRDefault="00576631">
            <w:pPr>
              <w:cnfStyle w:val="000000000000" w:firstRow="0" w:lastRow="0" w:firstColumn="0" w:lastColumn="0" w:oddVBand="0" w:evenVBand="0" w:oddHBand="0" w:evenHBand="0" w:firstRowFirstColumn="0" w:firstRowLastColumn="0" w:lastRowFirstColumn="0" w:lastRowLastColumn="0"/>
            </w:pPr>
            <w:r>
              <w:t>Modified Following</w:t>
            </w:r>
          </w:p>
        </w:tc>
        <w:tc>
          <w:tcPr>
            <w:tcW w:w="1870" w:type="dxa"/>
          </w:tcPr>
          <w:p w14:paraId="00DA7DE0" w14:textId="3A1DD9C0" w:rsidR="00AC50A7" w:rsidRDefault="009D36B4">
            <w:pPr>
              <w:cnfStyle w:val="000000000000" w:firstRow="0" w:lastRow="0" w:firstColumn="0" w:lastColumn="0" w:oddVBand="0" w:evenVBand="0" w:oddHBand="0" w:evenHBand="0" w:firstRowFirstColumn="0" w:firstRowLastColumn="0" w:lastRowFirstColumn="0" w:lastRowLastColumn="0"/>
            </w:pPr>
            <w:r>
              <w:t>Modified Following</w:t>
            </w:r>
          </w:p>
        </w:tc>
        <w:tc>
          <w:tcPr>
            <w:tcW w:w="1870" w:type="dxa"/>
          </w:tcPr>
          <w:p w14:paraId="591BAF7F" w14:textId="06A04248" w:rsidR="00AC50A7" w:rsidRDefault="009D36B4">
            <w:pPr>
              <w:cnfStyle w:val="000000000000" w:firstRow="0" w:lastRow="0" w:firstColumn="0" w:lastColumn="0" w:oddVBand="0" w:evenVBand="0" w:oddHBand="0" w:evenHBand="0" w:firstRowFirstColumn="0" w:firstRowLastColumn="0" w:lastRowFirstColumn="0" w:lastRowLastColumn="0"/>
            </w:pPr>
            <w:r>
              <w:t>Modified Following</w:t>
            </w:r>
          </w:p>
        </w:tc>
      </w:tr>
      <w:tr w:rsidR="00AC50A7" w14:paraId="70F368E3" w14:textId="77777777" w:rsidTr="009D36B4">
        <w:tc>
          <w:tcPr>
            <w:cnfStyle w:val="001000000000" w:firstRow="0" w:lastRow="0" w:firstColumn="1" w:lastColumn="0" w:oddVBand="0" w:evenVBand="0" w:oddHBand="0" w:evenHBand="0" w:firstRowFirstColumn="0" w:firstRowLastColumn="0" w:lastRowFirstColumn="0" w:lastRowLastColumn="0"/>
            <w:tcW w:w="1870" w:type="dxa"/>
          </w:tcPr>
          <w:p w14:paraId="2D9D2419" w14:textId="49F92C04" w:rsidR="00AC50A7" w:rsidRDefault="00AC50A7">
            <w:r>
              <w:t>Adjustment Type</w:t>
            </w:r>
          </w:p>
        </w:tc>
        <w:tc>
          <w:tcPr>
            <w:tcW w:w="1870" w:type="dxa"/>
          </w:tcPr>
          <w:p w14:paraId="42126FA2" w14:textId="6B67D95A" w:rsidR="00AC50A7" w:rsidRDefault="00AC50A7">
            <w:pPr>
              <w:cnfStyle w:val="000000000000" w:firstRow="0" w:lastRow="0" w:firstColumn="0" w:lastColumn="0" w:oddVBand="0" w:evenVBand="0" w:oddHBand="0" w:evenHBand="0" w:firstRowFirstColumn="0" w:firstRowLastColumn="0" w:lastRowFirstColumn="0" w:lastRowLastColumn="0"/>
            </w:pPr>
            <w:r>
              <w:t>Accrual and Payment Dates</w:t>
            </w:r>
          </w:p>
        </w:tc>
        <w:tc>
          <w:tcPr>
            <w:tcW w:w="1870" w:type="dxa"/>
          </w:tcPr>
          <w:p w14:paraId="007EA189" w14:textId="4B0BCCF5" w:rsidR="00AC50A7" w:rsidRDefault="00576631">
            <w:pPr>
              <w:cnfStyle w:val="000000000000" w:firstRow="0" w:lastRow="0" w:firstColumn="0" w:lastColumn="0" w:oddVBand="0" w:evenVBand="0" w:oddHBand="0" w:evenHBand="0" w:firstRowFirstColumn="0" w:firstRowLastColumn="0" w:lastRowFirstColumn="0" w:lastRowLastColumn="0"/>
            </w:pPr>
            <w:r>
              <w:t>Accrual and Payment Dates</w:t>
            </w:r>
          </w:p>
        </w:tc>
        <w:tc>
          <w:tcPr>
            <w:tcW w:w="1870" w:type="dxa"/>
          </w:tcPr>
          <w:p w14:paraId="1507BF11" w14:textId="53F13545" w:rsidR="00AC50A7" w:rsidRDefault="009D36B4">
            <w:pPr>
              <w:cnfStyle w:val="000000000000" w:firstRow="0" w:lastRow="0" w:firstColumn="0" w:lastColumn="0" w:oddVBand="0" w:evenVBand="0" w:oddHBand="0" w:evenHBand="0" w:firstRowFirstColumn="0" w:firstRowLastColumn="0" w:lastRowFirstColumn="0" w:lastRowLastColumn="0"/>
            </w:pPr>
            <w:r>
              <w:t>Accrual and Payment Dates</w:t>
            </w:r>
          </w:p>
        </w:tc>
        <w:tc>
          <w:tcPr>
            <w:tcW w:w="1870" w:type="dxa"/>
          </w:tcPr>
          <w:p w14:paraId="6539AECA" w14:textId="217A0475" w:rsidR="00AC50A7" w:rsidRDefault="009D36B4">
            <w:pPr>
              <w:cnfStyle w:val="000000000000" w:firstRow="0" w:lastRow="0" w:firstColumn="0" w:lastColumn="0" w:oddVBand="0" w:evenVBand="0" w:oddHBand="0" w:evenHBand="0" w:firstRowFirstColumn="0" w:firstRowLastColumn="0" w:lastRowFirstColumn="0" w:lastRowLastColumn="0"/>
            </w:pPr>
            <w:r>
              <w:t>Accrual and Payment Dates</w:t>
            </w:r>
          </w:p>
        </w:tc>
      </w:tr>
      <w:tr w:rsidR="00AC50A7" w14:paraId="4A6E0D9A" w14:textId="77777777" w:rsidTr="009D36B4">
        <w:tc>
          <w:tcPr>
            <w:cnfStyle w:val="001000000000" w:firstRow="0" w:lastRow="0" w:firstColumn="1" w:lastColumn="0" w:oddVBand="0" w:evenVBand="0" w:oddHBand="0" w:evenHBand="0" w:firstRowFirstColumn="0" w:firstRowLastColumn="0" w:lastRowFirstColumn="0" w:lastRowLastColumn="0"/>
            <w:tcW w:w="1870" w:type="dxa"/>
          </w:tcPr>
          <w:p w14:paraId="450BCB78" w14:textId="6674E284" w:rsidR="00AC50A7" w:rsidRDefault="00AC50A7">
            <w:r>
              <w:t>Roll Convention</w:t>
            </w:r>
          </w:p>
        </w:tc>
        <w:tc>
          <w:tcPr>
            <w:tcW w:w="1870" w:type="dxa"/>
          </w:tcPr>
          <w:p w14:paraId="490C50BF" w14:textId="18E476FC" w:rsidR="00AC50A7" w:rsidRDefault="00AC50A7">
            <w:pPr>
              <w:cnfStyle w:val="000000000000" w:firstRow="0" w:lastRow="0" w:firstColumn="0" w:lastColumn="0" w:oddVBand="0" w:evenVBand="0" w:oddHBand="0" w:evenHBand="0" w:firstRowFirstColumn="0" w:firstRowLastColumn="0" w:lastRowFirstColumn="0" w:lastRowLastColumn="0"/>
            </w:pPr>
            <w:r>
              <w:t>Backward</w:t>
            </w:r>
          </w:p>
        </w:tc>
        <w:tc>
          <w:tcPr>
            <w:tcW w:w="1870" w:type="dxa"/>
          </w:tcPr>
          <w:p w14:paraId="70898FEF" w14:textId="45C4B81A" w:rsidR="00AC50A7" w:rsidRDefault="00576631">
            <w:pPr>
              <w:cnfStyle w:val="000000000000" w:firstRow="0" w:lastRow="0" w:firstColumn="0" w:lastColumn="0" w:oddVBand="0" w:evenVBand="0" w:oddHBand="0" w:evenHBand="0" w:firstRowFirstColumn="0" w:firstRowLastColumn="0" w:lastRowFirstColumn="0" w:lastRowLastColumn="0"/>
            </w:pPr>
            <w:r>
              <w:t>Backward</w:t>
            </w:r>
          </w:p>
        </w:tc>
        <w:tc>
          <w:tcPr>
            <w:tcW w:w="1870" w:type="dxa"/>
          </w:tcPr>
          <w:p w14:paraId="6863BFC1" w14:textId="31BE27C6" w:rsidR="00AC50A7" w:rsidRDefault="009D36B4">
            <w:pPr>
              <w:cnfStyle w:val="000000000000" w:firstRow="0" w:lastRow="0" w:firstColumn="0" w:lastColumn="0" w:oddVBand="0" w:evenVBand="0" w:oddHBand="0" w:evenHBand="0" w:firstRowFirstColumn="0" w:firstRowLastColumn="0" w:lastRowFirstColumn="0" w:lastRowLastColumn="0"/>
            </w:pPr>
            <w:r>
              <w:t>Backward (EOM)</w:t>
            </w:r>
          </w:p>
        </w:tc>
        <w:tc>
          <w:tcPr>
            <w:tcW w:w="1870" w:type="dxa"/>
          </w:tcPr>
          <w:p w14:paraId="55C03996" w14:textId="539F229D" w:rsidR="00AC50A7" w:rsidRDefault="009D36B4">
            <w:pPr>
              <w:cnfStyle w:val="000000000000" w:firstRow="0" w:lastRow="0" w:firstColumn="0" w:lastColumn="0" w:oddVBand="0" w:evenVBand="0" w:oddHBand="0" w:evenHBand="0" w:firstRowFirstColumn="0" w:firstRowLastColumn="0" w:lastRowFirstColumn="0" w:lastRowLastColumn="0"/>
            </w:pPr>
            <w:r>
              <w:t>Backward</w:t>
            </w:r>
          </w:p>
        </w:tc>
      </w:tr>
      <w:tr w:rsidR="00AC50A7" w14:paraId="1F9FEA5E" w14:textId="77777777" w:rsidTr="009D36B4">
        <w:tc>
          <w:tcPr>
            <w:cnfStyle w:val="001000000000" w:firstRow="0" w:lastRow="0" w:firstColumn="1" w:lastColumn="0" w:oddVBand="0" w:evenVBand="0" w:oddHBand="0" w:evenHBand="0" w:firstRowFirstColumn="0" w:firstRowLastColumn="0" w:lastRowFirstColumn="0" w:lastRowLastColumn="0"/>
            <w:tcW w:w="1870" w:type="dxa"/>
          </w:tcPr>
          <w:p w14:paraId="7B0CAC2D" w14:textId="1F8EF15D" w:rsidR="00AC50A7" w:rsidRDefault="00AC50A7">
            <w:r>
              <w:t>Accrual Calculation Calendar</w:t>
            </w:r>
          </w:p>
        </w:tc>
        <w:tc>
          <w:tcPr>
            <w:tcW w:w="1870" w:type="dxa"/>
          </w:tcPr>
          <w:p w14:paraId="43D43C5D" w14:textId="565F9909" w:rsidR="00AC50A7" w:rsidRDefault="00AC50A7">
            <w:pPr>
              <w:cnfStyle w:val="000000000000" w:firstRow="0" w:lastRow="0" w:firstColumn="0" w:lastColumn="0" w:oddVBand="0" w:evenVBand="0" w:oddHBand="0" w:evenHBand="0" w:firstRowFirstColumn="0" w:firstRowLastColumn="0" w:lastRowFirstColumn="0" w:lastRowLastColumn="0"/>
            </w:pPr>
            <w:r>
              <w:t>US Federal</w:t>
            </w:r>
            <w:r w:rsidR="00D44EFC">
              <w:t xml:space="preserve"> Reserve</w:t>
            </w:r>
            <w:r>
              <w:t xml:space="preserve">, </w:t>
            </w:r>
            <w:r w:rsidR="00D44EFC">
              <w:t>England</w:t>
            </w:r>
          </w:p>
        </w:tc>
        <w:tc>
          <w:tcPr>
            <w:tcW w:w="1870" w:type="dxa"/>
          </w:tcPr>
          <w:p w14:paraId="30363562" w14:textId="2A601765" w:rsidR="00AC50A7" w:rsidRDefault="00576631">
            <w:pPr>
              <w:cnfStyle w:val="000000000000" w:firstRow="0" w:lastRow="0" w:firstColumn="0" w:lastColumn="0" w:oddVBand="0" w:evenVBand="0" w:oddHBand="0" w:evenHBand="0" w:firstRowFirstColumn="0" w:firstRowLastColumn="0" w:lastRowFirstColumn="0" w:lastRowLastColumn="0"/>
            </w:pPr>
            <w:r>
              <w:t>Canada</w:t>
            </w:r>
          </w:p>
        </w:tc>
        <w:tc>
          <w:tcPr>
            <w:tcW w:w="1870" w:type="dxa"/>
          </w:tcPr>
          <w:p w14:paraId="2AAAADD2" w14:textId="533785B4" w:rsidR="00AC50A7" w:rsidRDefault="009D36B4">
            <w:pPr>
              <w:cnfStyle w:val="000000000000" w:firstRow="0" w:lastRow="0" w:firstColumn="0" w:lastColumn="0" w:oddVBand="0" w:evenVBand="0" w:oddHBand="0" w:evenHBand="0" w:firstRowFirstColumn="0" w:firstRowLastColumn="0" w:lastRowFirstColumn="0" w:lastRowLastColumn="0"/>
            </w:pPr>
            <w:r>
              <w:t>England</w:t>
            </w:r>
          </w:p>
        </w:tc>
        <w:tc>
          <w:tcPr>
            <w:tcW w:w="1870" w:type="dxa"/>
          </w:tcPr>
          <w:p w14:paraId="70DB141F" w14:textId="4EFBDB0D" w:rsidR="00AC50A7" w:rsidRDefault="009D36B4">
            <w:pPr>
              <w:cnfStyle w:val="000000000000" w:firstRow="0" w:lastRow="0" w:firstColumn="0" w:lastColumn="0" w:oddVBand="0" w:evenVBand="0" w:oddHBand="0" w:evenHBand="0" w:firstRowFirstColumn="0" w:firstRowLastColumn="0" w:lastRowFirstColumn="0" w:lastRowLastColumn="0"/>
            </w:pPr>
            <w:r>
              <w:t>Switzerland</w:t>
            </w:r>
          </w:p>
        </w:tc>
      </w:tr>
      <w:tr w:rsidR="00D44EFC" w14:paraId="70F5DE03" w14:textId="77777777" w:rsidTr="009D36B4">
        <w:tc>
          <w:tcPr>
            <w:cnfStyle w:val="001000000000" w:firstRow="0" w:lastRow="0" w:firstColumn="1" w:lastColumn="0" w:oddVBand="0" w:evenVBand="0" w:oddHBand="0" w:evenHBand="0" w:firstRowFirstColumn="0" w:firstRowLastColumn="0" w:lastRowFirstColumn="0" w:lastRowLastColumn="0"/>
            <w:tcW w:w="1870" w:type="dxa"/>
          </w:tcPr>
          <w:p w14:paraId="2D46C6AB" w14:textId="731E370C" w:rsidR="00D44EFC" w:rsidRDefault="00D44EFC">
            <w:r>
              <w:t>Pay Delay</w:t>
            </w:r>
          </w:p>
        </w:tc>
        <w:tc>
          <w:tcPr>
            <w:tcW w:w="1870" w:type="dxa"/>
          </w:tcPr>
          <w:p w14:paraId="0F404DAA" w14:textId="4A9DD36E" w:rsidR="00D44EFC" w:rsidRDefault="00D44EFC">
            <w:pPr>
              <w:cnfStyle w:val="000000000000" w:firstRow="0" w:lastRow="0" w:firstColumn="0" w:lastColumn="0" w:oddVBand="0" w:evenVBand="0" w:oddHBand="0" w:evenHBand="0" w:firstRowFirstColumn="0" w:firstRowLastColumn="0" w:lastRowFirstColumn="0" w:lastRowLastColumn="0"/>
            </w:pPr>
            <w:r>
              <w:t>0 days</w:t>
            </w:r>
          </w:p>
        </w:tc>
        <w:tc>
          <w:tcPr>
            <w:tcW w:w="1870" w:type="dxa"/>
          </w:tcPr>
          <w:p w14:paraId="30F0276F" w14:textId="00347322" w:rsidR="00D44EFC" w:rsidRDefault="00576631">
            <w:pPr>
              <w:cnfStyle w:val="000000000000" w:firstRow="0" w:lastRow="0" w:firstColumn="0" w:lastColumn="0" w:oddVBand="0" w:evenVBand="0" w:oddHBand="0" w:evenHBand="0" w:firstRowFirstColumn="0" w:firstRowLastColumn="0" w:lastRowFirstColumn="0" w:lastRowLastColumn="0"/>
            </w:pPr>
            <w:r>
              <w:t>0 days</w:t>
            </w:r>
          </w:p>
        </w:tc>
        <w:tc>
          <w:tcPr>
            <w:tcW w:w="1870" w:type="dxa"/>
          </w:tcPr>
          <w:p w14:paraId="08259B67" w14:textId="477679B2" w:rsidR="00D44EFC" w:rsidRDefault="009D36B4">
            <w:pPr>
              <w:cnfStyle w:val="000000000000" w:firstRow="0" w:lastRow="0" w:firstColumn="0" w:lastColumn="0" w:oddVBand="0" w:evenVBand="0" w:oddHBand="0" w:evenHBand="0" w:firstRowFirstColumn="0" w:firstRowLastColumn="0" w:lastRowFirstColumn="0" w:lastRowLastColumn="0"/>
            </w:pPr>
            <w:r>
              <w:t>0 days</w:t>
            </w:r>
          </w:p>
        </w:tc>
        <w:tc>
          <w:tcPr>
            <w:tcW w:w="1870" w:type="dxa"/>
          </w:tcPr>
          <w:p w14:paraId="25C77C3C" w14:textId="5E002A51" w:rsidR="00D44EFC" w:rsidRDefault="009D36B4">
            <w:pPr>
              <w:cnfStyle w:val="000000000000" w:firstRow="0" w:lastRow="0" w:firstColumn="0" w:lastColumn="0" w:oddVBand="0" w:evenVBand="0" w:oddHBand="0" w:evenHBand="0" w:firstRowFirstColumn="0" w:firstRowLastColumn="0" w:lastRowFirstColumn="0" w:lastRowLastColumn="0"/>
            </w:pPr>
            <w:r>
              <w:t>0 days</w:t>
            </w:r>
          </w:p>
        </w:tc>
      </w:tr>
      <w:tr w:rsidR="00D44EFC" w14:paraId="3B8E128F" w14:textId="77777777" w:rsidTr="009D36B4">
        <w:tc>
          <w:tcPr>
            <w:cnfStyle w:val="001000000000" w:firstRow="0" w:lastRow="0" w:firstColumn="1" w:lastColumn="0" w:oddVBand="0" w:evenVBand="0" w:oddHBand="0" w:evenHBand="0" w:firstRowFirstColumn="0" w:firstRowLastColumn="0" w:lastRowFirstColumn="0" w:lastRowLastColumn="0"/>
            <w:tcW w:w="9350" w:type="dxa"/>
            <w:gridSpan w:val="5"/>
            <w:tcBorders>
              <w:bottom w:val="single" w:sz="4" w:space="0" w:color="auto"/>
              <w:right w:val="none" w:sz="0" w:space="0" w:color="auto"/>
            </w:tcBorders>
          </w:tcPr>
          <w:p w14:paraId="22AC0023" w14:textId="0DCA6E27" w:rsidR="00D44EFC" w:rsidRDefault="00D44EFC" w:rsidP="009D36B4">
            <w:pPr>
              <w:jc w:val="left"/>
            </w:pPr>
            <w:r>
              <w:t>Floating Leg</w:t>
            </w:r>
          </w:p>
        </w:tc>
      </w:tr>
      <w:tr w:rsidR="00D44EFC" w14:paraId="6CFA0CA0" w14:textId="77777777" w:rsidTr="009D36B4">
        <w:tc>
          <w:tcPr>
            <w:cnfStyle w:val="001000000000" w:firstRow="0" w:lastRow="0" w:firstColumn="1" w:lastColumn="0" w:oddVBand="0" w:evenVBand="0" w:oddHBand="0" w:evenHBand="0" w:firstRowFirstColumn="0" w:firstRowLastColumn="0" w:lastRowFirstColumn="0" w:lastRowLastColumn="0"/>
            <w:tcW w:w="1870" w:type="dxa"/>
            <w:tcBorders>
              <w:top w:val="single" w:sz="4" w:space="0" w:color="auto"/>
            </w:tcBorders>
          </w:tcPr>
          <w:p w14:paraId="7809689A" w14:textId="6D9E9579" w:rsidR="00D44EFC" w:rsidRDefault="00D44EFC">
            <w:r>
              <w:t>Day Count Convention</w:t>
            </w:r>
          </w:p>
        </w:tc>
        <w:tc>
          <w:tcPr>
            <w:tcW w:w="1870" w:type="dxa"/>
            <w:tcBorders>
              <w:top w:val="single" w:sz="4" w:space="0" w:color="auto"/>
            </w:tcBorders>
          </w:tcPr>
          <w:p w14:paraId="1BFECA04" w14:textId="1304334E" w:rsidR="00D44EFC" w:rsidRDefault="00D44EFC">
            <w:pPr>
              <w:cnfStyle w:val="000000000000" w:firstRow="0" w:lastRow="0" w:firstColumn="0" w:lastColumn="0" w:oddVBand="0" w:evenVBand="0" w:oddHBand="0" w:evenHBand="0" w:firstRowFirstColumn="0" w:firstRowLastColumn="0" w:lastRowFirstColumn="0" w:lastRowLastColumn="0"/>
            </w:pPr>
            <w:r>
              <w:t>Actual/360</w:t>
            </w:r>
          </w:p>
        </w:tc>
        <w:tc>
          <w:tcPr>
            <w:tcW w:w="1870" w:type="dxa"/>
            <w:tcBorders>
              <w:top w:val="single" w:sz="4" w:space="0" w:color="auto"/>
            </w:tcBorders>
          </w:tcPr>
          <w:p w14:paraId="1898CEDA" w14:textId="2A5E2474" w:rsidR="00D44EFC" w:rsidRDefault="00576631">
            <w:pPr>
              <w:cnfStyle w:val="000000000000" w:firstRow="0" w:lastRow="0" w:firstColumn="0" w:lastColumn="0" w:oddVBand="0" w:evenVBand="0" w:oddHBand="0" w:evenHBand="0" w:firstRowFirstColumn="0" w:firstRowLastColumn="0" w:lastRowFirstColumn="0" w:lastRowLastColumn="0"/>
            </w:pPr>
            <w:r>
              <w:t>ACT/365.FIXED</w:t>
            </w:r>
          </w:p>
        </w:tc>
        <w:tc>
          <w:tcPr>
            <w:tcW w:w="1870" w:type="dxa"/>
            <w:tcBorders>
              <w:top w:val="single" w:sz="4" w:space="0" w:color="auto"/>
            </w:tcBorders>
          </w:tcPr>
          <w:p w14:paraId="39443B0A" w14:textId="6FB8E234" w:rsidR="00D44EFC" w:rsidRDefault="009D36B4">
            <w:pPr>
              <w:cnfStyle w:val="000000000000" w:firstRow="0" w:lastRow="0" w:firstColumn="0" w:lastColumn="0" w:oddVBand="0" w:evenVBand="0" w:oddHBand="0" w:evenHBand="0" w:firstRowFirstColumn="0" w:firstRowLastColumn="0" w:lastRowFirstColumn="0" w:lastRowLastColumn="0"/>
            </w:pPr>
            <w:r>
              <w:t>ACT/365.FIXED</w:t>
            </w:r>
          </w:p>
        </w:tc>
        <w:tc>
          <w:tcPr>
            <w:tcW w:w="1870" w:type="dxa"/>
            <w:tcBorders>
              <w:top w:val="single" w:sz="4" w:space="0" w:color="auto"/>
            </w:tcBorders>
          </w:tcPr>
          <w:p w14:paraId="0999D12B" w14:textId="500D8E7B" w:rsidR="00D44EFC" w:rsidRDefault="009D36B4">
            <w:pPr>
              <w:cnfStyle w:val="000000000000" w:firstRow="0" w:lastRow="0" w:firstColumn="0" w:lastColumn="0" w:oddVBand="0" w:evenVBand="0" w:oddHBand="0" w:evenHBand="0" w:firstRowFirstColumn="0" w:firstRowLastColumn="0" w:lastRowFirstColumn="0" w:lastRowLastColumn="0"/>
            </w:pPr>
            <w:r>
              <w:t>Actual/360</w:t>
            </w:r>
          </w:p>
        </w:tc>
      </w:tr>
      <w:tr w:rsidR="00D44EFC" w14:paraId="66B41C95" w14:textId="77777777" w:rsidTr="009D36B4">
        <w:tc>
          <w:tcPr>
            <w:cnfStyle w:val="001000000000" w:firstRow="0" w:lastRow="0" w:firstColumn="1" w:lastColumn="0" w:oddVBand="0" w:evenVBand="0" w:oddHBand="0" w:evenHBand="0" w:firstRowFirstColumn="0" w:firstRowLastColumn="0" w:lastRowFirstColumn="0" w:lastRowLastColumn="0"/>
            <w:tcW w:w="1870" w:type="dxa"/>
          </w:tcPr>
          <w:p w14:paraId="30BC6363" w14:textId="06B76996" w:rsidR="00D44EFC" w:rsidRDefault="00D44EFC">
            <w:r>
              <w:t>Payment Frequency</w:t>
            </w:r>
          </w:p>
        </w:tc>
        <w:tc>
          <w:tcPr>
            <w:tcW w:w="1870" w:type="dxa"/>
          </w:tcPr>
          <w:p w14:paraId="463D8E61" w14:textId="6202D53E" w:rsidR="00D44EFC" w:rsidRDefault="00D44EFC">
            <w:pPr>
              <w:cnfStyle w:val="000000000000" w:firstRow="0" w:lastRow="0" w:firstColumn="0" w:lastColumn="0" w:oddVBand="0" w:evenVBand="0" w:oddHBand="0" w:evenHBand="0" w:firstRowFirstColumn="0" w:firstRowLastColumn="0" w:lastRowFirstColumn="0" w:lastRowLastColumn="0"/>
            </w:pPr>
            <w:r>
              <w:t>Quarterly</w:t>
            </w:r>
          </w:p>
        </w:tc>
        <w:tc>
          <w:tcPr>
            <w:tcW w:w="1870" w:type="dxa"/>
          </w:tcPr>
          <w:p w14:paraId="428BE8AB" w14:textId="1D0B9862" w:rsidR="00D44EFC" w:rsidRDefault="00576631">
            <w:pPr>
              <w:cnfStyle w:val="000000000000" w:firstRow="0" w:lastRow="0" w:firstColumn="0" w:lastColumn="0" w:oddVBand="0" w:evenVBand="0" w:oddHBand="0" w:evenHBand="0" w:firstRowFirstColumn="0" w:firstRowLastColumn="0" w:lastRowFirstColumn="0" w:lastRowLastColumn="0"/>
            </w:pPr>
            <w:r>
              <w:t>Semiannual</w:t>
            </w:r>
          </w:p>
        </w:tc>
        <w:tc>
          <w:tcPr>
            <w:tcW w:w="1870" w:type="dxa"/>
          </w:tcPr>
          <w:p w14:paraId="0C69C243" w14:textId="76018CAC" w:rsidR="00D44EFC" w:rsidRDefault="009D36B4">
            <w:pPr>
              <w:cnfStyle w:val="000000000000" w:firstRow="0" w:lastRow="0" w:firstColumn="0" w:lastColumn="0" w:oddVBand="0" w:evenVBand="0" w:oddHBand="0" w:evenHBand="0" w:firstRowFirstColumn="0" w:firstRowLastColumn="0" w:lastRowFirstColumn="0" w:lastRowLastColumn="0"/>
            </w:pPr>
            <w:r>
              <w:t>Semiannual</w:t>
            </w:r>
          </w:p>
        </w:tc>
        <w:tc>
          <w:tcPr>
            <w:tcW w:w="1870" w:type="dxa"/>
          </w:tcPr>
          <w:p w14:paraId="504E4B85" w14:textId="4C369028" w:rsidR="00D44EFC" w:rsidRDefault="009D36B4">
            <w:pPr>
              <w:cnfStyle w:val="000000000000" w:firstRow="0" w:lastRow="0" w:firstColumn="0" w:lastColumn="0" w:oddVBand="0" w:evenVBand="0" w:oddHBand="0" w:evenHBand="0" w:firstRowFirstColumn="0" w:firstRowLastColumn="0" w:lastRowFirstColumn="0" w:lastRowLastColumn="0"/>
            </w:pPr>
            <w:r>
              <w:t>Semiannual</w:t>
            </w:r>
          </w:p>
        </w:tc>
      </w:tr>
      <w:tr w:rsidR="00D44EFC" w14:paraId="2C4F1D61" w14:textId="77777777" w:rsidTr="009D36B4">
        <w:tc>
          <w:tcPr>
            <w:cnfStyle w:val="001000000000" w:firstRow="0" w:lastRow="0" w:firstColumn="1" w:lastColumn="0" w:oddVBand="0" w:evenVBand="0" w:oddHBand="0" w:evenHBand="0" w:firstRowFirstColumn="0" w:firstRowLastColumn="0" w:lastRowFirstColumn="0" w:lastRowLastColumn="0"/>
            <w:tcW w:w="1870" w:type="dxa"/>
          </w:tcPr>
          <w:p w14:paraId="6E0F97B6" w14:textId="4906C1F4" w:rsidR="00D44EFC" w:rsidRDefault="00D44EFC">
            <w:r>
              <w:t>Reference Index</w:t>
            </w:r>
          </w:p>
        </w:tc>
        <w:tc>
          <w:tcPr>
            <w:tcW w:w="1870" w:type="dxa"/>
          </w:tcPr>
          <w:p w14:paraId="673C146E" w14:textId="36D169C1" w:rsidR="00D44EFC" w:rsidRDefault="00D44EFC">
            <w:pPr>
              <w:cnfStyle w:val="000000000000" w:firstRow="0" w:lastRow="0" w:firstColumn="0" w:lastColumn="0" w:oddVBand="0" w:evenVBand="0" w:oddHBand="0" w:evenHBand="0" w:firstRowFirstColumn="0" w:firstRowLastColumn="0" w:lastRowFirstColumn="0" w:lastRowLastColumn="0"/>
            </w:pPr>
            <w:r>
              <w:t>USD LIBOR 3M</w:t>
            </w:r>
          </w:p>
        </w:tc>
        <w:tc>
          <w:tcPr>
            <w:tcW w:w="1870" w:type="dxa"/>
          </w:tcPr>
          <w:p w14:paraId="06E8AEC9" w14:textId="2B22590B" w:rsidR="00D44EFC" w:rsidRDefault="00576631">
            <w:pPr>
              <w:cnfStyle w:val="000000000000" w:firstRow="0" w:lastRow="0" w:firstColumn="0" w:lastColumn="0" w:oddVBand="0" w:evenVBand="0" w:oddHBand="0" w:evenHBand="0" w:firstRowFirstColumn="0" w:firstRowLastColumn="0" w:lastRowFirstColumn="0" w:lastRowLastColumn="0"/>
            </w:pPr>
            <w:r>
              <w:t>CDOR 3M</w:t>
            </w:r>
          </w:p>
        </w:tc>
        <w:tc>
          <w:tcPr>
            <w:tcW w:w="1870" w:type="dxa"/>
          </w:tcPr>
          <w:p w14:paraId="2785FAEF" w14:textId="7EAD441D" w:rsidR="00D44EFC" w:rsidRDefault="009D36B4">
            <w:pPr>
              <w:cnfStyle w:val="000000000000" w:firstRow="0" w:lastRow="0" w:firstColumn="0" w:lastColumn="0" w:oddVBand="0" w:evenVBand="0" w:oddHBand="0" w:evenHBand="0" w:firstRowFirstColumn="0" w:firstRowLastColumn="0" w:lastRowFirstColumn="0" w:lastRowLastColumn="0"/>
            </w:pPr>
            <w:r>
              <w:t>GBP LIBOR 6M</w:t>
            </w:r>
          </w:p>
        </w:tc>
        <w:tc>
          <w:tcPr>
            <w:tcW w:w="1870" w:type="dxa"/>
          </w:tcPr>
          <w:p w14:paraId="59F87937" w14:textId="56A0C4E4" w:rsidR="00D44EFC" w:rsidRDefault="009D36B4">
            <w:pPr>
              <w:cnfStyle w:val="000000000000" w:firstRow="0" w:lastRow="0" w:firstColumn="0" w:lastColumn="0" w:oddVBand="0" w:evenVBand="0" w:oddHBand="0" w:evenHBand="0" w:firstRowFirstColumn="0" w:firstRowLastColumn="0" w:lastRowFirstColumn="0" w:lastRowLastColumn="0"/>
            </w:pPr>
            <w:r>
              <w:t>CHF LIBOR 6M</w:t>
            </w:r>
          </w:p>
        </w:tc>
      </w:tr>
      <w:tr w:rsidR="00D44EFC" w14:paraId="4D71F6ED" w14:textId="77777777" w:rsidTr="009D36B4">
        <w:tc>
          <w:tcPr>
            <w:cnfStyle w:val="001000000000" w:firstRow="0" w:lastRow="0" w:firstColumn="1" w:lastColumn="0" w:oddVBand="0" w:evenVBand="0" w:oddHBand="0" w:evenHBand="0" w:firstRowFirstColumn="0" w:firstRowLastColumn="0" w:lastRowFirstColumn="0" w:lastRowLastColumn="0"/>
            <w:tcW w:w="1870" w:type="dxa"/>
          </w:tcPr>
          <w:p w14:paraId="4DCF2EB5" w14:textId="35FBEA10" w:rsidR="00D44EFC" w:rsidRDefault="00D44EFC">
            <w:r>
              <w:t>Reset Frequency</w:t>
            </w:r>
          </w:p>
        </w:tc>
        <w:tc>
          <w:tcPr>
            <w:tcW w:w="1870" w:type="dxa"/>
          </w:tcPr>
          <w:p w14:paraId="203FBA63" w14:textId="476CAA8D" w:rsidR="00D44EFC" w:rsidRDefault="00D44EFC">
            <w:pPr>
              <w:cnfStyle w:val="000000000000" w:firstRow="0" w:lastRow="0" w:firstColumn="0" w:lastColumn="0" w:oddVBand="0" w:evenVBand="0" w:oddHBand="0" w:evenHBand="0" w:firstRowFirstColumn="0" w:firstRowLastColumn="0" w:lastRowFirstColumn="0" w:lastRowLastColumn="0"/>
            </w:pPr>
            <w:r>
              <w:t>Quarterly</w:t>
            </w:r>
          </w:p>
        </w:tc>
        <w:tc>
          <w:tcPr>
            <w:tcW w:w="1870" w:type="dxa"/>
          </w:tcPr>
          <w:p w14:paraId="47DE1944" w14:textId="4E5B6430" w:rsidR="00D44EFC" w:rsidRDefault="00576631">
            <w:pPr>
              <w:cnfStyle w:val="000000000000" w:firstRow="0" w:lastRow="0" w:firstColumn="0" w:lastColumn="0" w:oddVBand="0" w:evenVBand="0" w:oddHBand="0" w:evenHBand="0" w:firstRowFirstColumn="0" w:firstRowLastColumn="0" w:lastRowFirstColumn="0" w:lastRowLastColumn="0"/>
            </w:pPr>
            <w:r>
              <w:t>Quarterly</w:t>
            </w:r>
          </w:p>
        </w:tc>
        <w:tc>
          <w:tcPr>
            <w:tcW w:w="1870" w:type="dxa"/>
          </w:tcPr>
          <w:p w14:paraId="2E7C3379" w14:textId="6DB34C0F" w:rsidR="00D44EFC" w:rsidRDefault="009D36B4">
            <w:pPr>
              <w:cnfStyle w:val="000000000000" w:firstRow="0" w:lastRow="0" w:firstColumn="0" w:lastColumn="0" w:oddVBand="0" w:evenVBand="0" w:oddHBand="0" w:evenHBand="0" w:firstRowFirstColumn="0" w:firstRowLastColumn="0" w:lastRowFirstColumn="0" w:lastRowLastColumn="0"/>
            </w:pPr>
            <w:r>
              <w:t>Semiannual</w:t>
            </w:r>
          </w:p>
        </w:tc>
        <w:tc>
          <w:tcPr>
            <w:tcW w:w="1870" w:type="dxa"/>
          </w:tcPr>
          <w:p w14:paraId="6DCF86C4" w14:textId="5F1FA01E" w:rsidR="00D44EFC" w:rsidRDefault="009D36B4">
            <w:pPr>
              <w:cnfStyle w:val="000000000000" w:firstRow="0" w:lastRow="0" w:firstColumn="0" w:lastColumn="0" w:oddVBand="0" w:evenVBand="0" w:oddHBand="0" w:evenHBand="0" w:firstRowFirstColumn="0" w:firstRowLastColumn="0" w:lastRowFirstColumn="0" w:lastRowLastColumn="0"/>
            </w:pPr>
            <w:r>
              <w:t>Semiannual</w:t>
            </w:r>
          </w:p>
        </w:tc>
      </w:tr>
      <w:tr w:rsidR="00D44EFC" w14:paraId="72614E4F" w14:textId="77777777" w:rsidTr="009D36B4">
        <w:tc>
          <w:tcPr>
            <w:cnfStyle w:val="001000000000" w:firstRow="0" w:lastRow="0" w:firstColumn="1" w:lastColumn="0" w:oddVBand="0" w:evenVBand="0" w:oddHBand="0" w:evenHBand="0" w:firstRowFirstColumn="0" w:firstRowLastColumn="0" w:lastRowFirstColumn="0" w:lastRowLastColumn="0"/>
            <w:tcW w:w="1870" w:type="dxa"/>
          </w:tcPr>
          <w:p w14:paraId="1C50998D" w14:textId="33006819" w:rsidR="00D44EFC" w:rsidRDefault="00D44EFC">
            <w:r>
              <w:t>Business Day Adjustment</w:t>
            </w:r>
          </w:p>
        </w:tc>
        <w:tc>
          <w:tcPr>
            <w:tcW w:w="1870" w:type="dxa"/>
          </w:tcPr>
          <w:p w14:paraId="5B1F7802" w14:textId="580DABB2" w:rsidR="00D44EFC" w:rsidRDefault="00D44EFC">
            <w:pPr>
              <w:cnfStyle w:val="000000000000" w:firstRow="0" w:lastRow="0" w:firstColumn="0" w:lastColumn="0" w:oddVBand="0" w:evenVBand="0" w:oddHBand="0" w:evenHBand="0" w:firstRowFirstColumn="0" w:firstRowLastColumn="0" w:lastRowFirstColumn="0" w:lastRowLastColumn="0"/>
            </w:pPr>
            <w:r>
              <w:t>Modified Following Business Day</w:t>
            </w:r>
          </w:p>
        </w:tc>
        <w:tc>
          <w:tcPr>
            <w:tcW w:w="1870" w:type="dxa"/>
          </w:tcPr>
          <w:p w14:paraId="614BD0FF" w14:textId="242DE411" w:rsidR="00D44EFC" w:rsidRDefault="00576631">
            <w:pPr>
              <w:cnfStyle w:val="000000000000" w:firstRow="0" w:lastRow="0" w:firstColumn="0" w:lastColumn="0" w:oddVBand="0" w:evenVBand="0" w:oddHBand="0" w:evenHBand="0" w:firstRowFirstColumn="0" w:firstRowLastColumn="0" w:lastRowFirstColumn="0" w:lastRowLastColumn="0"/>
            </w:pPr>
            <w:r>
              <w:t>Modified Following</w:t>
            </w:r>
          </w:p>
        </w:tc>
        <w:tc>
          <w:tcPr>
            <w:tcW w:w="1870" w:type="dxa"/>
          </w:tcPr>
          <w:p w14:paraId="349DB289" w14:textId="09A6E5A6" w:rsidR="00D44EFC" w:rsidRDefault="009D36B4">
            <w:pPr>
              <w:cnfStyle w:val="000000000000" w:firstRow="0" w:lastRow="0" w:firstColumn="0" w:lastColumn="0" w:oddVBand="0" w:evenVBand="0" w:oddHBand="0" w:evenHBand="0" w:firstRowFirstColumn="0" w:firstRowLastColumn="0" w:lastRowFirstColumn="0" w:lastRowLastColumn="0"/>
            </w:pPr>
            <w:r>
              <w:t>Modified Following</w:t>
            </w:r>
          </w:p>
        </w:tc>
        <w:tc>
          <w:tcPr>
            <w:tcW w:w="1870" w:type="dxa"/>
          </w:tcPr>
          <w:p w14:paraId="20D6FAD4" w14:textId="5BB2D4CB" w:rsidR="00D44EFC" w:rsidRDefault="009D36B4">
            <w:pPr>
              <w:cnfStyle w:val="000000000000" w:firstRow="0" w:lastRow="0" w:firstColumn="0" w:lastColumn="0" w:oddVBand="0" w:evenVBand="0" w:oddHBand="0" w:evenHBand="0" w:firstRowFirstColumn="0" w:firstRowLastColumn="0" w:lastRowFirstColumn="0" w:lastRowLastColumn="0"/>
            </w:pPr>
            <w:r>
              <w:t>Modified Following</w:t>
            </w:r>
          </w:p>
        </w:tc>
      </w:tr>
      <w:tr w:rsidR="00D44EFC" w14:paraId="660D028D" w14:textId="77777777" w:rsidTr="009D36B4">
        <w:tc>
          <w:tcPr>
            <w:cnfStyle w:val="001000000000" w:firstRow="0" w:lastRow="0" w:firstColumn="1" w:lastColumn="0" w:oddVBand="0" w:evenVBand="0" w:oddHBand="0" w:evenHBand="0" w:firstRowFirstColumn="0" w:firstRowLastColumn="0" w:lastRowFirstColumn="0" w:lastRowLastColumn="0"/>
            <w:tcW w:w="1870" w:type="dxa"/>
          </w:tcPr>
          <w:p w14:paraId="76D38642" w14:textId="5277DFF9" w:rsidR="00D44EFC" w:rsidRDefault="00D44EFC">
            <w:r>
              <w:t>Adjustment Type</w:t>
            </w:r>
          </w:p>
        </w:tc>
        <w:tc>
          <w:tcPr>
            <w:tcW w:w="1870" w:type="dxa"/>
          </w:tcPr>
          <w:p w14:paraId="2BD290FB" w14:textId="4FE60020" w:rsidR="00D44EFC" w:rsidRDefault="00D44EFC">
            <w:pPr>
              <w:cnfStyle w:val="000000000000" w:firstRow="0" w:lastRow="0" w:firstColumn="0" w:lastColumn="0" w:oddVBand="0" w:evenVBand="0" w:oddHBand="0" w:evenHBand="0" w:firstRowFirstColumn="0" w:firstRowLastColumn="0" w:lastRowFirstColumn="0" w:lastRowLastColumn="0"/>
            </w:pPr>
            <w:r>
              <w:t>Accrual and Payment</w:t>
            </w:r>
            <w:r w:rsidR="009D36B4">
              <w:t xml:space="preserve"> Dates</w:t>
            </w:r>
          </w:p>
        </w:tc>
        <w:tc>
          <w:tcPr>
            <w:tcW w:w="1870" w:type="dxa"/>
          </w:tcPr>
          <w:p w14:paraId="4810C287" w14:textId="26547C30" w:rsidR="00D44EFC" w:rsidRDefault="00576631">
            <w:pPr>
              <w:cnfStyle w:val="000000000000" w:firstRow="0" w:lastRow="0" w:firstColumn="0" w:lastColumn="0" w:oddVBand="0" w:evenVBand="0" w:oddHBand="0" w:evenHBand="0" w:firstRowFirstColumn="0" w:firstRowLastColumn="0" w:lastRowFirstColumn="0" w:lastRowLastColumn="0"/>
            </w:pPr>
            <w:r>
              <w:t>Accrual and Payment</w:t>
            </w:r>
            <w:r w:rsidR="009D36B4">
              <w:t xml:space="preserve"> Dates</w:t>
            </w:r>
          </w:p>
        </w:tc>
        <w:tc>
          <w:tcPr>
            <w:tcW w:w="1870" w:type="dxa"/>
          </w:tcPr>
          <w:p w14:paraId="46038A9C" w14:textId="41466AB6" w:rsidR="00D44EFC" w:rsidRDefault="009D36B4">
            <w:pPr>
              <w:cnfStyle w:val="000000000000" w:firstRow="0" w:lastRow="0" w:firstColumn="0" w:lastColumn="0" w:oddVBand="0" w:evenVBand="0" w:oddHBand="0" w:evenHBand="0" w:firstRowFirstColumn="0" w:firstRowLastColumn="0" w:lastRowFirstColumn="0" w:lastRowLastColumn="0"/>
            </w:pPr>
            <w:r>
              <w:t>Accrual and Payment Dates</w:t>
            </w:r>
          </w:p>
        </w:tc>
        <w:tc>
          <w:tcPr>
            <w:tcW w:w="1870" w:type="dxa"/>
          </w:tcPr>
          <w:p w14:paraId="10E96D26" w14:textId="78432D8C" w:rsidR="00D44EFC" w:rsidRDefault="009D36B4">
            <w:pPr>
              <w:cnfStyle w:val="000000000000" w:firstRow="0" w:lastRow="0" w:firstColumn="0" w:lastColumn="0" w:oddVBand="0" w:evenVBand="0" w:oddHBand="0" w:evenHBand="0" w:firstRowFirstColumn="0" w:firstRowLastColumn="0" w:lastRowFirstColumn="0" w:lastRowLastColumn="0"/>
            </w:pPr>
            <w:r>
              <w:t>Accrual and Payment Dates</w:t>
            </w:r>
          </w:p>
        </w:tc>
      </w:tr>
      <w:tr w:rsidR="00D44EFC" w14:paraId="07829D16" w14:textId="77777777" w:rsidTr="009D36B4">
        <w:tc>
          <w:tcPr>
            <w:cnfStyle w:val="001000000000" w:firstRow="0" w:lastRow="0" w:firstColumn="1" w:lastColumn="0" w:oddVBand="0" w:evenVBand="0" w:oddHBand="0" w:evenHBand="0" w:firstRowFirstColumn="0" w:firstRowLastColumn="0" w:lastRowFirstColumn="0" w:lastRowLastColumn="0"/>
            <w:tcW w:w="1870" w:type="dxa"/>
          </w:tcPr>
          <w:p w14:paraId="0804218A" w14:textId="1DA5AE1E" w:rsidR="00D44EFC" w:rsidRDefault="00D44EFC">
            <w:r>
              <w:t>Roll Convention</w:t>
            </w:r>
          </w:p>
        </w:tc>
        <w:tc>
          <w:tcPr>
            <w:tcW w:w="1870" w:type="dxa"/>
          </w:tcPr>
          <w:p w14:paraId="21875B2A" w14:textId="473AD5E5" w:rsidR="00D44EFC" w:rsidRDefault="00D44EFC">
            <w:pPr>
              <w:cnfStyle w:val="000000000000" w:firstRow="0" w:lastRow="0" w:firstColumn="0" w:lastColumn="0" w:oddVBand="0" w:evenVBand="0" w:oddHBand="0" w:evenHBand="0" w:firstRowFirstColumn="0" w:firstRowLastColumn="0" w:lastRowFirstColumn="0" w:lastRowLastColumn="0"/>
            </w:pPr>
            <w:r>
              <w:t>Backward</w:t>
            </w:r>
          </w:p>
        </w:tc>
        <w:tc>
          <w:tcPr>
            <w:tcW w:w="1870" w:type="dxa"/>
          </w:tcPr>
          <w:p w14:paraId="60C11E4B" w14:textId="0D29BD3E" w:rsidR="00D44EFC" w:rsidRDefault="00576631">
            <w:pPr>
              <w:cnfStyle w:val="000000000000" w:firstRow="0" w:lastRow="0" w:firstColumn="0" w:lastColumn="0" w:oddVBand="0" w:evenVBand="0" w:oddHBand="0" w:evenHBand="0" w:firstRowFirstColumn="0" w:firstRowLastColumn="0" w:lastRowFirstColumn="0" w:lastRowLastColumn="0"/>
            </w:pPr>
            <w:r>
              <w:t>Backward</w:t>
            </w:r>
          </w:p>
        </w:tc>
        <w:tc>
          <w:tcPr>
            <w:tcW w:w="1870" w:type="dxa"/>
          </w:tcPr>
          <w:p w14:paraId="6BB3FA63" w14:textId="71F7D330" w:rsidR="00D44EFC" w:rsidRDefault="009D36B4">
            <w:pPr>
              <w:cnfStyle w:val="000000000000" w:firstRow="0" w:lastRow="0" w:firstColumn="0" w:lastColumn="0" w:oddVBand="0" w:evenVBand="0" w:oddHBand="0" w:evenHBand="0" w:firstRowFirstColumn="0" w:firstRowLastColumn="0" w:lastRowFirstColumn="0" w:lastRowLastColumn="0"/>
            </w:pPr>
            <w:r>
              <w:t>Backward (EOM)</w:t>
            </w:r>
          </w:p>
        </w:tc>
        <w:tc>
          <w:tcPr>
            <w:tcW w:w="1870" w:type="dxa"/>
          </w:tcPr>
          <w:p w14:paraId="72998B51" w14:textId="13AC1B54" w:rsidR="00D44EFC" w:rsidRDefault="009D36B4">
            <w:pPr>
              <w:cnfStyle w:val="000000000000" w:firstRow="0" w:lastRow="0" w:firstColumn="0" w:lastColumn="0" w:oddVBand="0" w:evenVBand="0" w:oddHBand="0" w:evenHBand="0" w:firstRowFirstColumn="0" w:firstRowLastColumn="0" w:lastRowFirstColumn="0" w:lastRowLastColumn="0"/>
            </w:pPr>
            <w:r>
              <w:t>Backward</w:t>
            </w:r>
          </w:p>
        </w:tc>
      </w:tr>
      <w:tr w:rsidR="00D44EFC" w14:paraId="79FF5E10" w14:textId="77777777" w:rsidTr="009D36B4">
        <w:tc>
          <w:tcPr>
            <w:cnfStyle w:val="001000000000" w:firstRow="0" w:lastRow="0" w:firstColumn="1" w:lastColumn="0" w:oddVBand="0" w:evenVBand="0" w:oddHBand="0" w:evenHBand="0" w:firstRowFirstColumn="0" w:firstRowLastColumn="0" w:lastRowFirstColumn="0" w:lastRowLastColumn="0"/>
            <w:tcW w:w="1870" w:type="dxa"/>
          </w:tcPr>
          <w:p w14:paraId="42AA9B4A" w14:textId="422E1827" w:rsidR="00D44EFC" w:rsidRDefault="00D44EFC">
            <w:r>
              <w:t>Calculation Calendar</w:t>
            </w:r>
          </w:p>
        </w:tc>
        <w:tc>
          <w:tcPr>
            <w:tcW w:w="1870" w:type="dxa"/>
          </w:tcPr>
          <w:p w14:paraId="261436E2" w14:textId="725BBC50" w:rsidR="00D44EFC" w:rsidRDefault="00D44EFC">
            <w:pPr>
              <w:cnfStyle w:val="000000000000" w:firstRow="0" w:lastRow="0" w:firstColumn="0" w:lastColumn="0" w:oddVBand="0" w:evenVBand="0" w:oddHBand="0" w:evenHBand="0" w:firstRowFirstColumn="0" w:firstRowLastColumn="0" w:lastRowFirstColumn="0" w:lastRowLastColumn="0"/>
            </w:pPr>
            <w:r>
              <w:t>US Federal Reserve, England</w:t>
            </w:r>
          </w:p>
        </w:tc>
        <w:tc>
          <w:tcPr>
            <w:tcW w:w="1870" w:type="dxa"/>
          </w:tcPr>
          <w:p w14:paraId="708A3D23" w14:textId="5A1EF594" w:rsidR="00D44EFC" w:rsidRDefault="00576631">
            <w:pPr>
              <w:cnfStyle w:val="000000000000" w:firstRow="0" w:lastRow="0" w:firstColumn="0" w:lastColumn="0" w:oddVBand="0" w:evenVBand="0" w:oddHBand="0" w:evenHBand="0" w:firstRowFirstColumn="0" w:firstRowLastColumn="0" w:lastRowFirstColumn="0" w:lastRowLastColumn="0"/>
            </w:pPr>
            <w:r>
              <w:t>Canada</w:t>
            </w:r>
          </w:p>
        </w:tc>
        <w:tc>
          <w:tcPr>
            <w:tcW w:w="1870" w:type="dxa"/>
          </w:tcPr>
          <w:p w14:paraId="02585B09" w14:textId="6F97A8FF" w:rsidR="00D44EFC" w:rsidRDefault="009D36B4">
            <w:pPr>
              <w:cnfStyle w:val="000000000000" w:firstRow="0" w:lastRow="0" w:firstColumn="0" w:lastColumn="0" w:oddVBand="0" w:evenVBand="0" w:oddHBand="0" w:evenHBand="0" w:firstRowFirstColumn="0" w:firstRowLastColumn="0" w:lastRowFirstColumn="0" w:lastRowLastColumn="0"/>
            </w:pPr>
            <w:r>
              <w:t>England</w:t>
            </w:r>
          </w:p>
        </w:tc>
        <w:tc>
          <w:tcPr>
            <w:tcW w:w="1870" w:type="dxa"/>
          </w:tcPr>
          <w:p w14:paraId="12A90A5D" w14:textId="3D7183F6" w:rsidR="00D44EFC" w:rsidRDefault="009D36B4">
            <w:pPr>
              <w:cnfStyle w:val="000000000000" w:firstRow="0" w:lastRow="0" w:firstColumn="0" w:lastColumn="0" w:oddVBand="0" w:evenVBand="0" w:oddHBand="0" w:evenHBand="0" w:firstRowFirstColumn="0" w:firstRowLastColumn="0" w:lastRowFirstColumn="0" w:lastRowLastColumn="0"/>
            </w:pPr>
            <w:r>
              <w:t>Switzerland</w:t>
            </w:r>
          </w:p>
        </w:tc>
      </w:tr>
      <w:tr w:rsidR="00D44EFC" w14:paraId="7F8B4E56" w14:textId="77777777" w:rsidTr="009D36B4">
        <w:tc>
          <w:tcPr>
            <w:cnfStyle w:val="001000000000" w:firstRow="0" w:lastRow="0" w:firstColumn="1" w:lastColumn="0" w:oddVBand="0" w:evenVBand="0" w:oddHBand="0" w:evenHBand="0" w:firstRowFirstColumn="0" w:firstRowLastColumn="0" w:lastRowFirstColumn="0" w:lastRowLastColumn="0"/>
            <w:tcW w:w="1870" w:type="dxa"/>
          </w:tcPr>
          <w:p w14:paraId="44807F40" w14:textId="52D18D0F" w:rsidR="00D44EFC" w:rsidRDefault="00D44EFC">
            <w:r>
              <w:t>Fixing Calendar</w:t>
            </w:r>
          </w:p>
        </w:tc>
        <w:tc>
          <w:tcPr>
            <w:tcW w:w="1870" w:type="dxa"/>
          </w:tcPr>
          <w:p w14:paraId="109E9D9C" w14:textId="038F728F" w:rsidR="00D44EFC" w:rsidRDefault="00D44EFC">
            <w:pPr>
              <w:cnfStyle w:val="000000000000" w:firstRow="0" w:lastRow="0" w:firstColumn="0" w:lastColumn="0" w:oddVBand="0" w:evenVBand="0" w:oddHBand="0" w:evenHBand="0" w:firstRowFirstColumn="0" w:firstRowLastColumn="0" w:lastRowFirstColumn="0" w:lastRowLastColumn="0"/>
            </w:pPr>
            <w:r>
              <w:t>England</w:t>
            </w:r>
          </w:p>
        </w:tc>
        <w:tc>
          <w:tcPr>
            <w:tcW w:w="1870" w:type="dxa"/>
          </w:tcPr>
          <w:p w14:paraId="3011179B" w14:textId="24080B89" w:rsidR="00D44EFC" w:rsidRDefault="00576631">
            <w:pPr>
              <w:cnfStyle w:val="000000000000" w:firstRow="0" w:lastRow="0" w:firstColumn="0" w:lastColumn="0" w:oddVBand="0" w:evenVBand="0" w:oddHBand="0" w:evenHBand="0" w:firstRowFirstColumn="0" w:firstRowLastColumn="0" w:lastRowFirstColumn="0" w:lastRowLastColumn="0"/>
            </w:pPr>
            <w:r>
              <w:t>Canada</w:t>
            </w:r>
          </w:p>
        </w:tc>
        <w:tc>
          <w:tcPr>
            <w:tcW w:w="1870" w:type="dxa"/>
          </w:tcPr>
          <w:p w14:paraId="1AC3560D" w14:textId="65611B50" w:rsidR="00D44EFC" w:rsidRDefault="009D36B4">
            <w:pPr>
              <w:cnfStyle w:val="000000000000" w:firstRow="0" w:lastRow="0" w:firstColumn="0" w:lastColumn="0" w:oddVBand="0" w:evenVBand="0" w:oddHBand="0" w:evenHBand="0" w:firstRowFirstColumn="0" w:firstRowLastColumn="0" w:lastRowFirstColumn="0" w:lastRowLastColumn="0"/>
            </w:pPr>
            <w:r>
              <w:t>England</w:t>
            </w:r>
          </w:p>
        </w:tc>
        <w:tc>
          <w:tcPr>
            <w:tcW w:w="1870" w:type="dxa"/>
          </w:tcPr>
          <w:p w14:paraId="52C8E1CD" w14:textId="34CEBB6C" w:rsidR="00D44EFC" w:rsidRDefault="009D36B4">
            <w:pPr>
              <w:cnfStyle w:val="000000000000" w:firstRow="0" w:lastRow="0" w:firstColumn="0" w:lastColumn="0" w:oddVBand="0" w:evenVBand="0" w:oddHBand="0" w:evenHBand="0" w:firstRowFirstColumn="0" w:firstRowLastColumn="0" w:lastRowFirstColumn="0" w:lastRowLastColumn="0"/>
            </w:pPr>
            <w:r>
              <w:t>England</w:t>
            </w:r>
          </w:p>
        </w:tc>
      </w:tr>
      <w:tr w:rsidR="00D44EFC" w14:paraId="0D0C5C71" w14:textId="77777777" w:rsidTr="009D36B4">
        <w:tc>
          <w:tcPr>
            <w:cnfStyle w:val="001000000000" w:firstRow="0" w:lastRow="0" w:firstColumn="1" w:lastColumn="0" w:oddVBand="0" w:evenVBand="0" w:oddHBand="0" w:evenHBand="0" w:firstRowFirstColumn="0" w:firstRowLastColumn="0" w:lastRowFirstColumn="0" w:lastRowLastColumn="0"/>
            <w:tcW w:w="1870" w:type="dxa"/>
          </w:tcPr>
          <w:p w14:paraId="295209C2" w14:textId="18064E4F" w:rsidR="00D44EFC" w:rsidRDefault="00D44EFC">
            <w:r>
              <w:lastRenderedPageBreak/>
              <w:t>Fixing Lag</w:t>
            </w:r>
          </w:p>
        </w:tc>
        <w:tc>
          <w:tcPr>
            <w:tcW w:w="1870" w:type="dxa"/>
          </w:tcPr>
          <w:p w14:paraId="4B4D1A16" w14:textId="2145032A" w:rsidR="00D44EFC" w:rsidRDefault="00D44EFC">
            <w:pPr>
              <w:cnfStyle w:val="000000000000" w:firstRow="0" w:lastRow="0" w:firstColumn="0" w:lastColumn="0" w:oddVBand="0" w:evenVBand="0" w:oddHBand="0" w:evenHBand="0" w:firstRowFirstColumn="0" w:firstRowLastColumn="0" w:lastRowFirstColumn="0" w:lastRowLastColumn="0"/>
            </w:pPr>
            <w:r>
              <w:t>2 business days</w:t>
            </w:r>
          </w:p>
        </w:tc>
        <w:tc>
          <w:tcPr>
            <w:tcW w:w="1870" w:type="dxa"/>
          </w:tcPr>
          <w:p w14:paraId="67EEAA30" w14:textId="0AF5AFE9" w:rsidR="00D44EFC" w:rsidRDefault="00576631">
            <w:pPr>
              <w:cnfStyle w:val="000000000000" w:firstRow="0" w:lastRow="0" w:firstColumn="0" w:lastColumn="0" w:oddVBand="0" w:evenVBand="0" w:oddHBand="0" w:evenHBand="0" w:firstRowFirstColumn="0" w:firstRowLastColumn="0" w:lastRowFirstColumn="0" w:lastRowLastColumn="0"/>
            </w:pPr>
            <w:r>
              <w:t>0 days</w:t>
            </w:r>
          </w:p>
        </w:tc>
        <w:tc>
          <w:tcPr>
            <w:tcW w:w="1870" w:type="dxa"/>
          </w:tcPr>
          <w:p w14:paraId="4A03D85E" w14:textId="3D9DD4C5" w:rsidR="00D44EFC" w:rsidRDefault="009D36B4">
            <w:pPr>
              <w:cnfStyle w:val="000000000000" w:firstRow="0" w:lastRow="0" w:firstColumn="0" w:lastColumn="0" w:oddVBand="0" w:evenVBand="0" w:oddHBand="0" w:evenHBand="0" w:firstRowFirstColumn="0" w:firstRowLastColumn="0" w:lastRowFirstColumn="0" w:lastRowLastColumn="0"/>
            </w:pPr>
            <w:r>
              <w:t>0 days</w:t>
            </w:r>
          </w:p>
        </w:tc>
        <w:tc>
          <w:tcPr>
            <w:tcW w:w="1870" w:type="dxa"/>
          </w:tcPr>
          <w:p w14:paraId="10905B54" w14:textId="7519384C" w:rsidR="00D44EFC" w:rsidRDefault="009D36B4">
            <w:pPr>
              <w:cnfStyle w:val="000000000000" w:firstRow="0" w:lastRow="0" w:firstColumn="0" w:lastColumn="0" w:oddVBand="0" w:evenVBand="0" w:oddHBand="0" w:evenHBand="0" w:firstRowFirstColumn="0" w:firstRowLastColumn="0" w:lastRowFirstColumn="0" w:lastRowLastColumn="0"/>
            </w:pPr>
            <w:r>
              <w:t>2 business days</w:t>
            </w:r>
          </w:p>
        </w:tc>
      </w:tr>
      <w:tr w:rsidR="00D44EFC" w14:paraId="401C5CA9" w14:textId="77777777" w:rsidTr="009D36B4">
        <w:tc>
          <w:tcPr>
            <w:cnfStyle w:val="001000000000" w:firstRow="0" w:lastRow="0" w:firstColumn="1" w:lastColumn="0" w:oddVBand="0" w:evenVBand="0" w:oddHBand="0" w:evenHBand="0" w:firstRowFirstColumn="0" w:firstRowLastColumn="0" w:lastRowFirstColumn="0" w:lastRowLastColumn="0"/>
            <w:tcW w:w="1870" w:type="dxa"/>
          </w:tcPr>
          <w:p w14:paraId="48CA6550" w14:textId="2FD0E3B1" w:rsidR="00D44EFC" w:rsidRDefault="00D44EFC">
            <w:r>
              <w:t>Pay Delay</w:t>
            </w:r>
          </w:p>
        </w:tc>
        <w:tc>
          <w:tcPr>
            <w:tcW w:w="1870" w:type="dxa"/>
          </w:tcPr>
          <w:p w14:paraId="179D95FE" w14:textId="1249511A" w:rsidR="00D44EFC" w:rsidRDefault="00D44EFC">
            <w:pPr>
              <w:cnfStyle w:val="000000000000" w:firstRow="0" w:lastRow="0" w:firstColumn="0" w:lastColumn="0" w:oddVBand="0" w:evenVBand="0" w:oddHBand="0" w:evenHBand="0" w:firstRowFirstColumn="0" w:firstRowLastColumn="0" w:lastRowFirstColumn="0" w:lastRowLastColumn="0"/>
            </w:pPr>
            <w:r>
              <w:t>0 days</w:t>
            </w:r>
          </w:p>
        </w:tc>
        <w:tc>
          <w:tcPr>
            <w:tcW w:w="1870" w:type="dxa"/>
          </w:tcPr>
          <w:p w14:paraId="138FE248" w14:textId="297E0A5D" w:rsidR="00D44EFC" w:rsidRDefault="00576631">
            <w:pPr>
              <w:cnfStyle w:val="000000000000" w:firstRow="0" w:lastRow="0" w:firstColumn="0" w:lastColumn="0" w:oddVBand="0" w:evenVBand="0" w:oddHBand="0" w:evenHBand="0" w:firstRowFirstColumn="0" w:firstRowLastColumn="0" w:lastRowFirstColumn="0" w:lastRowLastColumn="0"/>
            </w:pPr>
            <w:r>
              <w:t>0 days</w:t>
            </w:r>
          </w:p>
        </w:tc>
        <w:tc>
          <w:tcPr>
            <w:tcW w:w="1870" w:type="dxa"/>
          </w:tcPr>
          <w:p w14:paraId="11E88FB1" w14:textId="645186C3" w:rsidR="00D44EFC" w:rsidRDefault="009D36B4">
            <w:pPr>
              <w:cnfStyle w:val="000000000000" w:firstRow="0" w:lastRow="0" w:firstColumn="0" w:lastColumn="0" w:oddVBand="0" w:evenVBand="0" w:oddHBand="0" w:evenHBand="0" w:firstRowFirstColumn="0" w:firstRowLastColumn="0" w:lastRowFirstColumn="0" w:lastRowLastColumn="0"/>
            </w:pPr>
            <w:r>
              <w:t>0 days</w:t>
            </w:r>
          </w:p>
        </w:tc>
        <w:tc>
          <w:tcPr>
            <w:tcW w:w="1870" w:type="dxa"/>
          </w:tcPr>
          <w:p w14:paraId="21DD413C" w14:textId="59C0EB9E" w:rsidR="00D44EFC" w:rsidRDefault="009D36B4">
            <w:pPr>
              <w:cnfStyle w:val="000000000000" w:firstRow="0" w:lastRow="0" w:firstColumn="0" w:lastColumn="0" w:oddVBand="0" w:evenVBand="0" w:oddHBand="0" w:evenHBand="0" w:firstRowFirstColumn="0" w:firstRowLastColumn="0" w:lastRowFirstColumn="0" w:lastRowLastColumn="0"/>
            </w:pPr>
            <w:r>
              <w:t>0 days</w:t>
            </w:r>
          </w:p>
        </w:tc>
      </w:tr>
      <w:tr w:rsidR="00576631" w14:paraId="35F60BA2" w14:textId="77777777" w:rsidTr="009D36B4">
        <w:tc>
          <w:tcPr>
            <w:cnfStyle w:val="001000000000" w:firstRow="0" w:lastRow="0" w:firstColumn="1" w:lastColumn="0" w:oddVBand="0" w:evenVBand="0" w:oddHBand="0" w:evenHBand="0" w:firstRowFirstColumn="0" w:firstRowLastColumn="0" w:lastRowFirstColumn="0" w:lastRowLastColumn="0"/>
            <w:tcW w:w="1870" w:type="dxa"/>
          </w:tcPr>
          <w:p w14:paraId="5E986982" w14:textId="2C7403FF" w:rsidR="00576631" w:rsidRDefault="00576631">
            <w:r>
              <w:t>Reset Position</w:t>
            </w:r>
          </w:p>
        </w:tc>
        <w:tc>
          <w:tcPr>
            <w:tcW w:w="1870" w:type="dxa"/>
          </w:tcPr>
          <w:p w14:paraId="18148F33" w14:textId="4E0FBCBA" w:rsidR="00576631" w:rsidRDefault="00576631">
            <w:pPr>
              <w:cnfStyle w:val="000000000000" w:firstRow="0" w:lastRow="0" w:firstColumn="0" w:lastColumn="0" w:oddVBand="0" w:evenVBand="0" w:oddHBand="0" w:evenHBand="0" w:firstRowFirstColumn="0" w:firstRowLastColumn="0" w:lastRowFirstColumn="0" w:lastRowLastColumn="0"/>
            </w:pPr>
            <w:r>
              <w:t>Advance</w:t>
            </w:r>
          </w:p>
        </w:tc>
        <w:tc>
          <w:tcPr>
            <w:tcW w:w="1870" w:type="dxa"/>
          </w:tcPr>
          <w:p w14:paraId="67C64B60" w14:textId="17F36C2B" w:rsidR="00576631" w:rsidRDefault="00576631">
            <w:pPr>
              <w:cnfStyle w:val="000000000000" w:firstRow="0" w:lastRow="0" w:firstColumn="0" w:lastColumn="0" w:oddVBand="0" w:evenVBand="0" w:oddHBand="0" w:evenHBand="0" w:firstRowFirstColumn="0" w:firstRowLastColumn="0" w:lastRowFirstColumn="0" w:lastRowLastColumn="0"/>
            </w:pPr>
            <w:r>
              <w:t>Advance</w:t>
            </w:r>
          </w:p>
        </w:tc>
        <w:tc>
          <w:tcPr>
            <w:tcW w:w="1870" w:type="dxa"/>
          </w:tcPr>
          <w:p w14:paraId="3D469664" w14:textId="7D6F5782" w:rsidR="00576631" w:rsidRDefault="009D36B4">
            <w:pPr>
              <w:cnfStyle w:val="000000000000" w:firstRow="0" w:lastRow="0" w:firstColumn="0" w:lastColumn="0" w:oddVBand="0" w:evenVBand="0" w:oddHBand="0" w:evenHBand="0" w:firstRowFirstColumn="0" w:firstRowLastColumn="0" w:lastRowFirstColumn="0" w:lastRowLastColumn="0"/>
            </w:pPr>
            <w:r>
              <w:t>Advance</w:t>
            </w:r>
          </w:p>
        </w:tc>
        <w:tc>
          <w:tcPr>
            <w:tcW w:w="1870" w:type="dxa"/>
          </w:tcPr>
          <w:p w14:paraId="58043F1C" w14:textId="7B2B6E9D" w:rsidR="00576631" w:rsidRDefault="009D36B4">
            <w:pPr>
              <w:cnfStyle w:val="000000000000" w:firstRow="0" w:lastRow="0" w:firstColumn="0" w:lastColumn="0" w:oddVBand="0" w:evenVBand="0" w:oddHBand="0" w:evenHBand="0" w:firstRowFirstColumn="0" w:firstRowLastColumn="0" w:lastRowFirstColumn="0" w:lastRowLastColumn="0"/>
            </w:pPr>
            <w:r>
              <w:t>Advance</w:t>
            </w:r>
          </w:p>
        </w:tc>
      </w:tr>
    </w:tbl>
    <w:p w14:paraId="4305FB36" w14:textId="77777777" w:rsidR="00AC50A7" w:rsidRDefault="00AC50A7"/>
    <w:p w14:paraId="276E4A65" w14:textId="7F384D9B" w:rsidR="002061F0" w:rsidRDefault="002061F0">
      <w:proofErr w:type="spellStart"/>
      <w:r>
        <w:t>Defintions</w:t>
      </w:r>
      <w:proofErr w:type="spellEnd"/>
    </w:p>
    <w:p w14:paraId="1326933A" w14:textId="77777777" w:rsidR="002061F0" w:rsidRPr="002061F0" w:rsidRDefault="002061F0" w:rsidP="002061F0">
      <w:pPr>
        <w:rPr>
          <w:b/>
          <w:bCs/>
        </w:rPr>
      </w:pPr>
      <w:r w:rsidRPr="002061F0">
        <w:rPr>
          <w:b/>
          <w:bCs/>
        </w:rPr>
        <w:t>Settlement</w:t>
      </w:r>
    </w:p>
    <w:p w14:paraId="49EAE59F" w14:textId="77777777" w:rsidR="002061F0" w:rsidRPr="002061F0" w:rsidRDefault="002061F0" w:rsidP="002061F0">
      <w:r w:rsidRPr="002061F0">
        <w:t xml:space="preserve">Settlement refers to the number of business days after the trade date when the swap contract is </w:t>
      </w:r>
      <w:proofErr w:type="gramStart"/>
      <w:r w:rsidRPr="002061F0">
        <w:t>finalized</w:t>
      </w:r>
      <w:proofErr w:type="gramEnd"/>
      <w:r w:rsidRPr="002061F0">
        <w:t xml:space="preserve"> and payments are made. The most common conventions are T+0, T+2, and T+3, where "T" represents the trade date, and the number indicates how many business days after the trade date settlement occurs. For example, in a T+2 settlement, the settlement occurs two business days after the contract is executed.</w:t>
      </w:r>
    </w:p>
    <w:p w14:paraId="5377DE86" w14:textId="77777777" w:rsidR="002061F0" w:rsidRPr="002061F0" w:rsidRDefault="002061F0" w:rsidP="002061F0">
      <w:pPr>
        <w:rPr>
          <w:b/>
          <w:bCs/>
        </w:rPr>
      </w:pPr>
      <w:r w:rsidRPr="002061F0">
        <w:rPr>
          <w:b/>
          <w:bCs/>
        </w:rPr>
        <w:t>Fixed Leg</w:t>
      </w:r>
    </w:p>
    <w:p w14:paraId="38A0ABBF" w14:textId="77777777" w:rsidR="002061F0" w:rsidRPr="002061F0" w:rsidRDefault="002061F0" w:rsidP="002061F0">
      <w:r w:rsidRPr="002061F0">
        <w:t>The fixed leg of an interest rate swap refers to the portion of the swap where the payer makes periodic payments at a fixed interest rate, which is predetermined and remains constant throughout the life of the swap. The characteristics below describe various conventions associated with this leg.</w:t>
      </w:r>
    </w:p>
    <w:p w14:paraId="06E99BE7" w14:textId="77777777" w:rsidR="002061F0" w:rsidRPr="002061F0" w:rsidRDefault="002061F0" w:rsidP="002061F0">
      <w:pPr>
        <w:pStyle w:val="ListParagraph"/>
        <w:numPr>
          <w:ilvl w:val="0"/>
          <w:numId w:val="3"/>
        </w:numPr>
      </w:pPr>
      <w:r w:rsidRPr="002061F0">
        <w:t>Day Count Convention: This convention determines how interest accrues over time, using fractions of a year based on the number of days between two dates. Common conventions include:</w:t>
      </w:r>
    </w:p>
    <w:p w14:paraId="4B0E9468" w14:textId="77777777" w:rsidR="002061F0" w:rsidRPr="002061F0" w:rsidRDefault="002061F0" w:rsidP="002061F0">
      <w:pPr>
        <w:pStyle w:val="ListParagraph"/>
        <w:numPr>
          <w:ilvl w:val="1"/>
          <w:numId w:val="3"/>
        </w:numPr>
      </w:pPr>
      <w:r w:rsidRPr="002061F0">
        <w:t>30I/360: Assumes each month has 30 days and a year has 360 days. It simplifies calculations but may deviate slightly from actual time.</w:t>
      </w:r>
    </w:p>
    <w:p w14:paraId="0960290F" w14:textId="77777777" w:rsidR="002061F0" w:rsidRPr="002061F0" w:rsidRDefault="002061F0" w:rsidP="002061F0">
      <w:pPr>
        <w:pStyle w:val="ListParagraph"/>
        <w:numPr>
          <w:ilvl w:val="1"/>
          <w:numId w:val="3"/>
        </w:numPr>
      </w:pPr>
      <w:r w:rsidRPr="002061F0">
        <w:t>ACT/365.FIXED: Uses the actual number of days in a period, dividing by a fixed 365-day year.</w:t>
      </w:r>
    </w:p>
    <w:p w14:paraId="4913DEAB" w14:textId="77777777" w:rsidR="002061F0" w:rsidRPr="002061F0" w:rsidRDefault="002061F0" w:rsidP="002061F0">
      <w:pPr>
        <w:pStyle w:val="ListParagraph"/>
        <w:numPr>
          <w:ilvl w:val="0"/>
          <w:numId w:val="3"/>
        </w:numPr>
      </w:pPr>
      <w:r w:rsidRPr="002061F0">
        <w:t>Payment Frequency: This defines how often payments are made on the fixed leg. For instance, "semiannual" means payments are made twice a year, while "annual" means once a year.</w:t>
      </w:r>
    </w:p>
    <w:p w14:paraId="1A522522" w14:textId="77777777" w:rsidR="002061F0" w:rsidRPr="002061F0" w:rsidRDefault="002061F0" w:rsidP="002061F0">
      <w:pPr>
        <w:pStyle w:val="ListParagraph"/>
        <w:numPr>
          <w:ilvl w:val="0"/>
          <w:numId w:val="3"/>
        </w:numPr>
      </w:pPr>
      <w:r w:rsidRPr="002061F0">
        <w:t>Business Day Adjustment Convention: When a payment date falls on a non-business day, this convention dictates how the date is adjusted. A "Modified Following" convention means payments are pushed to the next business day unless that day falls in the next month, in which case payments are moved backward to the preceding business day.</w:t>
      </w:r>
    </w:p>
    <w:p w14:paraId="5C67491D" w14:textId="77777777" w:rsidR="002061F0" w:rsidRPr="002061F0" w:rsidRDefault="002061F0" w:rsidP="002061F0">
      <w:pPr>
        <w:pStyle w:val="ListParagraph"/>
        <w:numPr>
          <w:ilvl w:val="0"/>
          <w:numId w:val="3"/>
        </w:numPr>
      </w:pPr>
      <w:r w:rsidRPr="002061F0">
        <w:t>Adjustment Type: Adjustment type refers to which dates are adjusted when a business day adjustment is necessary. For example, in "Accrual and Payment Dates" adjustment, both the accrual period and the payment date will be adjusted if necessary.</w:t>
      </w:r>
    </w:p>
    <w:p w14:paraId="016CCD7B" w14:textId="77777777" w:rsidR="002061F0" w:rsidRPr="002061F0" w:rsidRDefault="002061F0" w:rsidP="002061F0">
      <w:pPr>
        <w:pStyle w:val="ListParagraph"/>
        <w:numPr>
          <w:ilvl w:val="0"/>
          <w:numId w:val="3"/>
        </w:numPr>
      </w:pPr>
      <w:r w:rsidRPr="002061F0">
        <w:t>Roll Convention: The roll convention specifies how payment dates are set relative to a reference date, typically whether payments move forward or backward when adjusting for business days. A "Backward" roll moves the date to the nearest preceding business day, while "Backward (EOM)" additionally ensures payments align with end-of-month periods.</w:t>
      </w:r>
    </w:p>
    <w:p w14:paraId="4613A965" w14:textId="77777777" w:rsidR="002061F0" w:rsidRPr="002061F0" w:rsidRDefault="002061F0" w:rsidP="002061F0">
      <w:pPr>
        <w:pStyle w:val="ListParagraph"/>
        <w:numPr>
          <w:ilvl w:val="0"/>
          <w:numId w:val="3"/>
        </w:numPr>
      </w:pPr>
      <w:r w:rsidRPr="002061F0">
        <w:t xml:space="preserve">Accrual Calculation Calendar: This calendar determines which set of business days are considered in calculating the accrual of interest payments. For example, the "US </w:t>
      </w:r>
      <w:r w:rsidRPr="002061F0">
        <w:lastRenderedPageBreak/>
        <w:t>Federal Reserve" calendar includes only U.S. federal holidays, while the "England" calendar takes U.K. public holidays into account.</w:t>
      </w:r>
    </w:p>
    <w:p w14:paraId="7B566CFE" w14:textId="77777777" w:rsidR="002061F0" w:rsidRPr="002061F0" w:rsidRDefault="002061F0" w:rsidP="002061F0">
      <w:pPr>
        <w:pStyle w:val="ListParagraph"/>
        <w:numPr>
          <w:ilvl w:val="0"/>
          <w:numId w:val="3"/>
        </w:numPr>
      </w:pPr>
      <w:r w:rsidRPr="002061F0">
        <w:t>Pay Delay: Pay delay refers to the number of days between the payment due date and the actual date the payment is made. For instance, "0 days" means payments are made on the due date.</w:t>
      </w:r>
    </w:p>
    <w:p w14:paraId="3DA047C1" w14:textId="77777777" w:rsidR="002061F0" w:rsidRPr="002061F0" w:rsidRDefault="002061F0" w:rsidP="002061F0">
      <w:pPr>
        <w:rPr>
          <w:b/>
          <w:bCs/>
        </w:rPr>
      </w:pPr>
      <w:r w:rsidRPr="002061F0">
        <w:rPr>
          <w:b/>
          <w:bCs/>
        </w:rPr>
        <w:t>Floating Leg</w:t>
      </w:r>
    </w:p>
    <w:p w14:paraId="48ED9E24" w14:textId="77777777" w:rsidR="002061F0" w:rsidRPr="002061F0" w:rsidRDefault="002061F0" w:rsidP="002061F0">
      <w:r w:rsidRPr="002061F0">
        <w:t>The floating leg of the swap is where payments are made based on a variable interest rate, which changes over time based on a reference index. The conventions below describe how these payments are structured.</w:t>
      </w:r>
    </w:p>
    <w:p w14:paraId="09A2D40E" w14:textId="77777777" w:rsidR="002061F0" w:rsidRPr="002061F0" w:rsidRDefault="002061F0" w:rsidP="002061F0">
      <w:pPr>
        <w:pStyle w:val="ListParagraph"/>
        <w:numPr>
          <w:ilvl w:val="0"/>
          <w:numId w:val="4"/>
        </w:numPr>
      </w:pPr>
      <w:r w:rsidRPr="002061F0">
        <w:t>Reference Index: The reference index is the benchmark interest rate that dictates the floating payments. Common indices include:</w:t>
      </w:r>
    </w:p>
    <w:p w14:paraId="46ADE2D8" w14:textId="77777777" w:rsidR="002061F0" w:rsidRPr="002061F0" w:rsidRDefault="002061F0" w:rsidP="002061F0">
      <w:pPr>
        <w:pStyle w:val="ListParagraph"/>
        <w:numPr>
          <w:ilvl w:val="1"/>
          <w:numId w:val="4"/>
        </w:numPr>
      </w:pPr>
      <w:r w:rsidRPr="002061F0">
        <w:t>USD LIBOR 3M: U.S. Dollar London Interbank Offered Rate for a 3-month period.</w:t>
      </w:r>
    </w:p>
    <w:p w14:paraId="17E4566E" w14:textId="77777777" w:rsidR="002061F0" w:rsidRPr="002061F0" w:rsidRDefault="002061F0" w:rsidP="002061F0">
      <w:pPr>
        <w:pStyle w:val="ListParagraph"/>
        <w:numPr>
          <w:ilvl w:val="1"/>
          <w:numId w:val="4"/>
        </w:numPr>
      </w:pPr>
      <w:r w:rsidRPr="002061F0">
        <w:t>CDOR 3M: Canadian Dollar Offered Rate for 3 months.</w:t>
      </w:r>
    </w:p>
    <w:p w14:paraId="2DD48B42" w14:textId="77777777" w:rsidR="002061F0" w:rsidRPr="002061F0" w:rsidRDefault="002061F0" w:rsidP="002061F0">
      <w:pPr>
        <w:pStyle w:val="ListParagraph"/>
        <w:numPr>
          <w:ilvl w:val="1"/>
          <w:numId w:val="4"/>
        </w:numPr>
      </w:pPr>
      <w:r w:rsidRPr="002061F0">
        <w:t>GBP LIBOR 6M: British Pound LIBOR for 6 months.</w:t>
      </w:r>
    </w:p>
    <w:p w14:paraId="4DEF3FE3" w14:textId="77777777" w:rsidR="002061F0" w:rsidRPr="002061F0" w:rsidRDefault="002061F0" w:rsidP="002061F0">
      <w:pPr>
        <w:pStyle w:val="ListParagraph"/>
        <w:numPr>
          <w:ilvl w:val="1"/>
          <w:numId w:val="4"/>
        </w:numPr>
      </w:pPr>
      <w:r w:rsidRPr="002061F0">
        <w:t>CHF LIBOR 6M: Swiss Franc LIBOR for 6 months.</w:t>
      </w:r>
    </w:p>
    <w:p w14:paraId="6E72CA4B" w14:textId="77777777" w:rsidR="002061F0" w:rsidRPr="002061F0" w:rsidRDefault="002061F0" w:rsidP="002061F0">
      <w:pPr>
        <w:pStyle w:val="ListParagraph"/>
        <w:numPr>
          <w:ilvl w:val="0"/>
          <w:numId w:val="4"/>
        </w:numPr>
      </w:pPr>
      <w:r w:rsidRPr="002061F0">
        <w:t>Reset Frequency: This determines how often the floating rate is recalculated or "reset." For example, a quarterly reset means the floating rate is updated every three months.</w:t>
      </w:r>
    </w:p>
    <w:p w14:paraId="04818EFE" w14:textId="77777777" w:rsidR="002061F0" w:rsidRPr="002061F0" w:rsidRDefault="002061F0" w:rsidP="002061F0">
      <w:pPr>
        <w:pStyle w:val="ListParagraph"/>
        <w:numPr>
          <w:ilvl w:val="0"/>
          <w:numId w:val="4"/>
        </w:numPr>
      </w:pPr>
      <w:r w:rsidRPr="002061F0">
        <w:t>Fixing Calendar: This refers to the calendar used to determine when the floating rate is fixed or set. For example, the "England" fixing calendar means rates are set according to U.K. business days.</w:t>
      </w:r>
    </w:p>
    <w:p w14:paraId="79575B65" w14:textId="77777777" w:rsidR="002061F0" w:rsidRPr="002061F0" w:rsidRDefault="002061F0" w:rsidP="002061F0">
      <w:pPr>
        <w:pStyle w:val="ListParagraph"/>
        <w:numPr>
          <w:ilvl w:val="0"/>
          <w:numId w:val="4"/>
        </w:numPr>
      </w:pPr>
      <w:r w:rsidRPr="002061F0">
        <w:t>Fixing Lag: Fixing lag defines how many days in advance the floating rate is determined before the payment period begins. For instance, a "2 business days" fixing lag means the floating rate is set two days before the payment is due.</w:t>
      </w:r>
    </w:p>
    <w:p w14:paraId="48F9DE38" w14:textId="77777777" w:rsidR="002061F0" w:rsidRPr="002061F0" w:rsidRDefault="002061F0" w:rsidP="002061F0">
      <w:pPr>
        <w:pStyle w:val="ListParagraph"/>
        <w:numPr>
          <w:ilvl w:val="0"/>
          <w:numId w:val="4"/>
        </w:numPr>
      </w:pPr>
      <w:r w:rsidRPr="002061F0">
        <w:t>Reset Position: "Advance" reset position means the floating rate is set at the beginning of the interest period and applied throughout the period.</w:t>
      </w:r>
    </w:p>
    <w:p w14:paraId="3D5DAC7F" w14:textId="77777777" w:rsidR="002061F0" w:rsidRDefault="002061F0"/>
    <w:sectPr w:rsidR="002061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EC58CA"/>
    <w:multiLevelType w:val="multilevel"/>
    <w:tmpl w:val="2BC44B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BE7AC5"/>
    <w:multiLevelType w:val="hybridMultilevel"/>
    <w:tmpl w:val="D4E28A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257A3B"/>
    <w:multiLevelType w:val="multilevel"/>
    <w:tmpl w:val="E4F2D9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F15133"/>
    <w:multiLevelType w:val="hybridMultilevel"/>
    <w:tmpl w:val="47F4F2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18586429">
    <w:abstractNumId w:val="2"/>
  </w:num>
  <w:num w:numId="2" w16cid:durableId="797337660">
    <w:abstractNumId w:val="0"/>
  </w:num>
  <w:num w:numId="3" w16cid:durableId="858741640">
    <w:abstractNumId w:val="1"/>
  </w:num>
  <w:num w:numId="4" w16cid:durableId="11660177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0A7"/>
    <w:rsid w:val="002061F0"/>
    <w:rsid w:val="002E6207"/>
    <w:rsid w:val="003D1958"/>
    <w:rsid w:val="004044E0"/>
    <w:rsid w:val="00576631"/>
    <w:rsid w:val="009B1E57"/>
    <w:rsid w:val="009D36B4"/>
    <w:rsid w:val="00AC50A7"/>
    <w:rsid w:val="00D44EFC"/>
    <w:rsid w:val="00D50F5D"/>
    <w:rsid w:val="00E37643"/>
    <w:rsid w:val="00E97FFE"/>
    <w:rsid w:val="00FA6425"/>
    <w:rsid w:val="00FC39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6FC84F"/>
  <w15:chartTrackingRefBased/>
  <w15:docId w15:val="{9D95E2E2-C086-A047-8561-FB64560E9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50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C50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C50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C50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50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C50A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50A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50A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50A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50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C50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C50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C50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50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C50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50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50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50A7"/>
    <w:rPr>
      <w:rFonts w:eastAsiaTheme="majorEastAsia" w:cstheme="majorBidi"/>
      <w:color w:val="272727" w:themeColor="text1" w:themeTint="D8"/>
    </w:rPr>
  </w:style>
  <w:style w:type="paragraph" w:styleId="Title">
    <w:name w:val="Title"/>
    <w:basedOn w:val="Normal"/>
    <w:next w:val="Normal"/>
    <w:link w:val="TitleChar"/>
    <w:uiPriority w:val="10"/>
    <w:qFormat/>
    <w:rsid w:val="00AC50A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50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50A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50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50A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C50A7"/>
    <w:rPr>
      <w:i/>
      <w:iCs/>
      <w:color w:val="404040" w:themeColor="text1" w:themeTint="BF"/>
    </w:rPr>
  </w:style>
  <w:style w:type="paragraph" w:styleId="ListParagraph">
    <w:name w:val="List Paragraph"/>
    <w:basedOn w:val="Normal"/>
    <w:uiPriority w:val="34"/>
    <w:qFormat/>
    <w:rsid w:val="00AC50A7"/>
    <w:pPr>
      <w:ind w:left="720"/>
      <w:contextualSpacing/>
    </w:pPr>
  </w:style>
  <w:style w:type="character" w:styleId="IntenseEmphasis">
    <w:name w:val="Intense Emphasis"/>
    <w:basedOn w:val="DefaultParagraphFont"/>
    <w:uiPriority w:val="21"/>
    <w:qFormat/>
    <w:rsid w:val="00AC50A7"/>
    <w:rPr>
      <w:i/>
      <w:iCs/>
      <w:color w:val="0F4761" w:themeColor="accent1" w:themeShade="BF"/>
    </w:rPr>
  </w:style>
  <w:style w:type="paragraph" w:styleId="IntenseQuote">
    <w:name w:val="Intense Quote"/>
    <w:basedOn w:val="Normal"/>
    <w:next w:val="Normal"/>
    <w:link w:val="IntenseQuoteChar"/>
    <w:uiPriority w:val="30"/>
    <w:qFormat/>
    <w:rsid w:val="00AC50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50A7"/>
    <w:rPr>
      <w:i/>
      <w:iCs/>
      <w:color w:val="0F4761" w:themeColor="accent1" w:themeShade="BF"/>
    </w:rPr>
  </w:style>
  <w:style w:type="character" w:styleId="IntenseReference">
    <w:name w:val="Intense Reference"/>
    <w:basedOn w:val="DefaultParagraphFont"/>
    <w:uiPriority w:val="32"/>
    <w:qFormat/>
    <w:rsid w:val="00AC50A7"/>
    <w:rPr>
      <w:b/>
      <w:bCs/>
      <w:smallCaps/>
      <w:color w:val="0F4761" w:themeColor="accent1" w:themeShade="BF"/>
      <w:spacing w:val="5"/>
    </w:rPr>
  </w:style>
  <w:style w:type="table" w:styleId="TableGrid">
    <w:name w:val="Table Grid"/>
    <w:basedOn w:val="TableNormal"/>
    <w:uiPriority w:val="39"/>
    <w:rsid w:val="00AC50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9D36B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9D36B4"/>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6931695">
      <w:bodyDiv w:val="1"/>
      <w:marLeft w:val="0"/>
      <w:marRight w:val="0"/>
      <w:marTop w:val="0"/>
      <w:marBottom w:val="0"/>
      <w:divBdr>
        <w:top w:val="none" w:sz="0" w:space="0" w:color="auto"/>
        <w:left w:val="none" w:sz="0" w:space="0" w:color="auto"/>
        <w:bottom w:val="none" w:sz="0" w:space="0" w:color="auto"/>
        <w:right w:val="none" w:sz="0" w:space="0" w:color="auto"/>
      </w:divBdr>
    </w:div>
    <w:div w:id="376048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850</Words>
  <Characters>4848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Arnob Alam</dc:creator>
  <cp:keywords/>
  <dc:description/>
  <cp:lastModifiedBy>Arnob Alam</cp:lastModifiedBy>
  <cp:revision>2</cp:revision>
  <dcterms:created xsi:type="dcterms:W3CDTF">2024-09-27T15:57:00Z</dcterms:created>
  <dcterms:modified xsi:type="dcterms:W3CDTF">2024-09-27T16:51:00Z</dcterms:modified>
</cp:coreProperties>
</file>