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CB3AB" w14:textId="77777777" w:rsidR="00246A3C" w:rsidRDefault="00246A3C" w:rsidP="00246A3C">
      <w:pPr>
        <w:pStyle w:val="Heading1"/>
        <w:numPr>
          <w:ilvl w:val="0"/>
          <w:numId w:val="2"/>
        </w:numPr>
        <w:tabs>
          <w:tab w:val="num" w:pos="360"/>
        </w:tabs>
        <w:ind w:left="0" w:firstLine="0"/>
      </w:pPr>
      <w:bookmarkStart w:id="0" w:name="_Ref181435687"/>
      <w:r>
        <w:t>Contract Characteristics</w:t>
      </w:r>
      <w:bookmarkEnd w:id="0"/>
    </w:p>
    <w:p w14:paraId="2BE55CD9" w14:textId="77777777" w:rsidR="00246A3C" w:rsidRDefault="00246A3C" w:rsidP="00246A3C">
      <w:r>
        <w:t>This appendix lists the detailed characteristics of the “standard” (most liquid) interest-rate swaps contract for the currencies studied in this essay.</w:t>
      </w:r>
    </w:p>
    <w:p w14:paraId="1927AD60" w14:textId="2ED6EFBF" w:rsidR="00246A3C" w:rsidRDefault="00246A3C" w:rsidP="00246A3C">
      <w:pPr>
        <w:pStyle w:val="Caption"/>
        <w:keepNext/>
        <w:ind w:firstLine="0"/>
      </w:pPr>
      <w:r>
        <w:t xml:space="preserve">Table </w:t>
      </w:r>
      <w:fldSimple w:instr=" SEQ Table \* ARABIC ">
        <w:r w:rsidR="00647072">
          <w:rPr>
            <w:noProof/>
          </w:rPr>
          <w:t>1</w:t>
        </w:r>
      </w:fldSimple>
      <w:r>
        <w:rPr>
          <w:noProof/>
        </w:rPr>
        <w:t xml:space="preserve"> Contract characteristics for common contracts (Source: Bloomberg L.P.)</w:t>
      </w:r>
    </w:p>
    <w:tbl>
      <w:tblPr>
        <w:tblW w:w="0" w:type="auto"/>
        <w:tblLook w:val="04A0" w:firstRow="1" w:lastRow="0" w:firstColumn="1" w:lastColumn="0" w:noHBand="0" w:noVBand="1"/>
      </w:tblPr>
      <w:tblGrid>
        <w:gridCol w:w="1806"/>
        <w:gridCol w:w="1890"/>
        <w:gridCol w:w="1898"/>
        <w:gridCol w:w="1980"/>
        <w:gridCol w:w="1786"/>
      </w:tblGrid>
      <w:tr w:rsidR="00246A3C" w:rsidRPr="00F700F5" w14:paraId="540C16A6" w14:textId="77777777" w:rsidTr="0048442C">
        <w:tc>
          <w:tcPr>
            <w:tcW w:w="0" w:type="auto"/>
            <w:tcBorders>
              <w:bottom w:val="single" w:sz="4" w:space="0" w:color="auto"/>
            </w:tcBorders>
          </w:tcPr>
          <w:p w14:paraId="22330CBA" w14:textId="77777777" w:rsidR="00246A3C" w:rsidRPr="00F700F5" w:rsidRDefault="00246A3C" w:rsidP="0048442C">
            <w:pPr>
              <w:ind w:firstLine="0"/>
              <w:jc w:val="left"/>
              <w:rPr>
                <w:sz w:val="22"/>
                <w:szCs w:val="22"/>
              </w:rPr>
            </w:pPr>
            <w:r w:rsidRPr="00F700F5">
              <w:rPr>
                <w:sz w:val="22"/>
                <w:szCs w:val="22"/>
              </w:rPr>
              <w:t>Currency</w:t>
            </w:r>
          </w:p>
        </w:tc>
        <w:tc>
          <w:tcPr>
            <w:tcW w:w="0" w:type="auto"/>
            <w:tcBorders>
              <w:bottom w:val="single" w:sz="4" w:space="0" w:color="auto"/>
            </w:tcBorders>
          </w:tcPr>
          <w:p w14:paraId="1B7BEEAD" w14:textId="77777777" w:rsidR="00246A3C" w:rsidRPr="00F700F5" w:rsidRDefault="00246A3C" w:rsidP="0048442C">
            <w:pPr>
              <w:ind w:firstLine="0"/>
              <w:jc w:val="left"/>
              <w:rPr>
                <w:sz w:val="22"/>
                <w:szCs w:val="22"/>
              </w:rPr>
            </w:pPr>
            <w:r w:rsidRPr="00F700F5">
              <w:rPr>
                <w:sz w:val="22"/>
                <w:szCs w:val="22"/>
              </w:rPr>
              <w:t>USD</w:t>
            </w:r>
          </w:p>
        </w:tc>
        <w:tc>
          <w:tcPr>
            <w:tcW w:w="1898" w:type="dxa"/>
            <w:tcBorders>
              <w:bottom w:val="single" w:sz="4" w:space="0" w:color="auto"/>
            </w:tcBorders>
          </w:tcPr>
          <w:p w14:paraId="7C8011AD" w14:textId="77777777" w:rsidR="00246A3C" w:rsidRPr="00F700F5" w:rsidRDefault="00246A3C" w:rsidP="0048442C">
            <w:pPr>
              <w:ind w:firstLine="0"/>
              <w:jc w:val="left"/>
              <w:rPr>
                <w:sz w:val="22"/>
                <w:szCs w:val="22"/>
              </w:rPr>
            </w:pPr>
            <w:r w:rsidRPr="00F700F5">
              <w:rPr>
                <w:sz w:val="22"/>
                <w:szCs w:val="22"/>
              </w:rPr>
              <w:t>CAD</w:t>
            </w:r>
          </w:p>
        </w:tc>
        <w:tc>
          <w:tcPr>
            <w:tcW w:w="1980" w:type="dxa"/>
            <w:tcBorders>
              <w:bottom w:val="single" w:sz="4" w:space="0" w:color="auto"/>
            </w:tcBorders>
          </w:tcPr>
          <w:p w14:paraId="583307D7" w14:textId="77777777" w:rsidR="00246A3C" w:rsidRPr="00F700F5" w:rsidRDefault="00246A3C" w:rsidP="0048442C">
            <w:pPr>
              <w:ind w:firstLine="0"/>
              <w:jc w:val="left"/>
              <w:rPr>
                <w:sz w:val="22"/>
                <w:szCs w:val="22"/>
              </w:rPr>
            </w:pPr>
            <w:r w:rsidRPr="00F700F5">
              <w:rPr>
                <w:sz w:val="22"/>
                <w:szCs w:val="22"/>
              </w:rPr>
              <w:t>GBP</w:t>
            </w:r>
          </w:p>
        </w:tc>
        <w:tc>
          <w:tcPr>
            <w:tcW w:w="1786" w:type="dxa"/>
            <w:tcBorders>
              <w:bottom w:val="single" w:sz="4" w:space="0" w:color="auto"/>
            </w:tcBorders>
          </w:tcPr>
          <w:p w14:paraId="38C0B5D2" w14:textId="77777777" w:rsidR="00246A3C" w:rsidRPr="00F700F5" w:rsidRDefault="00246A3C" w:rsidP="0048442C">
            <w:pPr>
              <w:ind w:firstLine="0"/>
              <w:jc w:val="left"/>
              <w:rPr>
                <w:sz w:val="22"/>
                <w:szCs w:val="22"/>
              </w:rPr>
            </w:pPr>
            <w:r w:rsidRPr="00F700F5">
              <w:rPr>
                <w:sz w:val="22"/>
                <w:szCs w:val="22"/>
              </w:rPr>
              <w:t>CHF</w:t>
            </w:r>
          </w:p>
        </w:tc>
      </w:tr>
      <w:tr w:rsidR="00246A3C" w:rsidRPr="00F700F5" w14:paraId="057FFDBB" w14:textId="77777777" w:rsidTr="0048442C">
        <w:tc>
          <w:tcPr>
            <w:tcW w:w="0" w:type="auto"/>
            <w:tcBorders>
              <w:top w:val="single" w:sz="4" w:space="0" w:color="auto"/>
              <w:bottom w:val="single" w:sz="4" w:space="0" w:color="auto"/>
            </w:tcBorders>
          </w:tcPr>
          <w:p w14:paraId="6ECDC494" w14:textId="77777777" w:rsidR="00246A3C" w:rsidRPr="00F700F5" w:rsidRDefault="00246A3C" w:rsidP="0048442C">
            <w:pPr>
              <w:ind w:firstLine="0"/>
              <w:jc w:val="left"/>
              <w:rPr>
                <w:sz w:val="22"/>
                <w:szCs w:val="22"/>
              </w:rPr>
            </w:pPr>
            <w:r w:rsidRPr="00F700F5">
              <w:rPr>
                <w:sz w:val="22"/>
                <w:szCs w:val="22"/>
              </w:rPr>
              <w:t>Settlement</w:t>
            </w:r>
          </w:p>
        </w:tc>
        <w:tc>
          <w:tcPr>
            <w:tcW w:w="0" w:type="auto"/>
            <w:tcBorders>
              <w:top w:val="single" w:sz="4" w:space="0" w:color="auto"/>
              <w:bottom w:val="single" w:sz="4" w:space="0" w:color="auto"/>
            </w:tcBorders>
          </w:tcPr>
          <w:p w14:paraId="66FB5FA5" w14:textId="77777777" w:rsidR="00246A3C" w:rsidRPr="00F700F5" w:rsidRDefault="00246A3C" w:rsidP="0048442C">
            <w:pPr>
              <w:ind w:firstLine="0"/>
              <w:jc w:val="left"/>
              <w:rPr>
                <w:sz w:val="22"/>
                <w:szCs w:val="22"/>
              </w:rPr>
            </w:pPr>
            <w:r w:rsidRPr="00F700F5">
              <w:rPr>
                <w:sz w:val="22"/>
                <w:szCs w:val="22"/>
              </w:rPr>
              <w:t>T+2</w:t>
            </w:r>
          </w:p>
        </w:tc>
        <w:tc>
          <w:tcPr>
            <w:tcW w:w="1898" w:type="dxa"/>
            <w:tcBorders>
              <w:top w:val="single" w:sz="4" w:space="0" w:color="auto"/>
              <w:bottom w:val="single" w:sz="4" w:space="0" w:color="auto"/>
            </w:tcBorders>
          </w:tcPr>
          <w:p w14:paraId="54911CC6" w14:textId="77777777" w:rsidR="00246A3C" w:rsidRPr="00F700F5" w:rsidRDefault="00246A3C" w:rsidP="0048442C">
            <w:pPr>
              <w:ind w:firstLine="0"/>
              <w:jc w:val="left"/>
              <w:rPr>
                <w:sz w:val="22"/>
                <w:szCs w:val="22"/>
              </w:rPr>
            </w:pPr>
            <w:r w:rsidRPr="00F700F5">
              <w:rPr>
                <w:sz w:val="22"/>
                <w:szCs w:val="22"/>
              </w:rPr>
              <w:t>T+0</w:t>
            </w:r>
          </w:p>
        </w:tc>
        <w:tc>
          <w:tcPr>
            <w:tcW w:w="1980" w:type="dxa"/>
            <w:tcBorders>
              <w:top w:val="single" w:sz="4" w:space="0" w:color="auto"/>
              <w:bottom w:val="single" w:sz="4" w:space="0" w:color="auto"/>
            </w:tcBorders>
          </w:tcPr>
          <w:p w14:paraId="5E09BDFB" w14:textId="77777777" w:rsidR="00246A3C" w:rsidRPr="00F700F5" w:rsidRDefault="00246A3C" w:rsidP="0048442C">
            <w:pPr>
              <w:ind w:firstLine="0"/>
              <w:jc w:val="left"/>
              <w:rPr>
                <w:sz w:val="22"/>
                <w:szCs w:val="22"/>
              </w:rPr>
            </w:pPr>
            <w:r w:rsidRPr="00F700F5">
              <w:rPr>
                <w:sz w:val="22"/>
                <w:szCs w:val="22"/>
              </w:rPr>
              <w:t>T+0</w:t>
            </w:r>
          </w:p>
        </w:tc>
        <w:tc>
          <w:tcPr>
            <w:tcW w:w="1786" w:type="dxa"/>
            <w:tcBorders>
              <w:top w:val="single" w:sz="4" w:space="0" w:color="auto"/>
              <w:bottom w:val="single" w:sz="4" w:space="0" w:color="auto"/>
            </w:tcBorders>
          </w:tcPr>
          <w:p w14:paraId="36CA2F29" w14:textId="77777777" w:rsidR="00246A3C" w:rsidRPr="00F700F5" w:rsidRDefault="00246A3C" w:rsidP="0048442C">
            <w:pPr>
              <w:ind w:firstLine="0"/>
              <w:jc w:val="left"/>
              <w:rPr>
                <w:sz w:val="22"/>
                <w:szCs w:val="22"/>
              </w:rPr>
            </w:pPr>
            <w:r w:rsidRPr="00F700F5">
              <w:rPr>
                <w:sz w:val="22"/>
                <w:szCs w:val="22"/>
              </w:rPr>
              <w:t>T+2</w:t>
            </w:r>
          </w:p>
        </w:tc>
      </w:tr>
      <w:tr w:rsidR="00246A3C" w:rsidRPr="00F700F5" w14:paraId="184DD4AE" w14:textId="77777777" w:rsidTr="0048442C">
        <w:tc>
          <w:tcPr>
            <w:tcW w:w="0" w:type="auto"/>
            <w:gridSpan w:val="5"/>
            <w:tcBorders>
              <w:top w:val="single" w:sz="4" w:space="0" w:color="auto"/>
              <w:bottom w:val="single" w:sz="4" w:space="0" w:color="auto"/>
            </w:tcBorders>
          </w:tcPr>
          <w:p w14:paraId="1A35AD80" w14:textId="77777777" w:rsidR="00246A3C" w:rsidRPr="00F700F5" w:rsidRDefault="00246A3C" w:rsidP="0048442C">
            <w:pPr>
              <w:ind w:firstLine="0"/>
              <w:jc w:val="left"/>
              <w:rPr>
                <w:sz w:val="22"/>
                <w:szCs w:val="22"/>
              </w:rPr>
            </w:pPr>
            <w:r w:rsidRPr="00F700F5">
              <w:rPr>
                <w:sz w:val="22"/>
                <w:szCs w:val="22"/>
              </w:rPr>
              <w:t>Fixed Leg</w:t>
            </w:r>
          </w:p>
        </w:tc>
      </w:tr>
      <w:tr w:rsidR="00246A3C" w:rsidRPr="00F700F5" w14:paraId="664B4987" w14:textId="77777777" w:rsidTr="0048442C">
        <w:tc>
          <w:tcPr>
            <w:tcW w:w="0" w:type="auto"/>
            <w:tcBorders>
              <w:top w:val="single" w:sz="4" w:space="0" w:color="auto"/>
            </w:tcBorders>
          </w:tcPr>
          <w:p w14:paraId="7CE4CE21" w14:textId="77777777" w:rsidR="00246A3C" w:rsidRPr="00F700F5" w:rsidRDefault="00246A3C" w:rsidP="0048442C">
            <w:pPr>
              <w:ind w:firstLine="0"/>
              <w:jc w:val="left"/>
              <w:rPr>
                <w:sz w:val="22"/>
                <w:szCs w:val="22"/>
              </w:rPr>
            </w:pPr>
            <w:r w:rsidRPr="00F700F5">
              <w:rPr>
                <w:sz w:val="22"/>
                <w:szCs w:val="22"/>
              </w:rPr>
              <w:t>Day Count Convention</w:t>
            </w:r>
          </w:p>
        </w:tc>
        <w:tc>
          <w:tcPr>
            <w:tcW w:w="0" w:type="auto"/>
            <w:tcBorders>
              <w:top w:val="single" w:sz="4" w:space="0" w:color="auto"/>
            </w:tcBorders>
          </w:tcPr>
          <w:p w14:paraId="70C4CDA8" w14:textId="77777777" w:rsidR="00246A3C" w:rsidRPr="00F700F5" w:rsidRDefault="00246A3C" w:rsidP="0048442C">
            <w:pPr>
              <w:ind w:firstLine="0"/>
              <w:jc w:val="left"/>
              <w:rPr>
                <w:sz w:val="22"/>
                <w:szCs w:val="22"/>
              </w:rPr>
            </w:pPr>
            <w:r w:rsidRPr="00F700F5">
              <w:rPr>
                <w:sz w:val="22"/>
                <w:szCs w:val="22"/>
              </w:rPr>
              <w:t>30I/360</w:t>
            </w:r>
          </w:p>
        </w:tc>
        <w:tc>
          <w:tcPr>
            <w:tcW w:w="1898" w:type="dxa"/>
            <w:tcBorders>
              <w:top w:val="single" w:sz="4" w:space="0" w:color="auto"/>
            </w:tcBorders>
          </w:tcPr>
          <w:p w14:paraId="4912A808" w14:textId="77777777" w:rsidR="00246A3C" w:rsidRPr="00F700F5" w:rsidRDefault="00246A3C" w:rsidP="0048442C">
            <w:pPr>
              <w:ind w:firstLine="0"/>
              <w:jc w:val="left"/>
              <w:rPr>
                <w:sz w:val="22"/>
                <w:szCs w:val="22"/>
              </w:rPr>
            </w:pPr>
            <w:r w:rsidRPr="00F700F5">
              <w:rPr>
                <w:sz w:val="22"/>
                <w:szCs w:val="22"/>
              </w:rPr>
              <w:t>ACT/365.FIXED</w:t>
            </w:r>
          </w:p>
        </w:tc>
        <w:tc>
          <w:tcPr>
            <w:tcW w:w="1980" w:type="dxa"/>
            <w:tcBorders>
              <w:top w:val="single" w:sz="4" w:space="0" w:color="auto"/>
            </w:tcBorders>
          </w:tcPr>
          <w:p w14:paraId="6BC51A70" w14:textId="77777777" w:rsidR="00246A3C" w:rsidRPr="00F700F5" w:rsidRDefault="00246A3C" w:rsidP="0048442C">
            <w:pPr>
              <w:ind w:firstLine="20"/>
              <w:jc w:val="left"/>
              <w:rPr>
                <w:sz w:val="22"/>
                <w:szCs w:val="22"/>
              </w:rPr>
            </w:pPr>
            <w:r w:rsidRPr="00F700F5">
              <w:rPr>
                <w:sz w:val="22"/>
                <w:szCs w:val="22"/>
              </w:rPr>
              <w:t>ACT/365.FIXED</w:t>
            </w:r>
          </w:p>
        </w:tc>
        <w:tc>
          <w:tcPr>
            <w:tcW w:w="1786" w:type="dxa"/>
            <w:tcBorders>
              <w:top w:val="single" w:sz="4" w:space="0" w:color="auto"/>
            </w:tcBorders>
          </w:tcPr>
          <w:p w14:paraId="03942B3C" w14:textId="77777777" w:rsidR="00246A3C" w:rsidRPr="00F700F5" w:rsidRDefault="00246A3C" w:rsidP="0048442C">
            <w:pPr>
              <w:ind w:firstLine="0"/>
              <w:jc w:val="left"/>
              <w:rPr>
                <w:sz w:val="22"/>
                <w:szCs w:val="22"/>
              </w:rPr>
            </w:pPr>
            <w:r w:rsidRPr="00F700F5">
              <w:rPr>
                <w:sz w:val="22"/>
                <w:szCs w:val="22"/>
              </w:rPr>
              <w:t>30E/360</w:t>
            </w:r>
          </w:p>
        </w:tc>
      </w:tr>
      <w:tr w:rsidR="00246A3C" w:rsidRPr="00F700F5" w14:paraId="14C58163" w14:textId="77777777" w:rsidTr="0048442C">
        <w:tc>
          <w:tcPr>
            <w:tcW w:w="0" w:type="auto"/>
          </w:tcPr>
          <w:p w14:paraId="7150AABD" w14:textId="77777777" w:rsidR="00246A3C" w:rsidRPr="00F700F5" w:rsidRDefault="00246A3C" w:rsidP="0048442C">
            <w:pPr>
              <w:ind w:firstLine="0"/>
              <w:jc w:val="left"/>
              <w:rPr>
                <w:sz w:val="22"/>
                <w:szCs w:val="22"/>
              </w:rPr>
            </w:pPr>
            <w:r w:rsidRPr="00F700F5">
              <w:rPr>
                <w:sz w:val="22"/>
                <w:szCs w:val="22"/>
              </w:rPr>
              <w:t>Payment Frequency</w:t>
            </w:r>
          </w:p>
        </w:tc>
        <w:tc>
          <w:tcPr>
            <w:tcW w:w="0" w:type="auto"/>
          </w:tcPr>
          <w:p w14:paraId="3EB307AD" w14:textId="77777777" w:rsidR="00246A3C" w:rsidRPr="00F700F5" w:rsidRDefault="00246A3C" w:rsidP="0048442C">
            <w:pPr>
              <w:ind w:firstLine="0"/>
              <w:jc w:val="left"/>
              <w:rPr>
                <w:sz w:val="22"/>
                <w:szCs w:val="22"/>
              </w:rPr>
            </w:pPr>
            <w:r w:rsidRPr="00F700F5">
              <w:rPr>
                <w:sz w:val="22"/>
                <w:szCs w:val="22"/>
              </w:rPr>
              <w:t>Semiannual</w:t>
            </w:r>
          </w:p>
        </w:tc>
        <w:tc>
          <w:tcPr>
            <w:tcW w:w="1898" w:type="dxa"/>
          </w:tcPr>
          <w:p w14:paraId="753A4ACA" w14:textId="77777777" w:rsidR="00246A3C" w:rsidRPr="00F700F5" w:rsidRDefault="00246A3C" w:rsidP="0048442C">
            <w:pPr>
              <w:ind w:firstLine="0"/>
              <w:jc w:val="left"/>
              <w:rPr>
                <w:sz w:val="22"/>
                <w:szCs w:val="22"/>
              </w:rPr>
            </w:pPr>
            <w:r w:rsidRPr="00F700F5">
              <w:rPr>
                <w:sz w:val="22"/>
                <w:szCs w:val="22"/>
              </w:rPr>
              <w:t>Semiannual</w:t>
            </w:r>
          </w:p>
        </w:tc>
        <w:tc>
          <w:tcPr>
            <w:tcW w:w="1980" w:type="dxa"/>
          </w:tcPr>
          <w:p w14:paraId="58542A82" w14:textId="77777777" w:rsidR="00246A3C" w:rsidRPr="00F700F5" w:rsidRDefault="00246A3C" w:rsidP="0048442C">
            <w:pPr>
              <w:ind w:firstLine="0"/>
              <w:jc w:val="left"/>
              <w:rPr>
                <w:sz w:val="22"/>
                <w:szCs w:val="22"/>
              </w:rPr>
            </w:pPr>
            <w:r w:rsidRPr="00F700F5">
              <w:rPr>
                <w:sz w:val="22"/>
                <w:szCs w:val="22"/>
              </w:rPr>
              <w:t>Semiannual</w:t>
            </w:r>
          </w:p>
        </w:tc>
        <w:tc>
          <w:tcPr>
            <w:tcW w:w="1786" w:type="dxa"/>
          </w:tcPr>
          <w:p w14:paraId="2FEF921F" w14:textId="77777777" w:rsidR="00246A3C" w:rsidRPr="00F700F5" w:rsidRDefault="00246A3C" w:rsidP="0048442C">
            <w:pPr>
              <w:ind w:firstLine="0"/>
              <w:jc w:val="left"/>
              <w:rPr>
                <w:sz w:val="22"/>
                <w:szCs w:val="22"/>
              </w:rPr>
            </w:pPr>
            <w:r w:rsidRPr="00F700F5">
              <w:rPr>
                <w:sz w:val="22"/>
                <w:szCs w:val="22"/>
              </w:rPr>
              <w:t>Annual</w:t>
            </w:r>
          </w:p>
        </w:tc>
      </w:tr>
      <w:tr w:rsidR="00246A3C" w:rsidRPr="00F700F5" w14:paraId="1FAB3BE1" w14:textId="77777777" w:rsidTr="0048442C">
        <w:tc>
          <w:tcPr>
            <w:tcW w:w="0" w:type="auto"/>
          </w:tcPr>
          <w:p w14:paraId="7801696F" w14:textId="77777777" w:rsidR="00246A3C" w:rsidRPr="00F700F5" w:rsidRDefault="00246A3C" w:rsidP="0048442C">
            <w:pPr>
              <w:ind w:firstLine="0"/>
              <w:jc w:val="left"/>
              <w:rPr>
                <w:sz w:val="22"/>
                <w:szCs w:val="22"/>
              </w:rPr>
            </w:pPr>
            <w:r w:rsidRPr="00F700F5">
              <w:rPr>
                <w:sz w:val="22"/>
                <w:szCs w:val="22"/>
              </w:rPr>
              <w:t>Business Day Adjustment Convention</w:t>
            </w:r>
          </w:p>
        </w:tc>
        <w:tc>
          <w:tcPr>
            <w:tcW w:w="0" w:type="auto"/>
          </w:tcPr>
          <w:p w14:paraId="6936C98C" w14:textId="77777777" w:rsidR="00246A3C" w:rsidRPr="00F700F5" w:rsidRDefault="00246A3C" w:rsidP="0048442C">
            <w:pPr>
              <w:ind w:firstLine="0"/>
              <w:jc w:val="left"/>
              <w:rPr>
                <w:sz w:val="22"/>
                <w:szCs w:val="22"/>
              </w:rPr>
            </w:pPr>
            <w:r w:rsidRPr="00F700F5">
              <w:rPr>
                <w:sz w:val="22"/>
                <w:szCs w:val="22"/>
              </w:rPr>
              <w:t>Modified Following</w:t>
            </w:r>
          </w:p>
        </w:tc>
        <w:tc>
          <w:tcPr>
            <w:tcW w:w="1898" w:type="dxa"/>
          </w:tcPr>
          <w:p w14:paraId="75DEF438" w14:textId="77777777" w:rsidR="00246A3C" w:rsidRPr="00F700F5" w:rsidRDefault="00246A3C" w:rsidP="0048442C">
            <w:pPr>
              <w:ind w:firstLine="0"/>
              <w:jc w:val="left"/>
              <w:rPr>
                <w:sz w:val="22"/>
                <w:szCs w:val="22"/>
              </w:rPr>
            </w:pPr>
            <w:r w:rsidRPr="00F700F5">
              <w:rPr>
                <w:sz w:val="22"/>
                <w:szCs w:val="22"/>
              </w:rPr>
              <w:t>Modified Following</w:t>
            </w:r>
          </w:p>
        </w:tc>
        <w:tc>
          <w:tcPr>
            <w:tcW w:w="1980" w:type="dxa"/>
          </w:tcPr>
          <w:p w14:paraId="054C0BEC" w14:textId="77777777" w:rsidR="00246A3C" w:rsidRPr="00F700F5" w:rsidRDefault="00246A3C" w:rsidP="0048442C">
            <w:pPr>
              <w:ind w:firstLine="0"/>
              <w:jc w:val="left"/>
              <w:rPr>
                <w:sz w:val="22"/>
                <w:szCs w:val="22"/>
              </w:rPr>
            </w:pPr>
            <w:r w:rsidRPr="00F700F5">
              <w:rPr>
                <w:sz w:val="22"/>
                <w:szCs w:val="22"/>
              </w:rPr>
              <w:t>Modified Following</w:t>
            </w:r>
          </w:p>
        </w:tc>
        <w:tc>
          <w:tcPr>
            <w:tcW w:w="1786" w:type="dxa"/>
          </w:tcPr>
          <w:p w14:paraId="51720EB6" w14:textId="77777777" w:rsidR="00246A3C" w:rsidRPr="00F700F5" w:rsidRDefault="00246A3C" w:rsidP="0048442C">
            <w:pPr>
              <w:ind w:firstLine="0"/>
              <w:jc w:val="left"/>
              <w:rPr>
                <w:sz w:val="22"/>
                <w:szCs w:val="22"/>
              </w:rPr>
            </w:pPr>
            <w:r w:rsidRPr="00F700F5">
              <w:rPr>
                <w:sz w:val="22"/>
                <w:szCs w:val="22"/>
              </w:rPr>
              <w:t>Modified Following</w:t>
            </w:r>
          </w:p>
        </w:tc>
      </w:tr>
      <w:tr w:rsidR="00246A3C" w:rsidRPr="00F700F5" w14:paraId="1F12A960" w14:textId="77777777" w:rsidTr="0048442C">
        <w:tc>
          <w:tcPr>
            <w:tcW w:w="0" w:type="auto"/>
          </w:tcPr>
          <w:p w14:paraId="0724DF76" w14:textId="77777777" w:rsidR="00246A3C" w:rsidRPr="00F700F5" w:rsidRDefault="00246A3C" w:rsidP="0048442C">
            <w:pPr>
              <w:ind w:firstLine="0"/>
              <w:jc w:val="left"/>
              <w:rPr>
                <w:sz w:val="22"/>
                <w:szCs w:val="22"/>
              </w:rPr>
            </w:pPr>
            <w:r w:rsidRPr="00F700F5">
              <w:rPr>
                <w:sz w:val="22"/>
                <w:szCs w:val="22"/>
              </w:rPr>
              <w:t>Adjustment Type</w:t>
            </w:r>
          </w:p>
        </w:tc>
        <w:tc>
          <w:tcPr>
            <w:tcW w:w="0" w:type="auto"/>
          </w:tcPr>
          <w:p w14:paraId="2C9D789A" w14:textId="77777777" w:rsidR="00246A3C" w:rsidRPr="00F700F5" w:rsidRDefault="00246A3C" w:rsidP="0048442C">
            <w:pPr>
              <w:ind w:firstLine="0"/>
              <w:jc w:val="left"/>
              <w:rPr>
                <w:sz w:val="22"/>
                <w:szCs w:val="22"/>
              </w:rPr>
            </w:pPr>
            <w:r w:rsidRPr="00F700F5">
              <w:rPr>
                <w:sz w:val="22"/>
                <w:szCs w:val="22"/>
              </w:rPr>
              <w:t>Accrual and Payment Dates</w:t>
            </w:r>
          </w:p>
        </w:tc>
        <w:tc>
          <w:tcPr>
            <w:tcW w:w="1898" w:type="dxa"/>
          </w:tcPr>
          <w:p w14:paraId="30287168" w14:textId="77777777" w:rsidR="00246A3C" w:rsidRPr="00F700F5" w:rsidRDefault="00246A3C" w:rsidP="0048442C">
            <w:pPr>
              <w:ind w:firstLine="0"/>
              <w:jc w:val="left"/>
              <w:rPr>
                <w:sz w:val="22"/>
                <w:szCs w:val="22"/>
              </w:rPr>
            </w:pPr>
            <w:r w:rsidRPr="00F700F5">
              <w:rPr>
                <w:sz w:val="22"/>
                <w:szCs w:val="22"/>
              </w:rPr>
              <w:t>Accrual and Payment Dates</w:t>
            </w:r>
          </w:p>
        </w:tc>
        <w:tc>
          <w:tcPr>
            <w:tcW w:w="1980" w:type="dxa"/>
          </w:tcPr>
          <w:p w14:paraId="1A9364DF" w14:textId="77777777" w:rsidR="00246A3C" w:rsidRPr="00F700F5" w:rsidRDefault="00246A3C" w:rsidP="0048442C">
            <w:pPr>
              <w:ind w:firstLine="0"/>
              <w:jc w:val="left"/>
              <w:rPr>
                <w:sz w:val="22"/>
                <w:szCs w:val="22"/>
              </w:rPr>
            </w:pPr>
            <w:r w:rsidRPr="00F700F5">
              <w:rPr>
                <w:sz w:val="22"/>
                <w:szCs w:val="22"/>
              </w:rPr>
              <w:t>Accrual and Payment Dates</w:t>
            </w:r>
          </w:p>
        </w:tc>
        <w:tc>
          <w:tcPr>
            <w:tcW w:w="1786" w:type="dxa"/>
          </w:tcPr>
          <w:p w14:paraId="23917A6F" w14:textId="77777777" w:rsidR="00246A3C" w:rsidRPr="00F700F5" w:rsidRDefault="00246A3C" w:rsidP="0048442C">
            <w:pPr>
              <w:ind w:firstLine="0"/>
              <w:jc w:val="left"/>
              <w:rPr>
                <w:sz w:val="22"/>
                <w:szCs w:val="22"/>
              </w:rPr>
            </w:pPr>
            <w:r w:rsidRPr="00F700F5">
              <w:rPr>
                <w:sz w:val="22"/>
                <w:szCs w:val="22"/>
              </w:rPr>
              <w:t>Accrual and Payment Dates</w:t>
            </w:r>
          </w:p>
        </w:tc>
      </w:tr>
      <w:tr w:rsidR="00246A3C" w:rsidRPr="00F700F5" w14:paraId="7F30BE81" w14:textId="77777777" w:rsidTr="0048442C">
        <w:tc>
          <w:tcPr>
            <w:tcW w:w="0" w:type="auto"/>
          </w:tcPr>
          <w:p w14:paraId="29F8926E" w14:textId="77777777" w:rsidR="00246A3C" w:rsidRPr="00F700F5" w:rsidRDefault="00246A3C" w:rsidP="0048442C">
            <w:pPr>
              <w:ind w:firstLine="0"/>
              <w:jc w:val="left"/>
              <w:rPr>
                <w:sz w:val="22"/>
                <w:szCs w:val="22"/>
              </w:rPr>
            </w:pPr>
            <w:r w:rsidRPr="00F700F5">
              <w:rPr>
                <w:sz w:val="22"/>
                <w:szCs w:val="22"/>
              </w:rPr>
              <w:t>Roll Convention</w:t>
            </w:r>
          </w:p>
        </w:tc>
        <w:tc>
          <w:tcPr>
            <w:tcW w:w="0" w:type="auto"/>
          </w:tcPr>
          <w:p w14:paraId="40165589" w14:textId="77777777" w:rsidR="00246A3C" w:rsidRPr="00F700F5" w:rsidRDefault="00246A3C" w:rsidP="0048442C">
            <w:pPr>
              <w:ind w:firstLine="0"/>
              <w:jc w:val="left"/>
              <w:rPr>
                <w:sz w:val="22"/>
                <w:szCs w:val="22"/>
              </w:rPr>
            </w:pPr>
            <w:r w:rsidRPr="00F700F5">
              <w:rPr>
                <w:sz w:val="22"/>
                <w:szCs w:val="22"/>
              </w:rPr>
              <w:t>Backward</w:t>
            </w:r>
          </w:p>
        </w:tc>
        <w:tc>
          <w:tcPr>
            <w:tcW w:w="1898" w:type="dxa"/>
          </w:tcPr>
          <w:p w14:paraId="33DC3EDD" w14:textId="77777777" w:rsidR="00246A3C" w:rsidRPr="00F700F5" w:rsidRDefault="00246A3C" w:rsidP="0048442C">
            <w:pPr>
              <w:ind w:firstLine="0"/>
              <w:jc w:val="left"/>
              <w:rPr>
                <w:sz w:val="22"/>
                <w:szCs w:val="22"/>
              </w:rPr>
            </w:pPr>
            <w:r w:rsidRPr="00F700F5">
              <w:rPr>
                <w:sz w:val="22"/>
                <w:szCs w:val="22"/>
              </w:rPr>
              <w:t>Backward</w:t>
            </w:r>
          </w:p>
        </w:tc>
        <w:tc>
          <w:tcPr>
            <w:tcW w:w="1980" w:type="dxa"/>
          </w:tcPr>
          <w:p w14:paraId="236472D0" w14:textId="77777777" w:rsidR="00246A3C" w:rsidRPr="00F700F5" w:rsidRDefault="00246A3C" w:rsidP="0048442C">
            <w:pPr>
              <w:ind w:firstLine="0"/>
              <w:jc w:val="left"/>
              <w:rPr>
                <w:sz w:val="22"/>
                <w:szCs w:val="22"/>
              </w:rPr>
            </w:pPr>
            <w:r w:rsidRPr="00F700F5">
              <w:rPr>
                <w:sz w:val="22"/>
                <w:szCs w:val="22"/>
              </w:rPr>
              <w:t>Backward (EOM)</w:t>
            </w:r>
          </w:p>
        </w:tc>
        <w:tc>
          <w:tcPr>
            <w:tcW w:w="1786" w:type="dxa"/>
          </w:tcPr>
          <w:p w14:paraId="5F9556D3" w14:textId="77777777" w:rsidR="00246A3C" w:rsidRPr="00F700F5" w:rsidRDefault="00246A3C" w:rsidP="0048442C">
            <w:pPr>
              <w:ind w:firstLine="0"/>
              <w:jc w:val="left"/>
              <w:rPr>
                <w:sz w:val="22"/>
                <w:szCs w:val="22"/>
              </w:rPr>
            </w:pPr>
            <w:r w:rsidRPr="00F700F5">
              <w:rPr>
                <w:sz w:val="22"/>
                <w:szCs w:val="22"/>
              </w:rPr>
              <w:t>Backward</w:t>
            </w:r>
          </w:p>
        </w:tc>
      </w:tr>
      <w:tr w:rsidR="00246A3C" w:rsidRPr="00F700F5" w14:paraId="5B9E6272" w14:textId="77777777" w:rsidTr="0048442C">
        <w:tc>
          <w:tcPr>
            <w:tcW w:w="0" w:type="auto"/>
          </w:tcPr>
          <w:p w14:paraId="0C09639C" w14:textId="77777777" w:rsidR="00246A3C" w:rsidRPr="00F700F5" w:rsidRDefault="00246A3C" w:rsidP="0048442C">
            <w:pPr>
              <w:ind w:firstLine="0"/>
              <w:jc w:val="left"/>
              <w:rPr>
                <w:sz w:val="22"/>
                <w:szCs w:val="22"/>
              </w:rPr>
            </w:pPr>
            <w:r w:rsidRPr="00F700F5">
              <w:rPr>
                <w:sz w:val="22"/>
                <w:szCs w:val="22"/>
              </w:rPr>
              <w:t>Accrual Calculation Calendar</w:t>
            </w:r>
          </w:p>
        </w:tc>
        <w:tc>
          <w:tcPr>
            <w:tcW w:w="0" w:type="auto"/>
          </w:tcPr>
          <w:p w14:paraId="5F3F1E2E" w14:textId="77777777" w:rsidR="00246A3C" w:rsidRPr="00F700F5" w:rsidRDefault="00246A3C" w:rsidP="0048442C">
            <w:pPr>
              <w:ind w:firstLine="0"/>
              <w:jc w:val="left"/>
              <w:rPr>
                <w:sz w:val="22"/>
                <w:szCs w:val="22"/>
              </w:rPr>
            </w:pPr>
            <w:r w:rsidRPr="00F700F5">
              <w:rPr>
                <w:sz w:val="22"/>
                <w:szCs w:val="22"/>
              </w:rPr>
              <w:t>US Federal Reserve</w:t>
            </w:r>
            <w:r>
              <w:rPr>
                <w:sz w:val="22"/>
                <w:szCs w:val="22"/>
              </w:rPr>
              <w:t xml:space="preserve"> and Bank of </w:t>
            </w:r>
            <w:r w:rsidRPr="00F700F5">
              <w:rPr>
                <w:sz w:val="22"/>
                <w:szCs w:val="22"/>
              </w:rPr>
              <w:t>England</w:t>
            </w:r>
          </w:p>
        </w:tc>
        <w:tc>
          <w:tcPr>
            <w:tcW w:w="1898" w:type="dxa"/>
          </w:tcPr>
          <w:p w14:paraId="1375A1A1" w14:textId="77777777" w:rsidR="00246A3C" w:rsidRPr="00F700F5" w:rsidRDefault="00246A3C" w:rsidP="0048442C">
            <w:pPr>
              <w:ind w:firstLine="0"/>
              <w:jc w:val="left"/>
              <w:rPr>
                <w:sz w:val="22"/>
                <w:szCs w:val="22"/>
              </w:rPr>
            </w:pPr>
            <w:r w:rsidRPr="00F700F5">
              <w:rPr>
                <w:sz w:val="22"/>
                <w:szCs w:val="22"/>
              </w:rPr>
              <w:t>Canada</w:t>
            </w:r>
          </w:p>
        </w:tc>
        <w:tc>
          <w:tcPr>
            <w:tcW w:w="1980" w:type="dxa"/>
          </w:tcPr>
          <w:p w14:paraId="22C66BF1" w14:textId="77777777" w:rsidR="00246A3C" w:rsidRPr="00F700F5" w:rsidRDefault="00246A3C" w:rsidP="0048442C">
            <w:pPr>
              <w:ind w:firstLine="0"/>
              <w:jc w:val="left"/>
              <w:rPr>
                <w:sz w:val="22"/>
                <w:szCs w:val="22"/>
              </w:rPr>
            </w:pPr>
            <w:r>
              <w:rPr>
                <w:sz w:val="22"/>
                <w:szCs w:val="22"/>
              </w:rPr>
              <w:t xml:space="preserve">Bank of </w:t>
            </w:r>
            <w:r w:rsidRPr="00F700F5">
              <w:rPr>
                <w:sz w:val="22"/>
                <w:szCs w:val="22"/>
              </w:rPr>
              <w:t>England</w:t>
            </w:r>
          </w:p>
        </w:tc>
        <w:tc>
          <w:tcPr>
            <w:tcW w:w="1786" w:type="dxa"/>
          </w:tcPr>
          <w:p w14:paraId="3127B6D9" w14:textId="77777777" w:rsidR="00246A3C" w:rsidRPr="00F700F5" w:rsidRDefault="00246A3C" w:rsidP="0048442C">
            <w:pPr>
              <w:ind w:firstLine="0"/>
              <w:jc w:val="left"/>
              <w:rPr>
                <w:sz w:val="22"/>
                <w:szCs w:val="22"/>
              </w:rPr>
            </w:pPr>
            <w:r w:rsidRPr="00F700F5">
              <w:rPr>
                <w:sz w:val="22"/>
                <w:szCs w:val="22"/>
              </w:rPr>
              <w:t>Switzerland</w:t>
            </w:r>
          </w:p>
        </w:tc>
      </w:tr>
      <w:tr w:rsidR="00246A3C" w:rsidRPr="00F700F5" w14:paraId="72963EFB" w14:textId="77777777" w:rsidTr="0048442C">
        <w:tc>
          <w:tcPr>
            <w:tcW w:w="0" w:type="auto"/>
            <w:tcBorders>
              <w:bottom w:val="single" w:sz="4" w:space="0" w:color="auto"/>
            </w:tcBorders>
          </w:tcPr>
          <w:p w14:paraId="6633916B" w14:textId="77777777" w:rsidR="00246A3C" w:rsidRPr="00F700F5" w:rsidRDefault="00246A3C" w:rsidP="0048442C">
            <w:pPr>
              <w:ind w:firstLine="0"/>
              <w:jc w:val="left"/>
              <w:rPr>
                <w:sz w:val="22"/>
                <w:szCs w:val="22"/>
              </w:rPr>
            </w:pPr>
            <w:r w:rsidRPr="00F700F5">
              <w:rPr>
                <w:sz w:val="22"/>
                <w:szCs w:val="22"/>
              </w:rPr>
              <w:t>Pay Delay</w:t>
            </w:r>
          </w:p>
        </w:tc>
        <w:tc>
          <w:tcPr>
            <w:tcW w:w="0" w:type="auto"/>
            <w:tcBorders>
              <w:bottom w:val="single" w:sz="4" w:space="0" w:color="auto"/>
            </w:tcBorders>
          </w:tcPr>
          <w:p w14:paraId="635EA630" w14:textId="77777777" w:rsidR="00246A3C" w:rsidRPr="00F700F5" w:rsidRDefault="00246A3C" w:rsidP="0048442C">
            <w:pPr>
              <w:ind w:firstLine="0"/>
              <w:jc w:val="left"/>
              <w:rPr>
                <w:sz w:val="22"/>
                <w:szCs w:val="22"/>
              </w:rPr>
            </w:pPr>
            <w:r w:rsidRPr="00F700F5">
              <w:rPr>
                <w:sz w:val="22"/>
                <w:szCs w:val="22"/>
              </w:rPr>
              <w:t>0 days</w:t>
            </w:r>
          </w:p>
        </w:tc>
        <w:tc>
          <w:tcPr>
            <w:tcW w:w="1898" w:type="dxa"/>
            <w:tcBorders>
              <w:bottom w:val="single" w:sz="4" w:space="0" w:color="auto"/>
            </w:tcBorders>
          </w:tcPr>
          <w:p w14:paraId="411A63FE" w14:textId="77777777" w:rsidR="00246A3C" w:rsidRPr="00F700F5" w:rsidRDefault="00246A3C" w:rsidP="0048442C">
            <w:pPr>
              <w:ind w:firstLine="0"/>
              <w:jc w:val="left"/>
              <w:rPr>
                <w:sz w:val="22"/>
                <w:szCs w:val="22"/>
              </w:rPr>
            </w:pPr>
            <w:r w:rsidRPr="00F700F5">
              <w:rPr>
                <w:sz w:val="22"/>
                <w:szCs w:val="22"/>
              </w:rPr>
              <w:t>0 days</w:t>
            </w:r>
          </w:p>
        </w:tc>
        <w:tc>
          <w:tcPr>
            <w:tcW w:w="1980" w:type="dxa"/>
            <w:tcBorders>
              <w:bottom w:val="single" w:sz="4" w:space="0" w:color="auto"/>
            </w:tcBorders>
          </w:tcPr>
          <w:p w14:paraId="2C7AD7F9" w14:textId="77777777" w:rsidR="00246A3C" w:rsidRPr="00F700F5" w:rsidRDefault="00246A3C" w:rsidP="0048442C">
            <w:pPr>
              <w:ind w:firstLine="0"/>
              <w:jc w:val="left"/>
              <w:rPr>
                <w:sz w:val="22"/>
                <w:szCs w:val="22"/>
              </w:rPr>
            </w:pPr>
            <w:r w:rsidRPr="00F700F5">
              <w:rPr>
                <w:sz w:val="22"/>
                <w:szCs w:val="22"/>
              </w:rPr>
              <w:t>0 days</w:t>
            </w:r>
          </w:p>
        </w:tc>
        <w:tc>
          <w:tcPr>
            <w:tcW w:w="1786" w:type="dxa"/>
            <w:tcBorders>
              <w:bottom w:val="single" w:sz="4" w:space="0" w:color="auto"/>
            </w:tcBorders>
          </w:tcPr>
          <w:p w14:paraId="7FBC36FB" w14:textId="77777777" w:rsidR="00246A3C" w:rsidRPr="00F700F5" w:rsidRDefault="00246A3C" w:rsidP="0048442C">
            <w:pPr>
              <w:ind w:firstLine="0"/>
              <w:jc w:val="left"/>
              <w:rPr>
                <w:sz w:val="22"/>
                <w:szCs w:val="22"/>
              </w:rPr>
            </w:pPr>
            <w:r w:rsidRPr="00F700F5">
              <w:rPr>
                <w:sz w:val="22"/>
                <w:szCs w:val="22"/>
              </w:rPr>
              <w:t>0 days</w:t>
            </w:r>
          </w:p>
        </w:tc>
      </w:tr>
      <w:tr w:rsidR="00246A3C" w:rsidRPr="00F700F5" w14:paraId="22B4FF4E" w14:textId="77777777" w:rsidTr="0048442C">
        <w:tc>
          <w:tcPr>
            <w:tcW w:w="0" w:type="auto"/>
            <w:gridSpan w:val="5"/>
            <w:tcBorders>
              <w:top w:val="single" w:sz="4" w:space="0" w:color="auto"/>
              <w:bottom w:val="single" w:sz="4" w:space="0" w:color="auto"/>
            </w:tcBorders>
          </w:tcPr>
          <w:p w14:paraId="08FB1082" w14:textId="77777777" w:rsidR="00246A3C" w:rsidRPr="00F700F5" w:rsidRDefault="00246A3C" w:rsidP="0048442C">
            <w:pPr>
              <w:ind w:firstLine="0"/>
              <w:jc w:val="left"/>
              <w:rPr>
                <w:sz w:val="22"/>
                <w:szCs w:val="22"/>
              </w:rPr>
            </w:pPr>
            <w:r w:rsidRPr="00F700F5">
              <w:rPr>
                <w:sz w:val="22"/>
                <w:szCs w:val="22"/>
              </w:rPr>
              <w:t>Floating Leg</w:t>
            </w:r>
          </w:p>
        </w:tc>
      </w:tr>
      <w:tr w:rsidR="00246A3C" w:rsidRPr="00F700F5" w14:paraId="3A9C290F" w14:textId="77777777" w:rsidTr="0048442C">
        <w:tc>
          <w:tcPr>
            <w:tcW w:w="0" w:type="auto"/>
            <w:tcBorders>
              <w:top w:val="single" w:sz="4" w:space="0" w:color="auto"/>
            </w:tcBorders>
          </w:tcPr>
          <w:p w14:paraId="14B31008" w14:textId="77777777" w:rsidR="00246A3C" w:rsidRPr="00F700F5" w:rsidRDefault="00246A3C" w:rsidP="0048442C">
            <w:pPr>
              <w:ind w:firstLine="0"/>
              <w:jc w:val="left"/>
              <w:rPr>
                <w:sz w:val="22"/>
                <w:szCs w:val="22"/>
              </w:rPr>
            </w:pPr>
            <w:r w:rsidRPr="00F700F5">
              <w:rPr>
                <w:sz w:val="22"/>
                <w:szCs w:val="22"/>
              </w:rPr>
              <w:t>Day Count Convention</w:t>
            </w:r>
          </w:p>
        </w:tc>
        <w:tc>
          <w:tcPr>
            <w:tcW w:w="0" w:type="auto"/>
            <w:tcBorders>
              <w:top w:val="single" w:sz="4" w:space="0" w:color="auto"/>
            </w:tcBorders>
          </w:tcPr>
          <w:p w14:paraId="347ABB54" w14:textId="77777777" w:rsidR="00246A3C" w:rsidRPr="00F700F5" w:rsidRDefault="00246A3C" w:rsidP="0048442C">
            <w:pPr>
              <w:ind w:firstLine="0"/>
              <w:jc w:val="left"/>
              <w:rPr>
                <w:sz w:val="22"/>
                <w:szCs w:val="22"/>
              </w:rPr>
            </w:pPr>
            <w:r w:rsidRPr="00F700F5">
              <w:rPr>
                <w:sz w:val="22"/>
                <w:szCs w:val="22"/>
              </w:rPr>
              <w:t>Actual/360</w:t>
            </w:r>
          </w:p>
        </w:tc>
        <w:tc>
          <w:tcPr>
            <w:tcW w:w="1898" w:type="dxa"/>
            <w:tcBorders>
              <w:top w:val="single" w:sz="4" w:space="0" w:color="auto"/>
            </w:tcBorders>
          </w:tcPr>
          <w:p w14:paraId="637156BC" w14:textId="77777777" w:rsidR="00246A3C" w:rsidRPr="00F700F5" w:rsidRDefault="00246A3C" w:rsidP="0048442C">
            <w:pPr>
              <w:ind w:firstLine="0"/>
              <w:jc w:val="left"/>
              <w:rPr>
                <w:sz w:val="22"/>
                <w:szCs w:val="22"/>
              </w:rPr>
            </w:pPr>
            <w:r w:rsidRPr="00F700F5">
              <w:rPr>
                <w:sz w:val="22"/>
                <w:szCs w:val="22"/>
              </w:rPr>
              <w:t>ACT/365.FIXED</w:t>
            </w:r>
          </w:p>
        </w:tc>
        <w:tc>
          <w:tcPr>
            <w:tcW w:w="1980" w:type="dxa"/>
            <w:tcBorders>
              <w:top w:val="single" w:sz="4" w:space="0" w:color="auto"/>
            </w:tcBorders>
          </w:tcPr>
          <w:p w14:paraId="0E19669B" w14:textId="77777777" w:rsidR="00246A3C" w:rsidRPr="00F700F5" w:rsidRDefault="00246A3C" w:rsidP="0048442C">
            <w:pPr>
              <w:ind w:firstLine="0"/>
              <w:jc w:val="left"/>
              <w:rPr>
                <w:sz w:val="22"/>
                <w:szCs w:val="22"/>
              </w:rPr>
            </w:pPr>
            <w:r w:rsidRPr="00F700F5">
              <w:rPr>
                <w:sz w:val="22"/>
                <w:szCs w:val="22"/>
              </w:rPr>
              <w:t>ACT/365.FIXED</w:t>
            </w:r>
          </w:p>
        </w:tc>
        <w:tc>
          <w:tcPr>
            <w:tcW w:w="1786" w:type="dxa"/>
            <w:tcBorders>
              <w:top w:val="single" w:sz="4" w:space="0" w:color="auto"/>
            </w:tcBorders>
          </w:tcPr>
          <w:p w14:paraId="7F8208E5" w14:textId="77777777" w:rsidR="00246A3C" w:rsidRPr="00F700F5" w:rsidRDefault="00246A3C" w:rsidP="0048442C">
            <w:pPr>
              <w:ind w:firstLine="0"/>
              <w:jc w:val="left"/>
              <w:rPr>
                <w:sz w:val="22"/>
                <w:szCs w:val="22"/>
              </w:rPr>
            </w:pPr>
            <w:r w:rsidRPr="00F700F5">
              <w:rPr>
                <w:sz w:val="22"/>
                <w:szCs w:val="22"/>
              </w:rPr>
              <w:t>Actual/360</w:t>
            </w:r>
          </w:p>
        </w:tc>
      </w:tr>
      <w:tr w:rsidR="00246A3C" w:rsidRPr="00F700F5" w14:paraId="19EA5459" w14:textId="77777777" w:rsidTr="0048442C">
        <w:tc>
          <w:tcPr>
            <w:tcW w:w="0" w:type="auto"/>
          </w:tcPr>
          <w:p w14:paraId="13E005A2" w14:textId="77777777" w:rsidR="00246A3C" w:rsidRPr="00F700F5" w:rsidRDefault="00246A3C" w:rsidP="0048442C">
            <w:pPr>
              <w:ind w:firstLine="0"/>
              <w:jc w:val="left"/>
              <w:rPr>
                <w:sz w:val="22"/>
                <w:szCs w:val="22"/>
              </w:rPr>
            </w:pPr>
            <w:r w:rsidRPr="00F700F5">
              <w:rPr>
                <w:sz w:val="22"/>
                <w:szCs w:val="22"/>
              </w:rPr>
              <w:t>Payment Frequency</w:t>
            </w:r>
          </w:p>
        </w:tc>
        <w:tc>
          <w:tcPr>
            <w:tcW w:w="0" w:type="auto"/>
          </w:tcPr>
          <w:p w14:paraId="1444E1E2" w14:textId="77777777" w:rsidR="00246A3C" w:rsidRPr="00F700F5" w:rsidRDefault="00246A3C" w:rsidP="0048442C">
            <w:pPr>
              <w:ind w:firstLine="0"/>
              <w:jc w:val="left"/>
              <w:rPr>
                <w:sz w:val="22"/>
                <w:szCs w:val="22"/>
              </w:rPr>
            </w:pPr>
            <w:r w:rsidRPr="00F700F5">
              <w:rPr>
                <w:sz w:val="22"/>
                <w:szCs w:val="22"/>
              </w:rPr>
              <w:t>Quarterly</w:t>
            </w:r>
          </w:p>
        </w:tc>
        <w:tc>
          <w:tcPr>
            <w:tcW w:w="1898" w:type="dxa"/>
          </w:tcPr>
          <w:p w14:paraId="319A6043" w14:textId="77777777" w:rsidR="00246A3C" w:rsidRPr="00F700F5" w:rsidRDefault="00246A3C" w:rsidP="0048442C">
            <w:pPr>
              <w:ind w:firstLine="0"/>
              <w:jc w:val="left"/>
              <w:rPr>
                <w:sz w:val="22"/>
                <w:szCs w:val="22"/>
              </w:rPr>
            </w:pPr>
            <w:r w:rsidRPr="00F700F5">
              <w:rPr>
                <w:sz w:val="22"/>
                <w:szCs w:val="22"/>
              </w:rPr>
              <w:t>Semiannual</w:t>
            </w:r>
          </w:p>
        </w:tc>
        <w:tc>
          <w:tcPr>
            <w:tcW w:w="1980" w:type="dxa"/>
          </w:tcPr>
          <w:p w14:paraId="0A6BB6EC" w14:textId="77777777" w:rsidR="00246A3C" w:rsidRPr="00F700F5" w:rsidRDefault="00246A3C" w:rsidP="0048442C">
            <w:pPr>
              <w:ind w:firstLine="0"/>
              <w:jc w:val="left"/>
              <w:rPr>
                <w:sz w:val="22"/>
                <w:szCs w:val="22"/>
              </w:rPr>
            </w:pPr>
            <w:r w:rsidRPr="00F700F5">
              <w:rPr>
                <w:sz w:val="22"/>
                <w:szCs w:val="22"/>
              </w:rPr>
              <w:t>Semiannual</w:t>
            </w:r>
          </w:p>
        </w:tc>
        <w:tc>
          <w:tcPr>
            <w:tcW w:w="1786" w:type="dxa"/>
          </w:tcPr>
          <w:p w14:paraId="61552146" w14:textId="77777777" w:rsidR="00246A3C" w:rsidRPr="00F700F5" w:rsidRDefault="00246A3C" w:rsidP="0048442C">
            <w:pPr>
              <w:ind w:firstLine="0"/>
              <w:jc w:val="left"/>
              <w:rPr>
                <w:sz w:val="22"/>
                <w:szCs w:val="22"/>
              </w:rPr>
            </w:pPr>
            <w:r w:rsidRPr="00F700F5">
              <w:rPr>
                <w:sz w:val="22"/>
                <w:szCs w:val="22"/>
              </w:rPr>
              <w:t>Semiannual</w:t>
            </w:r>
          </w:p>
        </w:tc>
      </w:tr>
      <w:tr w:rsidR="00246A3C" w:rsidRPr="00F700F5" w14:paraId="571B1323" w14:textId="77777777" w:rsidTr="0048442C">
        <w:tc>
          <w:tcPr>
            <w:tcW w:w="0" w:type="auto"/>
          </w:tcPr>
          <w:p w14:paraId="4DB28C9C" w14:textId="77777777" w:rsidR="00246A3C" w:rsidRPr="00F700F5" w:rsidRDefault="00246A3C" w:rsidP="0048442C">
            <w:pPr>
              <w:ind w:firstLine="0"/>
              <w:jc w:val="left"/>
              <w:rPr>
                <w:sz w:val="22"/>
                <w:szCs w:val="22"/>
              </w:rPr>
            </w:pPr>
            <w:r w:rsidRPr="00F700F5">
              <w:rPr>
                <w:sz w:val="22"/>
                <w:szCs w:val="22"/>
              </w:rPr>
              <w:t>Reference Index</w:t>
            </w:r>
          </w:p>
        </w:tc>
        <w:tc>
          <w:tcPr>
            <w:tcW w:w="0" w:type="auto"/>
          </w:tcPr>
          <w:p w14:paraId="55C911F0" w14:textId="77777777" w:rsidR="00246A3C" w:rsidRPr="00F700F5" w:rsidRDefault="00246A3C" w:rsidP="0048442C">
            <w:pPr>
              <w:ind w:firstLine="0"/>
              <w:jc w:val="left"/>
              <w:rPr>
                <w:sz w:val="22"/>
                <w:szCs w:val="22"/>
              </w:rPr>
            </w:pPr>
            <w:r w:rsidRPr="00F700F5">
              <w:rPr>
                <w:sz w:val="22"/>
                <w:szCs w:val="22"/>
              </w:rPr>
              <w:t>USD LIBOR 3M</w:t>
            </w:r>
          </w:p>
        </w:tc>
        <w:tc>
          <w:tcPr>
            <w:tcW w:w="1898" w:type="dxa"/>
          </w:tcPr>
          <w:p w14:paraId="1DC21927" w14:textId="77777777" w:rsidR="00246A3C" w:rsidRPr="00F700F5" w:rsidRDefault="00246A3C" w:rsidP="0048442C">
            <w:pPr>
              <w:ind w:firstLine="0"/>
              <w:jc w:val="left"/>
              <w:rPr>
                <w:sz w:val="22"/>
                <w:szCs w:val="22"/>
              </w:rPr>
            </w:pPr>
            <w:r w:rsidRPr="00F700F5">
              <w:rPr>
                <w:sz w:val="22"/>
                <w:szCs w:val="22"/>
              </w:rPr>
              <w:t>CDOR 3M</w:t>
            </w:r>
          </w:p>
        </w:tc>
        <w:tc>
          <w:tcPr>
            <w:tcW w:w="1980" w:type="dxa"/>
          </w:tcPr>
          <w:p w14:paraId="3A4BB566" w14:textId="77777777" w:rsidR="00246A3C" w:rsidRPr="00F700F5" w:rsidRDefault="00246A3C" w:rsidP="0048442C">
            <w:pPr>
              <w:ind w:firstLine="0"/>
              <w:jc w:val="left"/>
              <w:rPr>
                <w:sz w:val="22"/>
                <w:szCs w:val="22"/>
              </w:rPr>
            </w:pPr>
            <w:r w:rsidRPr="00F700F5">
              <w:rPr>
                <w:sz w:val="22"/>
                <w:szCs w:val="22"/>
              </w:rPr>
              <w:t>GBP LIBOR 6M</w:t>
            </w:r>
          </w:p>
        </w:tc>
        <w:tc>
          <w:tcPr>
            <w:tcW w:w="1786" w:type="dxa"/>
          </w:tcPr>
          <w:p w14:paraId="057AE7CB" w14:textId="77777777" w:rsidR="00246A3C" w:rsidRPr="00F700F5" w:rsidRDefault="00246A3C" w:rsidP="0048442C">
            <w:pPr>
              <w:ind w:firstLine="0"/>
              <w:jc w:val="left"/>
              <w:rPr>
                <w:sz w:val="22"/>
                <w:szCs w:val="22"/>
              </w:rPr>
            </w:pPr>
            <w:r w:rsidRPr="00F700F5">
              <w:rPr>
                <w:sz w:val="22"/>
                <w:szCs w:val="22"/>
              </w:rPr>
              <w:t>CHF LIBOR 6M</w:t>
            </w:r>
          </w:p>
        </w:tc>
      </w:tr>
      <w:tr w:rsidR="00246A3C" w:rsidRPr="00F700F5" w14:paraId="1807AA45" w14:textId="77777777" w:rsidTr="0048442C">
        <w:tc>
          <w:tcPr>
            <w:tcW w:w="0" w:type="auto"/>
          </w:tcPr>
          <w:p w14:paraId="44BA0EFD" w14:textId="77777777" w:rsidR="00246A3C" w:rsidRPr="00F700F5" w:rsidRDefault="00246A3C" w:rsidP="0048442C">
            <w:pPr>
              <w:ind w:firstLine="0"/>
              <w:jc w:val="left"/>
              <w:rPr>
                <w:sz w:val="22"/>
                <w:szCs w:val="22"/>
              </w:rPr>
            </w:pPr>
            <w:r w:rsidRPr="00F700F5">
              <w:rPr>
                <w:sz w:val="22"/>
                <w:szCs w:val="22"/>
              </w:rPr>
              <w:t>Reset Frequency</w:t>
            </w:r>
          </w:p>
        </w:tc>
        <w:tc>
          <w:tcPr>
            <w:tcW w:w="0" w:type="auto"/>
          </w:tcPr>
          <w:p w14:paraId="30DDE19E" w14:textId="77777777" w:rsidR="00246A3C" w:rsidRPr="00F700F5" w:rsidRDefault="00246A3C" w:rsidP="0048442C">
            <w:pPr>
              <w:ind w:firstLine="0"/>
              <w:jc w:val="left"/>
              <w:rPr>
                <w:sz w:val="22"/>
                <w:szCs w:val="22"/>
              </w:rPr>
            </w:pPr>
            <w:r w:rsidRPr="00F700F5">
              <w:rPr>
                <w:sz w:val="22"/>
                <w:szCs w:val="22"/>
              </w:rPr>
              <w:t>Quarterly</w:t>
            </w:r>
          </w:p>
        </w:tc>
        <w:tc>
          <w:tcPr>
            <w:tcW w:w="1898" w:type="dxa"/>
          </w:tcPr>
          <w:p w14:paraId="4B253ED8" w14:textId="77777777" w:rsidR="00246A3C" w:rsidRPr="00F700F5" w:rsidRDefault="00246A3C" w:rsidP="0048442C">
            <w:pPr>
              <w:ind w:firstLine="0"/>
              <w:jc w:val="left"/>
              <w:rPr>
                <w:sz w:val="22"/>
                <w:szCs w:val="22"/>
              </w:rPr>
            </w:pPr>
            <w:r w:rsidRPr="00F700F5">
              <w:rPr>
                <w:sz w:val="22"/>
                <w:szCs w:val="22"/>
              </w:rPr>
              <w:t>Quarterly</w:t>
            </w:r>
          </w:p>
        </w:tc>
        <w:tc>
          <w:tcPr>
            <w:tcW w:w="1980" w:type="dxa"/>
          </w:tcPr>
          <w:p w14:paraId="6EE8B324" w14:textId="77777777" w:rsidR="00246A3C" w:rsidRPr="00F700F5" w:rsidRDefault="00246A3C" w:rsidP="0048442C">
            <w:pPr>
              <w:ind w:firstLine="0"/>
              <w:jc w:val="left"/>
              <w:rPr>
                <w:sz w:val="22"/>
                <w:szCs w:val="22"/>
              </w:rPr>
            </w:pPr>
            <w:r w:rsidRPr="00F700F5">
              <w:rPr>
                <w:sz w:val="22"/>
                <w:szCs w:val="22"/>
              </w:rPr>
              <w:t>Semiannual</w:t>
            </w:r>
          </w:p>
        </w:tc>
        <w:tc>
          <w:tcPr>
            <w:tcW w:w="1786" w:type="dxa"/>
          </w:tcPr>
          <w:p w14:paraId="702D61A3" w14:textId="77777777" w:rsidR="00246A3C" w:rsidRPr="00F700F5" w:rsidRDefault="00246A3C" w:rsidP="0048442C">
            <w:pPr>
              <w:ind w:firstLine="0"/>
              <w:jc w:val="left"/>
              <w:rPr>
                <w:sz w:val="22"/>
                <w:szCs w:val="22"/>
              </w:rPr>
            </w:pPr>
            <w:r w:rsidRPr="00F700F5">
              <w:rPr>
                <w:sz w:val="22"/>
                <w:szCs w:val="22"/>
              </w:rPr>
              <w:t>Semiannual</w:t>
            </w:r>
          </w:p>
        </w:tc>
      </w:tr>
      <w:tr w:rsidR="00246A3C" w:rsidRPr="00F700F5" w14:paraId="5EDD5F4A" w14:textId="77777777" w:rsidTr="0048442C">
        <w:tc>
          <w:tcPr>
            <w:tcW w:w="0" w:type="auto"/>
          </w:tcPr>
          <w:p w14:paraId="791BDCE0" w14:textId="77777777" w:rsidR="00246A3C" w:rsidRPr="00F700F5" w:rsidRDefault="00246A3C" w:rsidP="0048442C">
            <w:pPr>
              <w:ind w:firstLine="0"/>
              <w:jc w:val="left"/>
              <w:rPr>
                <w:sz w:val="22"/>
                <w:szCs w:val="22"/>
              </w:rPr>
            </w:pPr>
            <w:r w:rsidRPr="00F700F5">
              <w:rPr>
                <w:sz w:val="22"/>
                <w:szCs w:val="22"/>
              </w:rPr>
              <w:t>Business Day Adjustment</w:t>
            </w:r>
          </w:p>
        </w:tc>
        <w:tc>
          <w:tcPr>
            <w:tcW w:w="0" w:type="auto"/>
          </w:tcPr>
          <w:p w14:paraId="3CF565FA" w14:textId="77777777" w:rsidR="00246A3C" w:rsidRPr="00F700F5" w:rsidRDefault="00246A3C" w:rsidP="0048442C">
            <w:pPr>
              <w:ind w:firstLine="0"/>
              <w:jc w:val="left"/>
              <w:rPr>
                <w:sz w:val="22"/>
                <w:szCs w:val="22"/>
              </w:rPr>
            </w:pPr>
            <w:r w:rsidRPr="00F700F5">
              <w:rPr>
                <w:sz w:val="22"/>
                <w:szCs w:val="22"/>
              </w:rPr>
              <w:t>Modified Following Business Day</w:t>
            </w:r>
          </w:p>
        </w:tc>
        <w:tc>
          <w:tcPr>
            <w:tcW w:w="1898" w:type="dxa"/>
          </w:tcPr>
          <w:p w14:paraId="2D55F12D" w14:textId="77777777" w:rsidR="00246A3C" w:rsidRPr="00F700F5" w:rsidRDefault="00246A3C" w:rsidP="0048442C">
            <w:pPr>
              <w:ind w:firstLine="0"/>
              <w:jc w:val="left"/>
              <w:rPr>
                <w:sz w:val="22"/>
                <w:szCs w:val="22"/>
              </w:rPr>
            </w:pPr>
            <w:r w:rsidRPr="00F700F5">
              <w:rPr>
                <w:sz w:val="22"/>
                <w:szCs w:val="22"/>
              </w:rPr>
              <w:t>Modified Following</w:t>
            </w:r>
          </w:p>
        </w:tc>
        <w:tc>
          <w:tcPr>
            <w:tcW w:w="1980" w:type="dxa"/>
          </w:tcPr>
          <w:p w14:paraId="55121E84" w14:textId="77777777" w:rsidR="00246A3C" w:rsidRPr="00F700F5" w:rsidRDefault="00246A3C" w:rsidP="0048442C">
            <w:pPr>
              <w:ind w:firstLine="0"/>
              <w:jc w:val="left"/>
              <w:rPr>
                <w:sz w:val="22"/>
                <w:szCs w:val="22"/>
              </w:rPr>
            </w:pPr>
            <w:r w:rsidRPr="00F700F5">
              <w:rPr>
                <w:sz w:val="22"/>
                <w:szCs w:val="22"/>
              </w:rPr>
              <w:t>Modified Following</w:t>
            </w:r>
          </w:p>
        </w:tc>
        <w:tc>
          <w:tcPr>
            <w:tcW w:w="1786" w:type="dxa"/>
          </w:tcPr>
          <w:p w14:paraId="33299F9F" w14:textId="77777777" w:rsidR="00246A3C" w:rsidRPr="00F700F5" w:rsidRDefault="00246A3C" w:rsidP="0048442C">
            <w:pPr>
              <w:ind w:firstLine="0"/>
              <w:jc w:val="left"/>
              <w:rPr>
                <w:sz w:val="22"/>
                <w:szCs w:val="22"/>
              </w:rPr>
            </w:pPr>
            <w:r w:rsidRPr="00F700F5">
              <w:rPr>
                <w:sz w:val="22"/>
                <w:szCs w:val="22"/>
              </w:rPr>
              <w:t>Modified Following</w:t>
            </w:r>
          </w:p>
        </w:tc>
      </w:tr>
      <w:tr w:rsidR="00246A3C" w:rsidRPr="00F700F5" w14:paraId="0338C39C" w14:textId="77777777" w:rsidTr="0048442C">
        <w:tc>
          <w:tcPr>
            <w:tcW w:w="0" w:type="auto"/>
          </w:tcPr>
          <w:p w14:paraId="6D9D937D" w14:textId="77777777" w:rsidR="00246A3C" w:rsidRPr="00F700F5" w:rsidRDefault="00246A3C" w:rsidP="0048442C">
            <w:pPr>
              <w:ind w:firstLine="0"/>
              <w:jc w:val="left"/>
              <w:rPr>
                <w:sz w:val="22"/>
                <w:szCs w:val="22"/>
              </w:rPr>
            </w:pPr>
            <w:r w:rsidRPr="00F700F5">
              <w:rPr>
                <w:sz w:val="22"/>
                <w:szCs w:val="22"/>
              </w:rPr>
              <w:lastRenderedPageBreak/>
              <w:t>Adjustment Type</w:t>
            </w:r>
          </w:p>
        </w:tc>
        <w:tc>
          <w:tcPr>
            <w:tcW w:w="0" w:type="auto"/>
          </w:tcPr>
          <w:p w14:paraId="51301B0B" w14:textId="77777777" w:rsidR="00246A3C" w:rsidRPr="00F700F5" w:rsidRDefault="00246A3C" w:rsidP="0048442C">
            <w:pPr>
              <w:ind w:firstLine="0"/>
              <w:jc w:val="left"/>
              <w:rPr>
                <w:sz w:val="22"/>
                <w:szCs w:val="22"/>
              </w:rPr>
            </w:pPr>
            <w:r w:rsidRPr="00F700F5">
              <w:rPr>
                <w:sz w:val="22"/>
                <w:szCs w:val="22"/>
              </w:rPr>
              <w:t>Accrual and Payment Dates</w:t>
            </w:r>
          </w:p>
        </w:tc>
        <w:tc>
          <w:tcPr>
            <w:tcW w:w="1898" w:type="dxa"/>
          </w:tcPr>
          <w:p w14:paraId="3D8A5FC5" w14:textId="77777777" w:rsidR="00246A3C" w:rsidRPr="00F700F5" w:rsidRDefault="00246A3C" w:rsidP="0048442C">
            <w:pPr>
              <w:ind w:firstLine="0"/>
              <w:jc w:val="left"/>
              <w:rPr>
                <w:sz w:val="22"/>
                <w:szCs w:val="22"/>
              </w:rPr>
            </w:pPr>
            <w:r w:rsidRPr="00F700F5">
              <w:rPr>
                <w:sz w:val="22"/>
                <w:szCs w:val="22"/>
              </w:rPr>
              <w:t>Accrual and Payment Dates</w:t>
            </w:r>
          </w:p>
        </w:tc>
        <w:tc>
          <w:tcPr>
            <w:tcW w:w="1980" w:type="dxa"/>
          </w:tcPr>
          <w:p w14:paraId="0088DC31" w14:textId="77777777" w:rsidR="00246A3C" w:rsidRPr="00F700F5" w:rsidRDefault="00246A3C" w:rsidP="0048442C">
            <w:pPr>
              <w:ind w:firstLine="0"/>
              <w:jc w:val="left"/>
              <w:rPr>
                <w:sz w:val="22"/>
                <w:szCs w:val="22"/>
              </w:rPr>
            </w:pPr>
            <w:r w:rsidRPr="00F700F5">
              <w:rPr>
                <w:sz w:val="22"/>
                <w:szCs w:val="22"/>
              </w:rPr>
              <w:t>Accrual and Payment Dates</w:t>
            </w:r>
          </w:p>
        </w:tc>
        <w:tc>
          <w:tcPr>
            <w:tcW w:w="1786" w:type="dxa"/>
          </w:tcPr>
          <w:p w14:paraId="1D73EC31" w14:textId="77777777" w:rsidR="00246A3C" w:rsidRPr="00F700F5" w:rsidRDefault="00246A3C" w:rsidP="0048442C">
            <w:pPr>
              <w:ind w:firstLine="0"/>
              <w:jc w:val="left"/>
              <w:rPr>
                <w:sz w:val="22"/>
                <w:szCs w:val="22"/>
              </w:rPr>
            </w:pPr>
            <w:r w:rsidRPr="00F700F5">
              <w:rPr>
                <w:sz w:val="22"/>
                <w:szCs w:val="22"/>
              </w:rPr>
              <w:t>Accrual and Payment Dates</w:t>
            </w:r>
          </w:p>
        </w:tc>
      </w:tr>
      <w:tr w:rsidR="00246A3C" w:rsidRPr="00F700F5" w14:paraId="402AE7F2" w14:textId="77777777" w:rsidTr="0048442C">
        <w:tc>
          <w:tcPr>
            <w:tcW w:w="0" w:type="auto"/>
          </w:tcPr>
          <w:p w14:paraId="33B4F24E" w14:textId="77777777" w:rsidR="00246A3C" w:rsidRPr="00F700F5" w:rsidRDefault="00246A3C" w:rsidP="0048442C">
            <w:pPr>
              <w:ind w:firstLine="0"/>
              <w:jc w:val="left"/>
              <w:rPr>
                <w:sz w:val="22"/>
                <w:szCs w:val="22"/>
              </w:rPr>
            </w:pPr>
            <w:r w:rsidRPr="00F700F5">
              <w:rPr>
                <w:sz w:val="22"/>
                <w:szCs w:val="22"/>
              </w:rPr>
              <w:t>Roll Convention</w:t>
            </w:r>
          </w:p>
        </w:tc>
        <w:tc>
          <w:tcPr>
            <w:tcW w:w="0" w:type="auto"/>
          </w:tcPr>
          <w:p w14:paraId="3FC06621" w14:textId="77777777" w:rsidR="00246A3C" w:rsidRPr="00F700F5" w:rsidRDefault="00246A3C" w:rsidP="0048442C">
            <w:pPr>
              <w:ind w:firstLine="0"/>
              <w:jc w:val="left"/>
              <w:rPr>
                <w:sz w:val="22"/>
                <w:szCs w:val="22"/>
              </w:rPr>
            </w:pPr>
            <w:r w:rsidRPr="00F700F5">
              <w:rPr>
                <w:sz w:val="22"/>
                <w:szCs w:val="22"/>
              </w:rPr>
              <w:t>Backward</w:t>
            </w:r>
          </w:p>
        </w:tc>
        <w:tc>
          <w:tcPr>
            <w:tcW w:w="1898" w:type="dxa"/>
          </w:tcPr>
          <w:p w14:paraId="531AD345" w14:textId="77777777" w:rsidR="00246A3C" w:rsidRPr="00F700F5" w:rsidRDefault="00246A3C" w:rsidP="0048442C">
            <w:pPr>
              <w:ind w:firstLine="0"/>
              <w:jc w:val="left"/>
              <w:rPr>
                <w:sz w:val="22"/>
                <w:szCs w:val="22"/>
              </w:rPr>
            </w:pPr>
            <w:r w:rsidRPr="00F700F5">
              <w:rPr>
                <w:sz w:val="22"/>
                <w:szCs w:val="22"/>
              </w:rPr>
              <w:t>Backward</w:t>
            </w:r>
          </w:p>
        </w:tc>
        <w:tc>
          <w:tcPr>
            <w:tcW w:w="1980" w:type="dxa"/>
          </w:tcPr>
          <w:p w14:paraId="4727E70A" w14:textId="77777777" w:rsidR="00246A3C" w:rsidRPr="00F700F5" w:rsidRDefault="00246A3C" w:rsidP="0048442C">
            <w:pPr>
              <w:ind w:firstLine="0"/>
              <w:jc w:val="left"/>
              <w:rPr>
                <w:sz w:val="22"/>
                <w:szCs w:val="22"/>
              </w:rPr>
            </w:pPr>
            <w:r w:rsidRPr="00F700F5">
              <w:rPr>
                <w:sz w:val="22"/>
                <w:szCs w:val="22"/>
              </w:rPr>
              <w:t>Backward (EOM)</w:t>
            </w:r>
          </w:p>
        </w:tc>
        <w:tc>
          <w:tcPr>
            <w:tcW w:w="1786" w:type="dxa"/>
          </w:tcPr>
          <w:p w14:paraId="60D756D4" w14:textId="77777777" w:rsidR="00246A3C" w:rsidRPr="00F700F5" w:rsidRDefault="00246A3C" w:rsidP="0048442C">
            <w:pPr>
              <w:ind w:firstLine="0"/>
              <w:jc w:val="left"/>
              <w:rPr>
                <w:sz w:val="22"/>
                <w:szCs w:val="22"/>
              </w:rPr>
            </w:pPr>
            <w:r w:rsidRPr="00F700F5">
              <w:rPr>
                <w:sz w:val="22"/>
                <w:szCs w:val="22"/>
              </w:rPr>
              <w:t>Backward</w:t>
            </w:r>
          </w:p>
        </w:tc>
      </w:tr>
      <w:tr w:rsidR="00246A3C" w:rsidRPr="00F700F5" w14:paraId="2D3AA07E" w14:textId="77777777" w:rsidTr="0048442C">
        <w:tc>
          <w:tcPr>
            <w:tcW w:w="0" w:type="auto"/>
          </w:tcPr>
          <w:p w14:paraId="4910FC17" w14:textId="77777777" w:rsidR="00246A3C" w:rsidRPr="00F700F5" w:rsidRDefault="00246A3C" w:rsidP="0048442C">
            <w:pPr>
              <w:ind w:firstLine="0"/>
              <w:jc w:val="left"/>
              <w:rPr>
                <w:sz w:val="22"/>
                <w:szCs w:val="22"/>
              </w:rPr>
            </w:pPr>
            <w:r w:rsidRPr="00F700F5">
              <w:rPr>
                <w:sz w:val="22"/>
                <w:szCs w:val="22"/>
              </w:rPr>
              <w:t>Calculation Calendar</w:t>
            </w:r>
          </w:p>
        </w:tc>
        <w:tc>
          <w:tcPr>
            <w:tcW w:w="0" w:type="auto"/>
          </w:tcPr>
          <w:p w14:paraId="2BA3DBA5" w14:textId="77777777" w:rsidR="00246A3C" w:rsidRPr="00F700F5" w:rsidRDefault="00246A3C" w:rsidP="0048442C">
            <w:pPr>
              <w:ind w:firstLine="0"/>
              <w:jc w:val="left"/>
              <w:rPr>
                <w:sz w:val="22"/>
                <w:szCs w:val="22"/>
              </w:rPr>
            </w:pPr>
            <w:r w:rsidRPr="00F700F5">
              <w:rPr>
                <w:sz w:val="22"/>
                <w:szCs w:val="22"/>
              </w:rPr>
              <w:t>US Federal Reserve, England</w:t>
            </w:r>
          </w:p>
        </w:tc>
        <w:tc>
          <w:tcPr>
            <w:tcW w:w="1898" w:type="dxa"/>
          </w:tcPr>
          <w:p w14:paraId="482E01E3" w14:textId="77777777" w:rsidR="00246A3C" w:rsidRPr="00F700F5" w:rsidRDefault="00246A3C" w:rsidP="0048442C">
            <w:pPr>
              <w:ind w:firstLine="0"/>
              <w:jc w:val="left"/>
              <w:rPr>
                <w:sz w:val="22"/>
                <w:szCs w:val="22"/>
              </w:rPr>
            </w:pPr>
            <w:r w:rsidRPr="00F700F5">
              <w:rPr>
                <w:sz w:val="22"/>
                <w:szCs w:val="22"/>
              </w:rPr>
              <w:t>Canada</w:t>
            </w:r>
          </w:p>
        </w:tc>
        <w:tc>
          <w:tcPr>
            <w:tcW w:w="1980" w:type="dxa"/>
          </w:tcPr>
          <w:p w14:paraId="280B3D1B" w14:textId="77777777" w:rsidR="00246A3C" w:rsidRPr="00F700F5" w:rsidRDefault="00246A3C" w:rsidP="0048442C">
            <w:pPr>
              <w:ind w:firstLine="0"/>
              <w:jc w:val="left"/>
              <w:rPr>
                <w:sz w:val="22"/>
                <w:szCs w:val="22"/>
              </w:rPr>
            </w:pPr>
            <w:r w:rsidRPr="00F700F5">
              <w:rPr>
                <w:sz w:val="22"/>
                <w:szCs w:val="22"/>
              </w:rPr>
              <w:t>England</w:t>
            </w:r>
          </w:p>
        </w:tc>
        <w:tc>
          <w:tcPr>
            <w:tcW w:w="1786" w:type="dxa"/>
          </w:tcPr>
          <w:p w14:paraId="5233EDE7" w14:textId="77777777" w:rsidR="00246A3C" w:rsidRPr="00F700F5" w:rsidRDefault="00246A3C" w:rsidP="0048442C">
            <w:pPr>
              <w:ind w:firstLine="0"/>
              <w:jc w:val="left"/>
              <w:rPr>
                <w:sz w:val="22"/>
                <w:szCs w:val="22"/>
              </w:rPr>
            </w:pPr>
            <w:r w:rsidRPr="00F700F5">
              <w:rPr>
                <w:sz w:val="22"/>
                <w:szCs w:val="22"/>
              </w:rPr>
              <w:t>Switzerland</w:t>
            </w:r>
          </w:p>
        </w:tc>
      </w:tr>
      <w:tr w:rsidR="00246A3C" w:rsidRPr="00F700F5" w14:paraId="6FF86BA0" w14:textId="77777777" w:rsidTr="0048442C">
        <w:tc>
          <w:tcPr>
            <w:tcW w:w="0" w:type="auto"/>
          </w:tcPr>
          <w:p w14:paraId="3D2BD8FE" w14:textId="77777777" w:rsidR="00246A3C" w:rsidRPr="00F700F5" w:rsidRDefault="00246A3C" w:rsidP="0048442C">
            <w:pPr>
              <w:ind w:firstLine="0"/>
              <w:jc w:val="left"/>
              <w:rPr>
                <w:sz w:val="22"/>
                <w:szCs w:val="22"/>
              </w:rPr>
            </w:pPr>
            <w:r w:rsidRPr="00F700F5">
              <w:rPr>
                <w:sz w:val="22"/>
                <w:szCs w:val="22"/>
              </w:rPr>
              <w:t>Fixing Calendar</w:t>
            </w:r>
          </w:p>
        </w:tc>
        <w:tc>
          <w:tcPr>
            <w:tcW w:w="0" w:type="auto"/>
          </w:tcPr>
          <w:p w14:paraId="56304C3B" w14:textId="77777777" w:rsidR="00246A3C" w:rsidRPr="00F700F5" w:rsidRDefault="00246A3C" w:rsidP="0048442C">
            <w:pPr>
              <w:ind w:firstLine="0"/>
              <w:jc w:val="left"/>
              <w:rPr>
                <w:sz w:val="22"/>
                <w:szCs w:val="22"/>
              </w:rPr>
            </w:pPr>
            <w:r w:rsidRPr="00F700F5">
              <w:rPr>
                <w:sz w:val="22"/>
                <w:szCs w:val="22"/>
              </w:rPr>
              <w:t>England</w:t>
            </w:r>
          </w:p>
        </w:tc>
        <w:tc>
          <w:tcPr>
            <w:tcW w:w="1898" w:type="dxa"/>
          </w:tcPr>
          <w:p w14:paraId="15E969F9" w14:textId="77777777" w:rsidR="00246A3C" w:rsidRPr="00F700F5" w:rsidRDefault="00246A3C" w:rsidP="0048442C">
            <w:pPr>
              <w:ind w:firstLine="0"/>
              <w:jc w:val="left"/>
              <w:rPr>
                <w:sz w:val="22"/>
                <w:szCs w:val="22"/>
              </w:rPr>
            </w:pPr>
            <w:r w:rsidRPr="00F700F5">
              <w:rPr>
                <w:sz w:val="22"/>
                <w:szCs w:val="22"/>
              </w:rPr>
              <w:t>Canada</w:t>
            </w:r>
          </w:p>
        </w:tc>
        <w:tc>
          <w:tcPr>
            <w:tcW w:w="1980" w:type="dxa"/>
          </w:tcPr>
          <w:p w14:paraId="36933692" w14:textId="77777777" w:rsidR="00246A3C" w:rsidRPr="00F700F5" w:rsidRDefault="00246A3C" w:rsidP="0048442C">
            <w:pPr>
              <w:ind w:firstLine="0"/>
              <w:jc w:val="left"/>
              <w:rPr>
                <w:sz w:val="22"/>
                <w:szCs w:val="22"/>
              </w:rPr>
            </w:pPr>
            <w:r w:rsidRPr="00F700F5">
              <w:rPr>
                <w:sz w:val="22"/>
                <w:szCs w:val="22"/>
              </w:rPr>
              <w:t>England</w:t>
            </w:r>
          </w:p>
        </w:tc>
        <w:tc>
          <w:tcPr>
            <w:tcW w:w="1786" w:type="dxa"/>
          </w:tcPr>
          <w:p w14:paraId="48A152F5" w14:textId="77777777" w:rsidR="00246A3C" w:rsidRPr="00F700F5" w:rsidRDefault="00246A3C" w:rsidP="0048442C">
            <w:pPr>
              <w:ind w:firstLine="0"/>
              <w:jc w:val="left"/>
              <w:rPr>
                <w:sz w:val="22"/>
                <w:szCs w:val="22"/>
              </w:rPr>
            </w:pPr>
            <w:r w:rsidRPr="00F700F5">
              <w:rPr>
                <w:sz w:val="22"/>
                <w:szCs w:val="22"/>
              </w:rPr>
              <w:t>England</w:t>
            </w:r>
          </w:p>
        </w:tc>
      </w:tr>
      <w:tr w:rsidR="00246A3C" w:rsidRPr="00F700F5" w14:paraId="694669CE" w14:textId="77777777" w:rsidTr="0048442C">
        <w:tc>
          <w:tcPr>
            <w:tcW w:w="0" w:type="auto"/>
          </w:tcPr>
          <w:p w14:paraId="2845C52C" w14:textId="77777777" w:rsidR="00246A3C" w:rsidRPr="00F700F5" w:rsidRDefault="00246A3C" w:rsidP="0048442C">
            <w:pPr>
              <w:ind w:firstLine="0"/>
              <w:jc w:val="left"/>
              <w:rPr>
                <w:sz w:val="22"/>
                <w:szCs w:val="22"/>
              </w:rPr>
            </w:pPr>
            <w:r w:rsidRPr="00F700F5">
              <w:rPr>
                <w:sz w:val="22"/>
                <w:szCs w:val="22"/>
              </w:rPr>
              <w:t>Fixing Lag</w:t>
            </w:r>
          </w:p>
        </w:tc>
        <w:tc>
          <w:tcPr>
            <w:tcW w:w="0" w:type="auto"/>
          </w:tcPr>
          <w:p w14:paraId="17A9FFFB" w14:textId="77777777" w:rsidR="00246A3C" w:rsidRPr="00F700F5" w:rsidRDefault="00246A3C" w:rsidP="0048442C">
            <w:pPr>
              <w:ind w:firstLine="0"/>
              <w:jc w:val="left"/>
              <w:rPr>
                <w:sz w:val="22"/>
                <w:szCs w:val="22"/>
              </w:rPr>
            </w:pPr>
            <w:r w:rsidRPr="00F700F5">
              <w:rPr>
                <w:sz w:val="22"/>
                <w:szCs w:val="22"/>
              </w:rPr>
              <w:t>2 business days</w:t>
            </w:r>
          </w:p>
        </w:tc>
        <w:tc>
          <w:tcPr>
            <w:tcW w:w="1898" w:type="dxa"/>
          </w:tcPr>
          <w:p w14:paraId="6FCDEF3C" w14:textId="77777777" w:rsidR="00246A3C" w:rsidRPr="00F700F5" w:rsidRDefault="00246A3C" w:rsidP="0048442C">
            <w:pPr>
              <w:ind w:firstLine="0"/>
              <w:jc w:val="left"/>
              <w:rPr>
                <w:sz w:val="22"/>
                <w:szCs w:val="22"/>
              </w:rPr>
            </w:pPr>
            <w:r w:rsidRPr="00F700F5">
              <w:rPr>
                <w:sz w:val="22"/>
                <w:szCs w:val="22"/>
              </w:rPr>
              <w:t>0 days</w:t>
            </w:r>
          </w:p>
        </w:tc>
        <w:tc>
          <w:tcPr>
            <w:tcW w:w="1980" w:type="dxa"/>
          </w:tcPr>
          <w:p w14:paraId="4A5FD3B2" w14:textId="77777777" w:rsidR="00246A3C" w:rsidRPr="00F700F5" w:rsidRDefault="00246A3C" w:rsidP="0048442C">
            <w:pPr>
              <w:ind w:firstLine="0"/>
              <w:jc w:val="left"/>
              <w:rPr>
                <w:sz w:val="22"/>
                <w:szCs w:val="22"/>
              </w:rPr>
            </w:pPr>
            <w:r w:rsidRPr="00F700F5">
              <w:rPr>
                <w:sz w:val="22"/>
                <w:szCs w:val="22"/>
              </w:rPr>
              <w:t>0 days</w:t>
            </w:r>
          </w:p>
        </w:tc>
        <w:tc>
          <w:tcPr>
            <w:tcW w:w="1786" w:type="dxa"/>
          </w:tcPr>
          <w:p w14:paraId="59493A17" w14:textId="77777777" w:rsidR="00246A3C" w:rsidRPr="00F700F5" w:rsidRDefault="00246A3C" w:rsidP="0048442C">
            <w:pPr>
              <w:ind w:firstLine="0"/>
              <w:jc w:val="left"/>
              <w:rPr>
                <w:sz w:val="22"/>
                <w:szCs w:val="22"/>
              </w:rPr>
            </w:pPr>
            <w:r w:rsidRPr="00F700F5">
              <w:rPr>
                <w:sz w:val="22"/>
                <w:szCs w:val="22"/>
              </w:rPr>
              <w:t>2 business days</w:t>
            </w:r>
          </w:p>
        </w:tc>
      </w:tr>
      <w:tr w:rsidR="00246A3C" w:rsidRPr="00F700F5" w14:paraId="5C0B9CF5" w14:textId="77777777" w:rsidTr="0048442C">
        <w:tc>
          <w:tcPr>
            <w:tcW w:w="0" w:type="auto"/>
          </w:tcPr>
          <w:p w14:paraId="4D5601CA" w14:textId="77777777" w:rsidR="00246A3C" w:rsidRPr="00F700F5" w:rsidRDefault="00246A3C" w:rsidP="0048442C">
            <w:pPr>
              <w:ind w:firstLine="0"/>
              <w:jc w:val="left"/>
              <w:rPr>
                <w:sz w:val="22"/>
                <w:szCs w:val="22"/>
              </w:rPr>
            </w:pPr>
            <w:r w:rsidRPr="00F700F5">
              <w:rPr>
                <w:sz w:val="22"/>
                <w:szCs w:val="22"/>
              </w:rPr>
              <w:t>Pay Delay</w:t>
            </w:r>
          </w:p>
        </w:tc>
        <w:tc>
          <w:tcPr>
            <w:tcW w:w="0" w:type="auto"/>
          </w:tcPr>
          <w:p w14:paraId="778F892E" w14:textId="77777777" w:rsidR="00246A3C" w:rsidRPr="00F700F5" w:rsidRDefault="00246A3C" w:rsidP="0048442C">
            <w:pPr>
              <w:ind w:firstLine="0"/>
              <w:jc w:val="left"/>
              <w:rPr>
                <w:sz w:val="22"/>
                <w:szCs w:val="22"/>
              </w:rPr>
            </w:pPr>
            <w:r w:rsidRPr="00F700F5">
              <w:rPr>
                <w:sz w:val="22"/>
                <w:szCs w:val="22"/>
              </w:rPr>
              <w:t>0 days</w:t>
            </w:r>
          </w:p>
        </w:tc>
        <w:tc>
          <w:tcPr>
            <w:tcW w:w="1898" w:type="dxa"/>
          </w:tcPr>
          <w:p w14:paraId="588EB201" w14:textId="77777777" w:rsidR="00246A3C" w:rsidRPr="00F700F5" w:rsidRDefault="00246A3C" w:rsidP="0048442C">
            <w:pPr>
              <w:ind w:firstLine="0"/>
              <w:jc w:val="left"/>
              <w:rPr>
                <w:sz w:val="22"/>
                <w:szCs w:val="22"/>
              </w:rPr>
            </w:pPr>
            <w:r w:rsidRPr="00F700F5">
              <w:rPr>
                <w:sz w:val="22"/>
                <w:szCs w:val="22"/>
              </w:rPr>
              <w:t>0 days</w:t>
            </w:r>
          </w:p>
        </w:tc>
        <w:tc>
          <w:tcPr>
            <w:tcW w:w="1980" w:type="dxa"/>
          </w:tcPr>
          <w:p w14:paraId="754FB9C9" w14:textId="77777777" w:rsidR="00246A3C" w:rsidRPr="00F700F5" w:rsidRDefault="00246A3C" w:rsidP="0048442C">
            <w:pPr>
              <w:ind w:firstLine="0"/>
              <w:jc w:val="left"/>
              <w:rPr>
                <w:sz w:val="22"/>
                <w:szCs w:val="22"/>
              </w:rPr>
            </w:pPr>
            <w:r w:rsidRPr="00F700F5">
              <w:rPr>
                <w:sz w:val="22"/>
                <w:szCs w:val="22"/>
              </w:rPr>
              <w:t>0 days</w:t>
            </w:r>
          </w:p>
        </w:tc>
        <w:tc>
          <w:tcPr>
            <w:tcW w:w="1786" w:type="dxa"/>
          </w:tcPr>
          <w:p w14:paraId="0E9743AB" w14:textId="77777777" w:rsidR="00246A3C" w:rsidRPr="00F700F5" w:rsidRDefault="00246A3C" w:rsidP="0048442C">
            <w:pPr>
              <w:ind w:firstLine="0"/>
              <w:jc w:val="left"/>
              <w:rPr>
                <w:sz w:val="22"/>
                <w:szCs w:val="22"/>
              </w:rPr>
            </w:pPr>
            <w:r w:rsidRPr="00F700F5">
              <w:rPr>
                <w:sz w:val="22"/>
                <w:szCs w:val="22"/>
              </w:rPr>
              <w:t>0 days</w:t>
            </w:r>
          </w:p>
        </w:tc>
      </w:tr>
      <w:tr w:rsidR="00246A3C" w:rsidRPr="00F700F5" w14:paraId="304F6514" w14:textId="77777777" w:rsidTr="0048442C">
        <w:tc>
          <w:tcPr>
            <w:tcW w:w="0" w:type="auto"/>
          </w:tcPr>
          <w:p w14:paraId="449158CB" w14:textId="77777777" w:rsidR="00246A3C" w:rsidRPr="00F700F5" w:rsidRDefault="00246A3C" w:rsidP="0048442C">
            <w:pPr>
              <w:ind w:firstLine="0"/>
              <w:jc w:val="left"/>
              <w:rPr>
                <w:sz w:val="22"/>
                <w:szCs w:val="22"/>
              </w:rPr>
            </w:pPr>
            <w:r w:rsidRPr="00F700F5">
              <w:rPr>
                <w:sz w:val="22"/>
                <w:szCs w:val="22"/>
              </w:rPr>
              <w:t>Reset Position</w:t>
            </w:r>
          </w:p>
        </w:tc>
        <w:tc>
          <w:tcPr>
            <w:tcW w:w="0" w:type="auto"/>
          </w:tcPr>
          <w:p w14:paraId="17082BE8" w14:textId="77777777" w:rsidR="00246A3C" w:rsidRPr="00F700F5" w:rsidRDefault="00246A3C" w:rsidP="0048442C">
            <w:pPr>
              <w:ind w:firstLine="0"/>
              <w:jc w:val="left"/>
              <w:rPr>
                <w:sz w:val="22"/>
                <w:szCs w:val="22"/>
              </w:rPr>
            </w:pPr>
            <w:r w:rsidRPr="00F700F5">
              <w:rPr>
                <w:sz w:val="22"/>
                <w:szCs w:val="22"/>
              </w:rPr>
              <w:t>Advance</w:t>
            </w:r>
          </w:p>
        </w:tc>
        <w:tc>
          <w:tcPr>
            <w:tcW w:w="1898" w:type="dxa"/>
          </w:tcPr>
          <w:p w14:paraId="2F8913B0" w14:textId="77777777" w:rsidR="00246A3C" w:rsidRPr="00F700F5" w:rsidRDefault="00246A3C" w:rsidP="0048442C">
            <w:pPr>
              <w:ind w:firstLine="0"/>
              <w:jc w:val="left"/>
              <w:rPr>
                <w:sz w:val="22"/>
                <w:szCs w:val="22"/>
              </w:rPr>
            </w:pPr>
            <w:r w:rsidRPr="00F700F5">
              <w:rPr>
                <w:sz w:val="22"/>
                <w:szCs w:val="22"/>
              </w:rPr>
              <w:t>Advance</w:t>
            </w:r>
          </w:p>
        </w:tc>
        <w:tc>
          <w:tcPr>
            <w:tcW w:w="1980" w:type="dxa"/>
          </w:tcPr>
          <w:p w14:paraId="38C50774" w14:textId="77777777" w:rsidR="00246A3C" w:rsidRPr="00F700F5" w:rsidRDefault="00246A3C" w:rsidP="0048442C">
            <w:pPr>
              <w:ind w:firstLine="0"/>
              <w:jc w:val="left"/>
              <w:rPr>
                <w:sz w:val="22"/>
                <w:szCs w:val="22"/>
              </w:rPr>
            </w:pPr>
            <w:r w:rsidRPr="00F700F5">
              <w:rPr>
                <w:sz w:val="22"/>
                <w:szCs w:val="22"/>
              </w:rPr>
              <w:t>Advance</w:t>
            </w:r>
          </w:p>
        </w:tc>
        <w:tc>
          <w:tcPr>
            <w:tcW w:w="1786" w:type="dxa"/>
          </w:tcPr>
          <w:p w14:paraId="79BBAFAC" w14:textId="77777777" w:rsidR="00246A3C" w:rsidRPr="00F700F5" w:rsidRDefault="00246A3C" w:rsidP="0048442C">
            <w:pPr>
              <w:ind w:firstLine="0"/>
              <w:jc w:val="left"/>
              <w:rPr>
                <w:sz w:val="22"/>
                <w:szCs w:val="22"/>
              </w:rPr>
            </w:pPr>
            <w:r w:rsidRPr="00F700F5">
              <w:rPr>
                <w:sz w:val="22"/>
                <w:szCs w:val="22"/>
              </w:rPr>
              <w:t>Advance</w:t>
            </w:r>
          </w:p>
        </w:tc>
      </w:tr>
    </w:tbl>
    <w:p w14:paraId="70E57306" w14:textId="77777777" w:rsidR="00246A3C" w:rsidRDefault="00246A3C" w:rsidP="00246A3C">
      <w:pPr>
        <w:jc w:val="left"/>
      </w:pPr>
    </w:p>
    <w:p w14:paraId="2D7AA750" w14:textId="77777777" w:rsidR="00246A3C" w:rsidRDefault="00246A3C" w:rsidP="00246A3C">
      <w:pPr>
        <w:spacing w:line="240" w:lineRule="auto"/>
        <w:ind w:firstLine="0"/>
        <w:jc w:val="left"/>
      </w:pPr>
      <w:r>
        <w:br w:type="page"/>
      </w:r>
    </w:p>
    <w:p w14:paraId="557184BF" w14:textId="77777777" w:rsidR="00246A3C" w:rsidRPr="001C0566" w:rsidRDefault="00246A3C" w:rsidP="00246A3C">
      <w:pPr>
        <w:ind w:firstLine="0"/>
      </w:pPr>
      <w:r>
        <w:lastRenderedPageBreak/>
        <w:t>Definitions</w:t>
      </w:r>
    </w:p>
    <w:p w14:paraId="7EFE87AC" w14:textId="77777777" w:rsidR="00246A3C" w:rsidRPr="002061F0" w:rsidRDefault="00246A3C" w:rsidP="00246A3C">
      <w:pPr>
        <w:ind w:firstLine="0"/>
        <w:rPr>
          <w:b/>
          <w:bCs/>
        </w:rPr>
      </w:pPr>
      <w:r w:rsidRPr="002061F0">
        <w:rPr>
          <w:b/>
          <w:bCs/>
        </w:rPr>
        <w:t>Settlement</w:t>
      </w:r>
    </w:p>
    <w:p w14:paraId="05A7CE18" w14:textId="77777777" w:rsidR="00246A3C" w:rsidRPr="002061F0" w:rsidRDefault="00246A3C" w:rsidP="00246A3C">
      <w:pPr>
        <w:ind w:firstLine="0"/>
      </w:pPr>
      <w:r w:rsidRPr="002061F0">
        <w:t>Settlement refers to the number of business days after the trade date when the swap contract is finalized, and payments are made</w:t>
      </w:r>
      <w:r>
        <w:t xml:space="preserve"> </w:t>
      </w:r>
      <w:r>
        <w:fldChar w:fldCharType="begin"/>
      </w:r>
      <w:r>
        <w:instrText xml:space="preserve"> ADDIN ZOTERO_ITEM CSL_CITATION {"citationID":"YXgnoVN3","properties":{"formattedCitation":"(Hull 2022)","plainCitation":"(Hull 2022)","noteIndex":0},"citationItems":[{"id":1108,"uris":["http://zotero.org/users/1226582/items/9BPGJICF"],"itemData":{"id":1108,"type":"book","edition":"Eleventh edition, global edition","event-place":"Harlow, England","ISBN":"978-1-292-41065-4","language":"eng","publisher":"Pearson4060 1 Online-Ressource (880 Seiten)","publisher-place":"Harlow, England","source":"K10plus ISBN","title":"Options, futures, and other derivatives","author":[{"family":"Hull","given":"John"}],"issued":{"date-parts":[["2022"]]}}}],"schema":"https://github.com/citation-style-language/schema/raw/master/csl-citation.json"} </w:instrText>
      </w:r>
      <w:r>
        <w:fldChar w:fldCharType="separate"/>
      </w:r>
      <w:r>
        <w:rPr>
          <w:noProof/>
        </w:rPr>
        <w:t>(Hull 2022)</w:t>
      </w:r>
      <w:r>
        <w:fldChar w:fldCharType="end"/>
      </w:r>
      <w:r w:rsidRPr="002061F0">
        <w:t>. The most common conventions are T+0, T+2, and T+3, where "T" represents the trade date, and the number indicates how many business days after the trade date settlement occurs. For example, in a T+2 settlement, the settlement occurs two business days after the contract is executed.</w:t>
      </w:r>
    </w:p>
    <w:p w14:paraId="119A24E5" w14:textId="77777777" w:rsidR="00246A3C" w:rsidRPr="002061F0" w:rsidRDefault="00246A3C" w:rsidP="00246A3C">
      <w:pPr>
        <w:ind w:firstLine="0"/>
        <w:rPr>
          <w:b/>
          <w:bCs/>
        </w:rPr>
      </w:pPr>
      <w:r w:rsidRPr="002061F0">
        <w:rPr>
          <w:b/>
          <w:bCs/>
        </w:rPr>
        <w:t>Fixed Leg</w:t>
      </w:r>
    </w:p>
    <w:p w14:paraId="6186252E" w14:textId="77777777" w:rsidR="00246A3C" w:rsidRPr="002061F0" w:rsidRDefault="00246A3C" w:rsidP="00246A3C">
      <w:r w:rsidRPr="002061F0">
        <w:t>The fixed leg of an interest rate swap refers to the portion of the swap where the payer makes periodic payments at a fixed interest rate, which is predetermined and remains constant throughout the life of the swap</w:t>
      </w:r>
      <w:r>
        <w:t xml:space="preserve"> </w:t>
      </w:r>
      <w:r>
        <w:fldChar w:fldCharType="begin"/>
      </w:r>
      <w:r>
        <w:instrText xml:space="preserve"> ADDIN ZOTERO_ITEM CSL_CITATION {"citationID":"Mrz6cUIb","properties":{"formattedCitation":"(Hull 2022)","plainCitation":"(Hull 2022)","noteIndex":0},"citationItems":[{"id":1108,"uris":["http://zotero.org/users/1226582/items/9BPGJICF"],"itemData":{"id":1108,"type":"book","edition":"Eleventh edition, global edition","event-place":"Harlow, England","ISBN":"978-1-292-41065-4","language":"eng","publisher":"Pearson4060 1 Online-Ressource (880 Seiten)","publisher-place":"Harlow, England","source":"K10plus ISBN","title":"Options, futures, and other derivatives","author":[{"family":"Hull","given":"John"}],"issued":{"date-parts":[["2022"]]}}}],"schema":"https://github.com/citation-style-language/schema/raw/master/csl-citation.json"} </w:instrText>
      </w:r>
      <w:r>
        <w:fldChar w:fldCharType="separate"/>
      </w:r>
      <w:r>
        <w:rPr>
          <w:noProof/>
        </w:rPr>
        <w:t>(Hull 2022)</w:t>
      </w:r>
      <w:r>
        <w:fldChar w:fldCharType="end"/>
      </w:r>
      <w:r w:rsidRPr="002061F0">
        <w:t>. The characteristics below describe various conventions associated with this leg.</w:t>
      </w:r>
    </w:p>
    <w:p w14:paraId="724D3431" w14:textId="77777777" w:rsidR="00246A3C" w:rsidRPr="002061F0" w:rsidRDefault="00246A3C" w:rsidP="00246A3C">
      <w:pPr>
        <w:pStyle w:val="ListParagraph"/>
        <w:numPr>
          <w:ilvl w:val="0"/>
          <w:numId w:val="1"/>
        </w:numPr>
      </w:pPr>
      <w:r w:rsidRPr="002061F0">
        <w:t>Day Count Convention</w:t>
      </w:r>
      <w:r>
        <w:t xml:space="preserve"> </w:t>
      </w:r>
      <w:r>
        <w:fldChar w:fldCharType="begin"/>
      </w:r>
      <w:r>
        <w:instrText xml:space="preserve"> ADDIN ZOTERO_ITEM CSL_CITATION {"citationID":"ngPrDKwg","properties":{"formattedCitation":"(Ametrano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This convention determines how interest accrues over time, using fractions of a year based on the number of days between two dates</w:t>
      </w:r>
      <w:r>
        <w:t xml:space="preserve"> </w:t>
      </w:r>
      <w:r w:rsidRPr="002061F0">
        <w:t>. Common conventions include:</w:t>
      </w:r>
    </w:p>
    <w:p w14:paraId="16D83DE1" w14:textId="77777777" w:rsidR="00246A3C" w:rsidRPr="002061F0" w:rsidRDefault="00246A3C" w:rsidP="00246A3C">
      <w:pPr>
        <w:pStyle w:val="ListParagraph"/>
        <w:numPr>
          <w:ilvl w:val="1"/>
          <w:numId w:val="1"/>
        </w:numPr>
      </w:pPr>
      <w:r w:rsidRPr="002061F0">
        <w:t>30I/360: Assumes each month has 30 days and a year has 360 days. It simplifies calculations but may deviate slightly from actual time.</w:t>
      </w:r>
      <w:r>
        <w:t xml:space="preserve"> If the start date of the day count is on 31st, it is treated as if it is the 30</w:t>
      </w:r>
      <w:r w:rsidRPr="00D94022">
        <w:rPr>
          <w:vertAlign w:val="superscript"/>
        </w:rPr>
        <w:t>th</w:t>
      </w:r>
      <w:r>
        <w:t>. If the end date is on the 31</w:t>
      </w:r>
      <w:r w:rsidRPr="00F17AA3">
        <w:rPr>
          <w:vertAlign w:val="superscript"/>
        </w:rPr>
        <w:t>st</w:t>
      </w:r>
      <w:r>
        <w:t>, then it can either be treated as the 30</w:t>
      </w:r>
      <w:r w:rsidRPr="00812B31">
        <w:rPr>
          <w:vertAlign w:val="superscript"/>
        </w:rPr>
        <w:t>th</w:t>
      </w:r>
      <w:r>
        <w:t xml:space="preserve"> or the 31</w:t>
      </w:r>
      <w:r w:rsidRPr="00812B31">
        <w:rPr>
          <w:vertAlign w:val="superscript"/>
        </w:rPr>
        <w:t>st</w:t>
      </w:r>
      <w:r>
        <w:t xml:space="preserve"> depending on the start date. It also includes special rules for when either the start or end date of the day count convention is Feb 28/29.</w:t>
      </w:r>
    </w:p>
    <w:p w14:paraId="00CAA0CE" w14:textId="77777777" w:rsidR="00246A3C" w:rsidRDefault="00246A3C" w:rsidP="00246A3C">
      <w:pPr>
        <w:pStyle w:val="ListParagraph"/>
        <w:numPr>
          <w:ilvl w:val="1"/>
          <w:numId w:val="1"/>
        </w:numPr>
      </w:pPr>
      <w:r>
        <w:t>30E/360: Like the 30I/360 convention, but if either the start or end dates are on the 31</w:t>
      </w:r>
      <w:r w:rsidRPr="00E27B52">
        <w:rPr>
          <w:vertAlign w:val="superscript"/>
        </w:rPr>
        <w:t>st</w:t>
      </w:r>
      <w:r>
        <w:t>, they are treated as if they are on the 30</w:t>
      </w:r>
      <w:r w:rsidRPr="00E27B52">
        <w:rPr>
          <w:vertAlign w:val="superscript"/>
        </w:rPr>
        <w:t>th</w:t>
      </w:r>
      <w:r>
        <w:t>. February 28/29 is always treated as 30</w:t>
      </w:r>
      <w:r w:rsidRPr="00E27B52">
        <w:rPr>
          <w:vertAlign w:val="superscript"/>
        </w:rPr>
        <w:t>th</w:t>
      </w:r>
      <w:r>
        <w:rPr>
          <w:vertAlign w:val="superscript"/>
        </w:rPr>
        <w:t>.</w:t>
      </w:r>
      <w:r>
        <w:t xml:space="preserve"> </w:t>
      </w:r>
    </w:p>
    <w:p w14:paraId="7887BDEC" w14:textId="77777777" w:rsidR="00246A3C" w:rsidRDefault="00246A3C" w:rsidP="00246A3C">
      <w:pPr>
        <w:pStyle w:val="ListParagraph"/>
        <w:numPr>
          <w:ilvl w:val="1"/>
          <w:numId w:val="1"/>
        </w:numPr>
      </w:pPr>
      <w:r w:rsidRPr="002061F0">
        <w:t>ACT/365.FIXED: Uses the actual number of days in a period, dividing by a fixed 365-day year</w:t>
      </w:r>
      <w:r>
        <w:t xml:space="preserve"> for calculating partial year interest rate accrual</w:t>
      </w:r>
      <w:r w:rsidRPr="002061F0">
        <w:t>.</w:t>
      </w:r>
    </w:p>
    <w:p w14:paraId="0A8E04B2" w14:textId="77777777" w:rsidR="00246A3C" w:rsidRPr="002061F0" w:rsidRDefault="00246A3C" w:rsidP="00246A3C">
      <w:pPr>
        <w:pStyle w:val="ListParagraph"/>
        <w:numPr>
          <w:ilvl w:val="1"/>
          <w:numId w:val="1"/>
        </w:numPr>
      </w:pPr>
      <w:r>
        <w:t>Actual/360: Uses the actual number of days between dates, but assumes the year has 360 days when calculating partial year interest payments.</w:t>
      </w:r>
    </w:p>
    <w:p w14:paraId="0556C635" w14:textId="77777777" w:rsidR="00246A3C" w:rsidRPr="002061F0" w:rsidRDefault="00246A3C" w:rsidP="00246A3C">
      <w:pPr>
        <w:pStyle w:val="ListParagraph"/>
        <w:numPr>
          <w:ilvl w:val="0"/>
          <w:numId w:val="1"/>
        </w:numPr>
      </w:pPr>
      <w:r w:rsidRPr="002061F0">
        <w:t>Payment Frequency</w:t>
      </w:r>
      <w:r>
        <w:t xml:space="preserve"> </w:t>
      </w:r>
      <w:r>
        <w:fldChar w:fldCharType="begin"/>
      </w:r>
      <w:r>
        <w:instrText xml:space="preserve"> ADDIN ZOTERO_ITEM CSL_CITATION {"citationID":"2dmhfpFS","properties":{"formattedCitation":"(Ametrano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This defines how often payments are made on the fixed leg. For instance, "semiannual" means payments are made twice a year, while "annual" means once a year.</w:t>
      </w:r>
    </w:p>
    <w:p w14:paraId="6CFE92CD" w14:textId="77777777" w:rsidR="00246A3C" w:rsidRPr="002061F0" w:rsidRDefault="00246A3C" w:rsidP="00246A3C">
      <w:pPr>
        <w:pStyle w:val="ListParagraph"/>
        <w:numPr>
          <w:ilvl w:val="0"/>
          <w:numId w:val="1"/>
        </w:numPr>
      </w:pPr>
      <w:r w:rsidRPr="002061F0">
        <w:lastRenderedPageBreak/>
        <w:t>Business Day Adjustment Convention</w:t>
      </w:r>
      <w:r>
        <w:t xml:space="preserve"> </w:t>
      </w:r>
      <w:r>
        <w:fldChar w:fldCharType="begin"/>
      </w:r>
      <w:r>
        <w:instrText xml:space="preserve"> ADDIN ZOTERO_ITEM CSL_CITATION {"citationID":"ykeP3Y2b","properties":{"formattedCitation":"(Ametrano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xml:space="preserve">: When a payment date falls on a non-business day, this convention dictates how the date is adjusted. </w:t>
      </w:r>
      <w:r>
        <w:t xml:space="preserve">All the contracts in this study use a “modified following” convention. </w:t>
      </w:r>
      <w:r w:rsidRPr="002061F0">
        <w:t xml:space="preserve">A </w:t>
      </w:r>
      <w:r>
        <w:t>m</w:t>
      </w:r>
      <w:r w:rsidRPr="002061F0">
        <w:t xml:space="preserve">odified </w:t>
      </w:r>
      <w:r>
        <w:t>f</w:t>
      </w:r>
      <w:r w:rsidRPr="002061F0">
        <w:t>ollowing convention means payments are pushed to the next business day unless that day falls in the next month, in which case payments are moved backward to the preceding business day.</w:t>
      </w:r>
    </w:p>
    <w:p w14:paraId="7D52C179" w14:textId="77777777" w:rsidR="00246A3C" w:rsidRPr="002061F0" w:rsidRDefault="00246A3C" w:rsidP="00246A3C">
      <w:pPr>
        <w:pStyle w:val="ListParagraph"/>
        <w:numPr>
          <w:ilvl w:val="0"/>
          <w:numId w:val="1"/>
        </w:numPr>
      </w:pPr>
      <w:r w:rsidRPr="002061F0">
        <w:t>Adjustment Type</w:t>
      </w:r>
      <w:r>
        <w:t xml:space="preserve"> </w:t>
      </w:r>
      <w:r>
        <w:fldChar w:fldCharType="begin"/>
      </w:r>
      <w:r>
        <w:instrText xml:space="preserve"> ADDIN ZOTERO_ITEM CSL_CITATION {"citationID":"sIAiSM95","properties":{"formattedCitation":"(Ametrano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Adjustment type refers to which dates are adjusted when a business day adjustment is necessary. For example, in "Accrual and Payment Dates" adjustment, both the accrual period and the payment date will be adjusted if necessary.</w:t>
      </w:r>
    </w:p>
    <w:p w14:paraId="6AD53AA9" w14:textId="77777777" w:rsidR="00246A3C" w:rsidRPr="002061F0" w:rsidRDefault="00246A3C" w:rsidP="00246A3C">
      <w:pPr>
        <w:pStyle w:val="ListParagraph"/>
        <w:numPr>
          <w:ilvl w:val="0"/>
          <w:numId w:val="1"/>
        </w:numPr>
      </w:pPr>
      <w:r w:rsidRPr="002061F0">
        <w:t>Roll Convention</w:t>
      </w:r>
      <w:r>
        <w:t xml:space="preserve"> </w:t>
      </w:r>
      <w:r>
        <w:fldChar w:fldCharType="begin"/>
      </w:r>
      <w:r>
        <w:instrText xml:space="preserve"> ADDIN ZOTERO_ITEM CSL_CITATION {"citationID":"oX2wJW39","properties":{"formattedCitation":"(Ametrano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The roll convention specifies how payment dates are set relative to a reference date, typically whether payments move forward or backward when adjusting for business days. A "Backward" roll moves the date to the nearest preceding business day, while "Backward (EOM)" additionally ensures payments align with end-of-month periods.</w:t>
      </w:r>
    </w:p>
    <w:p w14:paraId="11386167" w14:textId="77777777" w:rsidR="00246A3C" w:rsidRPr="002061F0" w:rsidRDefault="00246A3C" w:rsidP="00246A3C">
      <w:pPr>
        <w:pStyle w:val="ListParagraph"/>
        <w:numPr>
          <w:ilvl w:val="0"/>
          <w:numId w:val="1"/>
        </w:numPr>
      </w:pPr>
      <w:r w:rsidRPr="002061F0">
        <w:t>Accrual Calculation Calendar</w:t>
      </w:r>
      <w:r>
        <w:t xml:space="preserve"> </w:t>
      </w:r>
      <w:r>
        <w:fldChar w:fldCharType="begin"/>
      </w:r>
      <w:r>
        <w:instrText xml:space="preserve"> ADDIN ZOTERO_ITEM CSL_CITATION {"citationID":"SCahDCsg","properties":{"formattedCitation":"(Ametrano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This calendar determines which set of business days are considered in calculating the accrual of interest payments. For example, the "US Federal Reserve" calendar includes only U.S. federal holidays, while the "England" calendar takes U.K. public holidays into account.</w:t>
      </w:r>
    </w:p>
    <w:p w14:paraId="3AFD7792" w14:textId="77777777" w:rsidR="00246A3C" w:rsidRPr="002061F0" w:rsidRDefault="00246A3C" w:rsidP="00246A3C">
      <w:pPr>
        <w:pStyle w:val="ListParagraph"/>
        <w:numPr>
          <w:ilvl w:val="0"/>
          <w:numId w:val="1"/>
        </w:numPr>
      </w:pPr>
      <w:r w:rsidRPr="002061F0">
        <w:t>Pay Delay</w:t>
      </w:r>
      <w:r>
        <w:t xml:space="preserve"> (Bloomberg L.P.)</w:t>
      </w:r>
      <w:r w:rsidRPr="002061F0">
        <w:t>: Pay delay refers to the number of days between the payment due date and the actual date the payment is made. For instance, "0 days" means payments are made on the due date.</w:t>
      </w:r>
    </w:p>
    <w:p w14:paraId="28E0FCFF" w14:textId="77777777" w:rsidR="00246A3C" w:rsidRPr="002061F0" w:rsidRDefault="00246A3C" w:rsidP="00246A3C">
      <w:pPr>
        <w:ind w:firstLine="0"/>
        <w:rPr>
          <w:b/>
          <w:bCs/>
        </w:rPr>
      </w:pPr>
      <w:r w:rsidRPr="002061F0">
        <w:rPr>
          <w:b/>
          <w:bCs/>
        </w:rPr>
        <w:t>Floating Leg</w:t>
      </w:r>
    </w:p>
    <w:p w14:paraId="5A569E1F" w14:textId="77777777" w:rsidR="00246A3C" w:rsidRPr="002061F0" w:rsidRDefault="00246A3C" w:rsidP="00246A3C">
      <w:pPr>
        <w:ind w:firstLine="0"/>
      </w:pPr>
      <w:r w:rsidRPr="002061F0">
        <w:t>The floating leg of the swap is where payments are made based on a variable interest rate, which changes over time based on a reference index</w:t>
      </w:r>
      <w:r>
        <w:t xml:space="preserve"> </w:t>
      </w:r>
      <w:r>
        <w:fldChar w:fldCharType="begin"/>
      </w:r>
      <w:r>
        <w:instrText xml:space="preserve"> ADDIN ZOTERO_ITEM CSL_CITATION {"citationID":"HLwvw9tK","properties":{"formattedCitation":"(Hull 2022)","plainCitation":"(Hull 2022)","noteIndex":0},"citationItems":[{"id":1108,"uris":["http://zotero.org/users/1226582/items/9BPGJICF"],"itemData":{"id":1108,"type":"book","edition":"Eleventh edition, global edition","event-place":"Harlow, England","ISBN":"978-1-292-41065-4","language":"eng","publisher":"Pearson4060 1 Online-Ressource (880 Seiten)","publisher-place":"Harlow, England","source":"K10plus ISBN","title":"Options, futures, and other derivatives","author":[{"family":"Hull","given":"John"}],"issued":{"date-parts":[["2022"]]}}}],"schema":"https://github.com/citation-style-language/schema/raw/master/csl-citation.json"} </w:instrText>
      </w:r>
      <w:r>
        <w:fldChar w:fldCharType="separate"/>
      </w:r>
      <w:r>
        <w:rPr>
          <w:noProof/>
        </w:rPr>
        <w:t>(Hull 2022)</w:t>
      </w:r>
      <w:r>
        <w:fldChar w:fldCharType="end"/>
      </w:r>
      <w:r w:rsidRPr="002061F0">
        <w:t>. The conventions below describe how these payments are structured.</w:t>
      </w:r>
    </w:p>
    <w:p w14:paraId="47FD0326" w14:textId="77777777" w:rsidR="00246A3C" w:rsidRPr="002061F0" w:rsidRDefault="00246A3C" w:rsidP="00246A3C">
      <w:pPr>
        <w:pStyle w:val="ListParagraph"/>
        <w:numPr>
          <w:ilvl w:val="0"/>
          <w:numId w:val="3"/>
        </w:numPr>
      </w:pPr>
      <w:r w:rsidRPr="002061F0">
        <w:t>Reference Index</w:t>
      </w:r>
      <w:r>
        <w:t xml:space="preserve"> </w:t>
      </w:r>
      <w:r>
        <w:fldChar w:fldCharType="begin"/>
      </w:r>
      <w:r>
        <w:instrText xml:space="preserve"> ADDIN ZOTERO_ITEM CSL_CITATION {"citationID":"Yanu0qw8","properties":{"formattedCitation":"(Hull 2022; Ametrano and Ballabio 2003b)","plainCitation":"(Hull 2022; Ametrano and Ballabio 2003b)","noteIndex":0},"citationItems":[{"id":1108,"uris":["http://zotero.org/users/1226582/items/9BPGJICF"],"itemData":{"id":1108,"type":"book","edition":"Eleventh edition, global edition","event-place":"Harlow, England","ISBN":"978-1-292-41065-4","language":"eng","publisher":"Pearson4060 1 Online-Ressource (880 Seiten)","publisher-place":"Harlow, England","source":"K10plus ISBN","title":"Options, futures, and other derivatives","author":[{"family":"Hull","given":"John"}],"issued":{"date-parts":[["2022"]]}}},{"id":1079,"uris":["http://zotero.org/users/1226582/items/UV525UDK"],"itemData":{"id":1079,"type":"report","event-place":"http://www.quantlib.org","genre":"User's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(Hull 2022; Ametrano and Ballabio 2003b)</w:t>
      </w:r>
      <w:r>
        <w:fldChar w:fldCharType="end"/>
      </w:r>
      <w:r w:rsidRPr="002061F0">
        <w:t>: The reference index is the benchmark interest rate that dictates the floating payments. Common indices include:</w:t>
      </w:r>
    </w:p>
    <w:p w14:paraId="506E9442" w14:textId="77777777" w:rsidR="00246A3C" w:rsidRPr="002061F0" w:rsidRDefault="00246A3C" w:rsidP="00246A3C">
      <w:pPr>
        <w:pStyle w:val="ListParagraph"/>
        <w:numPr>
          <w:ilvl w:val="1"/>
          <w:numId w:val="3"/>
        </w:numPr>
      </w:pPr>
      <w:r w:rsidRPr="002061F0">
        <w:t>USD LIBOR 3M: U.S. Dollar London Interbank Offered Rate for a 3-month period.</w:t>
      </w:r>
    </w:p>
    <w:p w14:paraId="3D3A7E72" w14:textId="77777777" w:rsidR="00246A3C" w:rsidRPr="002061F0" w:rsidRDefault="00246A3C" w:rsidP="00246A3C">
      <w:pPr>
        <w:pStyle w:val="ListParagraph"/>
        <w:numPr>
          <w:ilvl w:val="1"/>
          <w:numId w:val="3"/>
        </w:numPr>
      </w:pPr>
      <w:r w:rsidRPr="002061F0">
        <w:t>CDOR 3M: Canadian Dollar Offered Rate for 3 months.</w:t>
      </w:r>
    </w:p>
    <w:p w14:paraId="0811A66C" w14:textId="77777777" w:rsidR="00246A3C" w:rsidRPr="002061F0" w:rsidRDefault="00246A3C" w:rsidP="00246A3C">
      <w:pPr>
        <w:pStyle w:val="ListParagraph"/>
        <w:numPr>
          <w:ilvl w:val="1"/>
          <w:numId w:val="3"/>
        </w:numPr>
      </w:pPr>
      <w:r w:rsidRPr="002061F0">
        <w:t>GBP LIBOR 6M: British Pound LIBOR for 6 months.</w:t>
      </w:r>
    </w:p>
    <w:p w14:paraId="282A29E5" w14:textId="77777777" w:rsidR="00246A3C" w:rsidRPr="002061F0" w:rsidRDefault="00246A3C" w:rsidP="00246A3C">
      <w:pPr>
        <w:pStyle w:val="ListParagraph"/>
        <w:numPr>
          <w:ilvl w:val="1"/>
          <w:numId w:val="3"/>
        </w:numPr>
      </w:pPr>
      <w:r w:rsidRPr="002061F0">
        <w:lastRenderedPageBreak/>
        <w:t>CHF LIBOR 6M: Swiss Franc LIBOR for 6 months.</w:t>
      </w:r>
    </w:p>
    <w:p w14:paraId="7495F38E" w14:textId="77777777" w:rsidR="00246A3C" w:rsidRPr="002061F0" w:rsidRDefault="00246A3C" w:rsidP="00246A3C">
      <w:pPr>
        <w:pStyle w:val="ListParagraph"/>
        <w:numPr>
          <w:ilvl w:val="0"/>
          <w:numId w:val="3"/>
        </w:numPr>
      </w:pPr>
      <w:r w:rsidRPr="002061F0">
        <w:t>Reset Frequency</w:t>
      </w:r>
      <w:r>
        <w:t xml:space="preserve"> </w:t>
      </w:r>
      <w:r>
        <w:fldChar w:fldCharType="begin"/>
      </w:r>
      <w:r>
        <w:instrText xml:space="preserve"> ADDIN ZOTERO_ITEM CSL_CITATION {"citationID":"Hdadpq7D","properties":{"formattedCitation":"(Ametrano and Ballabio 2003b)","plainCitation":"(Ametrano and Ballabio 2003b)","noteIndex":0},"citationItems":[{"id":1079,"uris":["http://zotero.org/users/1226582/items/UV525UDK"],"itemData":{"id":1079,"type":"report","event-place":"http://www.quantlib.org","genre":"User's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(Ametrano and Ballabio 2003b)</w:t>
      </w:r>
      <w:r>
        <w:fldChar w:fldCharType="end"/>
      </w:r>
      <w:r w:rsidRPr="002061F0">
        <w:t>: This determines how often the floating rate is recalculated or "reset." For example, a quarterly reset means the floating rate is updated every three months.</w:t>
      </w:r>
    </w:p>
    <w:p w14:paraId="37AD85B9" w14:textId="77777777" w:rsidR="00246A3C" w:rsidRPr="002061F0" w:rsidRDefault="00246A3C" w:rsidP="00246A3C">
      <w:pPr>
        <w:pStyle w:val="ListParagraph"/>
        <w:numPr>
          <w:ilvl w:val="0"/>
          <w:numId w:val="3"/>
        </w:numPr>
      </w:pPr>
      <w:r w:rsidRPr="002061F0">
        <w:t>Fixing Calendar</w:t>
      </w:r>
      <w:r>
        <w:t xml:space="preserve"> </w:t>
      </w:r>
      <w:r>
        <w:fldChar w:fldCharType="begin"/>
      </w:r>
      <w:r>
        <w:instrText xml:space="preserve"> ADDIN ZOTERO_ITEM CSL_CITATION {"citationID":"dhpMJZ40","properties":{"formattedCitation":"(Hull 2022; Ametrano and Ballabio 2003b)","plainCitation":"(Hull 2022; Ametrano and Ballabio 2003b)","noteIndex":0},"citationItems":[{"id":1108,"uris":["http://zotero.org/users/1226582/items/9BPGJICF"],"itemData":{"id":1108,"type":"book","edition":"Eleventh edition, global edition","event-place":"Harlow, England","ISBN":"978-1-292-41065-4","language":"eng","publisher":"Pearson4060 1 Online-Ressource (880 Seiten)","publisher-place":"Harlow, England","source":"K10plus ISBN","title":"Options, futures, and other derivatives","author":[{"family":"Hull","given":"John"}],"issued":{"date-parts":[["2022"]]}}},{"id":1079,"uris":["http://zotero.org/users/1226582/items/UV525UDK"],"itemData":{"id":1079,"type":"report","event-place":"http://www.quantlib.org","genre":"User's Manual","number":"0.3.1 beta","publisher":"TheOrganisation","publisher-place":"http://www.quantlib.org","title":"User's Manual for QuantLib: An Open Source Framework for Quantitative Finance","author":[{"family":"Ametrano","given":"Ferdinando"},{"family":"Ballabio","given":"Luigi"}],"issued":{"date-parts":[["2003"]]}}}],"schema":"https://github.com/citation-style-language/schema/raw/master/csl-citation.json"} </w:instrText>
      </w:r>
      <w:r>
        <w:fldChar w:fldCharType="separate"/>
      </w:r>
      <w:r>
        <w:rPr>
          <w:noProof/>
        </w:rPr>
        <w:t>(Hull 2022; Ametrano and Ballabio 2003b)</w:t>
      </w:r>
      <w:r>
        <w:fldChar w:fldCharType="end"/>
      </w:r>
      <w:r w:rsidRPr="002061F0">
        <w:t>: This refers to the calendar used to determine when the floating rate is fixed or set. For example, the "England" fixing calendar means rates are set according to U.K. business days.</w:t>
      </w:r>
    </w:p>
    <w:p w14:paraId="16EFDCB5" w14:textId="77777777" w:rsidR="00246A3C" w:rsidRPr="002061F0" w:rsidRDefault="00246A3C" w:rsidP="00246A3C">
      <w:pPr>
        <w:pStyle w:val="ListParagraph"/>
        <w:numPr>
          <w:ilvl w:val="0"/>
          <w:numId w:val="3"/>
        </w:numPr>
      </w:pPr>
      <w:r w:rsidRPr="002061F0">
        <w:t>Fixing Lag: Fixing lag defines how many days in advance the floating rate is determined before the payment period begins. For instance, a "2 business days" fixing lag means the floating rate is set two days before the payment is due.</w:t>
      </w:r>
    </w:p>
    <w:p w14:paraId="29A68638" w14:textId="0AF2BEB5" w:rsidR="00D50F5D" w:rsidRDefault="00246A3C" w:rsidP="00246A3C">
      <w:r w:rsidRPr="002061F0">
        <w:t>Reset Position: "Advance" reset position means the floating rate is set at the beginning of the interest period and applied throughout the period.</w:t>
      </w:r>
    </w:p>
    <w:sectPr w:rsidR="00D5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422AB9"/>
    <w:multiLevelType w:val="multilevel"/>
    <w:tmpl w:val="6340FE5A"/>
    <w:lvl w:ilvl="0">
      <w:start w:val="1"/>
      <w:numFmt w:val="upperLetter"/>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B87511"/>
    <w:multiLevelType w:val="hybridMultilevel"/>
    <w:tmpl w:val="0A525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8"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9"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20"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3D72FA"/>
    <w:multiLevelType w:val="hybridMultilevel"/>
    <w:tmpl w:val="7E18D918"/>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2"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453860">
    <w:abstractNumId w:val="15"/>
  </w:num>
  <w:num w:numId="2" w16cid:durableId="1427723544">
    <w:abstractNumId w:val="14"/>
  </w:num>
  <w:num w:numId="3" w16cid:durableId="384452397">
    <w:abstractNumId w:val="21"/>
  </w:num>
  <w:num w:numId="4" w16cid:durableId="832257161">
    <w:abstractNumId w:val="22"/>
  </w:num>
  <w:num w:numId="5" w16cid:durableId="280454077">
    <w:abstractNumId w:val="12"/>
  </w:num>
  <w:num w:numId="6" w16cid:durableId="90662469">
    <w:abstractNumId w:val="10"/>
  </w:num>
  <w:num w:numId="7" w16cid:durableId="820580153">
    <w:abstractNumId w:val="7"/>
  </w:num>
  <w:num w:numId="8" w16cid:durableId="934559255">
    <w:abstractNumId w:val="8"/>
  </w:num>
  <w:num w:numId="9" w16cid:durableId="762648715">
    <w:abstractNumId w:val="6"/>
  </w:num>
  <w:num w:numId="10" w16cid:durableId="1268927333">
    <w:abstractNumId w:val="5"/>
  </w:num>
  <w:num w:numId="11" w16cid:durableId="560756151">
    <w:abstractNumId w:val="4"/>
  </w:num>
  <w:num w:numId="12" w16cid:durableId="901136355">
    <w:abstractNumId w:val="3"/>
  </w:num>
  <w:num w:numId="13" w16cid:durableId="630552985">
    <w:abstractNumId w:val="2"/>
  </w:num>
  <w:num w:numId="14" w16cid:durableId="1140656107">
    <w:abstractNumId w:val="1"/>
  </w:num>
  <w:num w:numId="15" w16cid:durableId="1637178894">
    <w:abstractNumId w:val="9"/>
  </w:num>
  <w:num w:numId="16" w16cid:durableId="207039153">
    <w:abstractNumId w:val="0"/>
  </w:num>
  <w:num w:numId="17" w16cid:durableId="230384732">
    <w:abstractNumId w:val="20"/>
  </w:num>
  <w:num w:numId="18" w16cid:durableId="1879125910">
    <w:abstractNumId w:val="13"/>
  </w:num>
  <w:num w:numId="19" w16cid:durableId="964123488">
    <w:abstractNumId w:val="16"/>
  </w:num>
  <w:num w:numId="20" w16cid:durableId="968122878">
    <w:abstractNumId w:val="18"/>
  </w:num>
  <w:num w:numId="21" w16cid:durableId="358244921">
    <w:abstractNumId w:val="17"/>
  </w:num>
  <w:num w:numId="22" w16cid:durableId="15423905">
    <w:abstractNumId w:val="11"/>
  </w:num>
  <w:num w:numId="23" w16cid:durableId="10565867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3C"/>
    <w:rsid w:val="000811B5"/>
    <w:rsid w:val="001A7FFA"/>
    <w:rsid w:val="00246A3C"/>
    <w:rsid w:val="002E6207"/>
    <w:rsid w:val="003D1958"/>
    <w:rsid w:val="003E3FF3"/>
    <w:rsid w:val="004044E0"/>
    <w:rsid w:val="004B7A59"/>
    <w:rsid w:val="00544C86"/>
    <w:rsid w:val="005E6CFF"/>
    <w:rsid w:val="00647072"/>
    <w:rsid w:val="00986BFB"/>
    <w:rsid w:val="00991D62"/>
    <w:rsid w:val="009B1E57"/>
    <w:rsid w:val="00A158D7"/>
    <w:rsid w:val="00BA6596"/>
    <w:rsid w:val="00CE6DF6"/>
    <w:rsid w:val="00D45197"/>
    <w:rsid w:val="00D50F5D"/>
    <w:rsid w:val="00DA34B4"/>
    <w:rsid w:val="00DB7A43"/>
    <w:rsid w:val="00E37643"/>
    <w:rsid w:val="00FC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66B3F"/>
  <w15:chartTrackingRefBased/>
  <w15:docId w15:val="{3CB3AC6C-ED50-DD4A-A443-760CB80E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72"/>
    <w:pPr>
      <w:spacing w:after="0" w:line="360" w:lineRule="auto"/>
      <w:ind w:firstLine="202"/>
      <w:jc w:val="both"/>
    </w:pPr>
    <w:rPr>
      <w:rFonts w:ascii="Times New Roman" w:eastAsia="Calisto MT" w:hAnsi="Times New Roman" w:cs="Times New Roman"/>
      <w:kern w:val="0"/>
      <w14:ligatures w14:val="none"/>
    </w:rPr>
  </w:style>
  <w:style w:type="paragraph" w:styleId="Heading1">
    <w:name w:val="heading 1"/>
    <w:next w:val="Normal"/>
    <w:link w:val="Heading1Char"/>
    <w:qFormat/>
    <w:rsid w:val="00647072"/>
    <w:pPr>
      <w:keepNext/>
      <w:keepLines/>
      <w:spacing w:before="260" w:after="260" w:line="360" w:lineRule="auto"/>
      <w:contextualSpacing/>
      <w:jc w:val="center"/>
      <w:outlineLvl w:val="0"/>
    </w:pPr>
    <w:rPr>
      <w:rFonts w:ascii="Times New Roman" w:eastAsia="Times New Roman" w:hAnsi="Times New Roman" w:cs="Times New Roman"/>
      <w:b/>
      <w:bCs/>
      <w:color w:val="000000"/>
      <w:kern w:val="0"/>
      <w:szCs w:val="32"/>
      <w14:ligatures w14:val="none"/>
    </w:rPr>
  </w:style>
  <w:style w:type="paragraph" w:styleId="Heading2">
    <w:name w:val="heading 2"/>
    <w:next w:val="Normal"/>
    <w:link w:val="Heading2Char"/>
    <w:qFormat/>
    <w:rsid w:val="00647072"/>
    <w:pPr>
      <w:keepNext/>
      <w:keepLines/>
      <w:spacing w:before="260" w:after="260" w:line="360" w:lineRule="auto"/>
      <w:contextualSpacing/>
      <w:jc w:val="center"/>
      <w:outlineLvl w:val="1"/>
    </w:pPr>
    <w:rPr>
      <w:rFonts w:ascii="Times New Roman" w:eastAsia="Times New Roman" w:hAnsi="Times New Roman" w:cs="Times New Roman"/>
      <w:bCs/>
      <w:i/>
      <w:color w:val="000000"/>
      <w:kern w:val="0"/>
      <w:szCs w:val="26"/>
      <w14:ligatures w14:val="none"/>
    </w:rPr>
  </w:style>
  <w:style w:type="paragraph" w:styleId="Heading3">
    <w:name w:val="heading 3"/>
    <w:basedOn w:val="Normal"/>
    <w:next w:val="Normal"/>
    <w:link w:val="Heading3Char"/>
    <w:qFormat/>
    <w:rsid w:val="00647072"/>
    <w:pPr>
      <w:spacing w:before="260"/>
      <w:ind w:firstLine="0"/>
      <w:outlineLvl w:val="2"/>
    </w:pPr>
    <w:rPr>
      <w:rFonts w:eastAsia="Times New Roman"/>
      <w:bCs/>
    </w:rPr>
  </w:style>
  <w:style w:type="paragraph" w:styleId="Heading4">
    <w:name w:val="heading 4"/>
    <w:basedOn w:val="Normal"/>
    <w:next w:val="Normal"/>
    <w:link w:val="Heading4Char"/>
    <w:qFormat/>
    <w:rsid w:val="00647072"/>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246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A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A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A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A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99"/>
    <w:semiHidden/>
    <w:rsid w:val="00647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647072"/>
  </w:style>
  <w:style w:type="character" w:customStyle="1" w:styleId="Heading1Char">
    <w:name w:val="Heading 1 Char"/>
    <w:link w:val="Heading1"/>
    <w:rsid w:val="00647072"/>
    <w:rPr>
      <w:rFonts w:ascii="Times New Roman" w:eastAsia="Times New Roman" w:hAnsi="Times New Roman" w:cs="Times New Roman"/>
      <w:b/>
      <w:bCs/>
      <w:color w:val="000000"/>
      <w:kern w:val="0"/>
      <w:szCs w:val="32"/>
      <w14:ligatures w14:val="none"/>
    </w:rPr>
  </w:style>
  <w:style w:type="character" w:customStyle="1" w:styleId="Heading2Char">
    <w:name w:val="Heading 2 Char"/>
    <w:link w:val="Heading2"/>
    <w:rsid w:val="00647072"/>
    <w:rPr>
      <w:rFonts w:ascii="Times New Roman" w:eastAsia="Times New Roman" w:hAnsi="Times New Roman" w:cs="Times New Roman"/>
      <w:bCs/>
      <w:i/>
      <w:color w:val="000000"/>
      <w:kern w:val="0"/>
      <w:szCs w:val="26"/>
      <w14:ligatures w14:val="none"/>
    </w:rPr>
  </w:style>
  <w:style w:type="character" w:customStyle="1" w:styleId="Heading3Char">
    <w:name w:val="Heading 3 Char"/>
    <w:link w:val="Heading3"/>
    <w:rsid w:val="00647072"/>
    <w:rPr>
      <w:rFonts w:ascii="Times New Roman" w:eastAsia="Times New Roman" w:hAnsi="Times New Roman" w:cs="Times New Roman"/>
      <w:bCs/>
      <w:kern w:val="0"/>
      <w14:ligatures w14:val="none"/>
    </w:rPr>
  </w:style>
  <w:style w:type="character" w:customStyle="1" w:styleId="Heading4Char">
    <w:name w:val="Heading 4 Char"/>
    <w:link w:val="Heading4"/>
    <w:rsid w:val="00647072"/>
    <w:rPr>
      <w:rFonts w:ascii="Times New Roman" w:eastAsia="Times New Roman" w:hAnsi="Times New Roman" w:cs="Times New Roman"/>
      <w:bCs/>
      <w:iCs/>
      <w:kern w:val="0"/>
      <w14:ligatures w14:val="none"/>
    </w:rPr>
  </w:style>
  <w:style w:type="character" w:customStyle="1" w:styleId="Heading5Char">
    <w:name w:val="Heading 5 Char"/>
    <w:basedOn w:val="DefaultParagraphFont"/>
    <w:link w:val="Heading5"/>
    <w:uiPriority w:val="9"/>
    <w:semiHidden/>
    <w:rsid w:val="00246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A3C"/>
    <w:rPr>
      <w:rFonts w:eastAsiaTheme="majorEastAsia" w:cstheme="majorBidi"/>
      <w:color w:val="272727" w:themeColor="text1" w:themeTint="D8"/>
    </w:rPr>
  </w:style>
  <w:style w:type="paragraph" w:styleId="Title">
    <w:name w:val="Title"/>
    <w:next w:val="Author"/>
    <w:link w:val="TitleChar"/>
    <w:qFormat/>
    <w:rsid w:val="00647072"/>
    <w:pPr>
      <w:spacing w:after="300" w:line="360" w:lineRule="auto"/>
      <w:contextualSpacing/>
      <w:jc w:val="center"/>
    </w:pPr>
    <w:rPr>
      <w:rFonts w:ascii="Arial" w:eastAsia="Times New Roman" w:hAnsi="Arial" w:cs="Times New Roman"/>
      <w:color w:val="000000"/>
      <w:kern w:val="28"/>
      <w:sz w:val="28"/>
      <w:szCs w:val="52"/>
      <w14:ligatures w14:val="none"/>
    </w:rPr>
  </w:style>
  <w:style w:type="character" w:customStyle="1" w:styleId="TitleChar">
    <w:name w:val="Title Char"/>
    <w:link w:val="Title"/>
    <w:rsid w:val="00647072"/>
    <w:rPr>
      <w:rFonts w:ascii="Arial" w:eastAsia="Times New Roman" w:hAnsi="Arial" w:cs="Times New Roman"/>
      <w:color w:val="000000"/>
      <w:kern w:val="28"/>
      <w:sz w:val="28"/>
      <w:szCs w:val="52"/>
      <w14:ligatures w14:val="none"/>
    </w:rPr>
  </w:style>
  <w:style w:type="paragraph" w:styleId="Subtitle">
    <w:name w:val="Subtitle"/>
    <w:basedOn w:val="Normal"/>
    <w:next w:val="Normal"/>
    <w:link w:val="SubtitleChar"/>
    <w:uiPriority w:val="11"/>
    <w:qFormat/>
    <w:rsid w:val="00246A3C"/>
    <w:pPr>
      <w:numPr>
        <w:ilvl w:val="1"/>
      </w:numPr>
      <w:ind w:firstLine="20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A3C"/>
    <w:pPr>
      <w:spacing w:before="160"/>
      <w:jc w:val="center"/>
    </w:pPr>
    <w:rPr>
      <w:i/>
      <w:iCs/>
      <w:color w:val="404040" w:themeColor="text1" w:themeTint="BF"/>
    </w:rPr>
  </w:style>
  <w:style w:type="character" w:customStyle="1" w:styleId="QuoteChar">
    <w:name w:val="Quote Char"/>
    <w:basedOn w:val="DefaultParagraphFont"/>
    <w:link w:val="Quote"/>
    <w:uiPriority w:val="29"/>
    <w:rsid w:val="00246A3C"/>
    <w:rPr>
      <w:i/>
      <w:iCs/>
      <w:color w:val="404040" w:themeColor="text1" w:themeTint="BF"/>
    </w:rPr>
  </w:style>
  <w:style w:type="paragraph" w:styleId="ListParagraph">
    <w:name w:val="List Paragraph"/>
    <w:basedOn w:val="Normal"/>
    <w:uiPriority w:val="34"/>
    <w:qFormat/>
    <w:rsid w:val="00246A3C"/>
    <w:pPr>
      <w:ind w:left="720"/>
      <w:contextualSpacing/>
    </w:pPr>
  </w:style>
  <w:style w:type="character" w:styleId="IntenseEmphasis">
    <w:name w:val="Intense Emphasis"/>
    <w:basedOn w:val="DefaultParagraphFont"/>
    <w:uiPriority w:val="21"/>
    <w:qFormat/>
    <w:rsid w:val="00246A3C"/>
    <w:rPr>
      <w:i/>
      <w:iCs/>
      <w:color w:val="0F4761" w:themeColor="accent1" w:themeShade="BF"/>
    </w:rPr>
  </w:style>
  <w:style w:type="paragraph" w:styleId="IntenseQuote">
    <w:name w:val="Intense Quote"/>
    <w:basedOn w:val="Normal"/>
    <w:next w:val="Normal"/>
    <w:link w:val="IntenseQuoteChar"/>
    <w:uiPriority w:val="30"/>
    <w:qFormat/>
    <w:rsid w:val="00246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A3C"/>
    <w:rPr>
      <w:i/>
      <w:iCs/>
      <w:color w:val="0F4761" w:themeColor="accent1" w:themeShade="BF"/>
    </w:rPr>
  </w:style>
  <w:style w:type="character" w:styleId="IntenseReference">
    <w:name w:val="Intense Reference"/>
    <w:basedOn w:val="DefaultParagraphFont"/>
    <w:uiPriority w:val="32"/>
    <w:qFormat/>
    <w:rsid w:val="00246A3C"/>
    <w:rPr>
      <w:b/>
      <w:bCs/>
      <w:smallCaps/>
      <w:color w:val="0F4761" w:themeColor="accent1" w:themeShade="BF"/>
      <w:spacing w:val="5"/>
    </w:rPr>
  </w:style>
  <w:style w:type="paragraph" w:styleId="Caption">
    <w:name w:val="caption"/>
    <w:basedOn w:val="Normal"/>
    <w:next w:val="Normal"/>
    <w:uiPriority w:val="35"/>
    <w:unhideWhenUsed/>
    <w:rsid w:val="00246A3C"/>
    <w:pPr>
      <w:spacing w:after="200"/>
    </w:pPr>
    <w:rPr>
      <w:i/>
      <w:iCs/>
      <w:color w:val="0E2841" w:themeColor="text2"/>
      <w:sz w:val="18"/>
      <w:szCs w:val="22"/>
    </w:rPr>
  </w:style>
  <w:style w:type="paragraph" w:customStyle="1" w:styleId="NoParagraphStyle">
    <w:name w:val="[No Paragraph Style]"/>
    <w:rsid w:val="00647072"/>
    <w:pPr>
      <w:widowControl w:val="0"/>
      <w:autoSpaceDE w:val="0"/>
      <w:autoSpaceDN w:val="0"/>
      <w:adjustRightInd w:val="0"/>
      <w:spacing w:after="0"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647072"/>
    <w:pPr>
      <w:suppressAutoHyphens/>
      <w:spacing w:after="280" w:line="360" w:lineRule="auto"/>
      <w:jc w:val="center"/>
    </w:pPr>
    <w:rPr>
      <w:rFonts w:ascii="Times New Roman" w:eastAsia="Calisto MT" w:hAnsi="Times New Roman" w:cs="TimesLTStd-Roman"/>
      <w:smallCaps/>
      <w:color w:val="000000"/>
      <w:kern w:val="0"/>
      <w:szCs w:val="22"/>
      <w14:ligatures w14:val="none"/>
    </w:rPr>
  </w:style>
  <w:style w:type="paragraph" w:customStyle="1" w:styleId="Abstract">
    <w:name w:val="Abstract"/>
    <w:next w:val="Normal"/>
    <w:rsid w:val="00647072"/>
    <w:pPr>
      <w:spacing w:before="100" w:after="600" w:line="360" w:lineRule="auto"/>
      <w:ind w:left="662" w:right="662"/>
      <w:jc w:val="both"/>
    </w:pPr>
    <w:rPr>
      <w:rFonts w:ascii="Times New Roman" w:eastAsia="Calisto MT" w:hAnsi="Times New Roman" w:cs="TimesLTStd-Italic"/>
      <w:i/>
      <w:iCs/>
      <w:color w:val="000000"/>
      <w:kern w:val="0"/>
      <w:szCs w:val="22"/>
      <w14:ligatures w14:val="none"/>
    </w:rPr>
  </w:style>
  <w:style w:type="paragraph" w:customStyle="1" w:styleId="Equation">
    <w:name w:val="Equation"/>
    <w:next w:val="Normal"/>
    <w:rsid w:val="00647072"/>
    <w:pPr>
      <w:tabs>
        <w:tab w:val="center" w:pos="3960"/>
      </w:tabs>
      <w:suppressAutoHyphens/>
      <w:spacing w:before="260" w:after="0" w:line="360" w:lineRule="auto"/>
    </w:pPr>
    <w:rPr>
      <w:rFonts w:ascii="Times New Roman" w:eastAsia="Calisto MT" w:hAnsi="Times New Roman" w:cs="TimesLTStd-Roman"/>
      <w:color w:val="000000"/>
      <w:kern w:val="0"/>
      <w:szCs w:val="20"/>
      <w14:ligatures w14:val="none"/>
    </w:rPr>
  </w:style>
  <w:style w:type="paragraph" w:customStyle="1" w:styleId="NormalNoIndent">
    <w:name w:val="Normal No Indent"/>
    <w:basedOn w:val="Normal"/>
    <w:next w:val="Normal"/>
    <w:rsid w:val="00647072"/>
    <w:pPr>
      <w:ind w:firstLine="0"/>
    </w:pPr>
  </w:style>
  <w:style w:type="paragraph" w:customStyle="1" w:styleId="Contact">
    <w:name w:val="Contact"/>
    <w:next w:val="Normal"/>
    <w:rsid w:val="00647072"/>
    <w:pPr>
      <w:spacing w:after="200" w:line="360" w:lineRule="auto"/>
    </w:pPr>
    <w:rPr>
      <w:rFonts w:ascii="Times New Roman" w:eastAsia="Calisto MT" w:hAnsi="Times New Roman" w:cs="TimesLTStd-Roman"/>
      <w:color w:val="000000"/>
      <w:kern w:val="0"/>
      <w:sz w:val="16"/>
      <w:szCs w:val="16"/>
      <w14:ligatures w14:val="none"/>
    </w:rPr>
  </w:style>
  <w:style w:type="paragraph" w:customStyle="1" w:styleId="ReferenceHeading">
    <w:name w:val="Reference Heading"/>
    <w:basedOn w:val="Normal"/>
    <w:next w:val="References"/>
    <w:rsid w:val="00647072"/>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647072"/>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647072"/>
    <w:pPr>
      <w:spacing w:before="260" w:after="0" w:line="360" w:lineRule="auto"/>
      <w:ind w:left="720" w:right="720"/>
      <w:jc w:val="both"/>
    </w:pPr>
    <w:rPr>
      <w:rFonts w:ascii="Times New Roman" w:eastAsia="Calisto MT" w:hAnsi="Times New Roman" w:cs="TimesLTStd-Italic"/>
      <w:i/>
      <w:iCs/>
      <w:color w:val="000000"/>
      <w:kern w:val="0"/>
      <w:szCs w:val="20"/>
      <w14:ligatures w14:val="none"/>
    </w:rPr>
  </w:style>
  <w:style w:type="paragraph" w:customStyle="1" w:styleId="Tagline">
    <w:name w:val="Tagline"/>
    <w:basedOn w:val="Normal"/>
    <w:next w:val="Normal"/>
    <w:uiPriority w:val="99"/>
    <w:semiHidden/>
    <w:qFormat/>
    <w:rsid w:val="00647072"/>
    <w:pPr>
      <w:spacing w:after="120"/>
      <w:ind w:left="720" w:right="720" w:firstLine="0"/>
      <w:jc w:val="right"/>
    </w:pPr>
  </w:style>
  <w:style w:type="paragraph" w:styleId="FootnoteText">
    <w:name w:val="footnote text"/>
    <w:basedOn w:val="Normal"/>
    <w:link w:val="FootnoteTextChar"/>
    <w:semiHidden/>
    <w:rsid w:val="00647072"/>
    <w:pPr>
      <w:spacing w:line="180" w:lineRule="atLeast"/>
    </w:pPr>
    <w:rPr>
      <w:sz w:val="16"/>
    </w:rPr>
  </w:style>
  <w:style w:type="character" w:customStyle="1" w:styleId="FootnoteTextChar">
    <w:name w:val="Footnote Text Char"/>
    <w:link w:val="FootnoteText"/>
    <w:semiHidden/>
    <w:rsid w:val="00647072"/>
    <w:rPr>
      <w:rFonts w:ascii="Times New Roman" w:eastAsia="Calisto MT" w:hAnsi="Times New Roman" w:cs="Times New Roman"/>
      <w:kern w:val="0"/>
      <w:sz w:val="16"/>
      <w14:ligatures w14:val="none"/>
    </w:rPr>
  </w:style>
  <w:style w:type="character" w:styleId="FootnoteReference">
    <w:name w:val="footnote reference"/>
    <w:semiHidden/>
    <w:rsid w:val="00647072"/>
    <w:rPr>
      <w:rFonts w:ascii="Times New Roman" w:hAnsi="Times New Roman"/>
      <w:sz w:val="24"/>
      <w:bdr w:val="none" w:sz="0" w:space="0" w:color="auto"/>
      <w:vertAlign w:val="superscript"/>
    </w:rPr>
  </w:style>
  <w:style w:type="paragraph" w:customStyle="1" w:styleId="FigureTitle">
    <w:name w:val="Figure Title"/>
    <w:next w:val="Normal"/>
    <w:rsid w:val="00647072"/>
    <w:pPr>
      <w:keepLines/>
      <w:suppressAutoHyphens/>
      <w:spacing w:after="80" w:line="180" w:lineRule="atLeast"/>
      <w:jc w:val="center"/>
    </w:pPr>
    <w:rPr>
      <w:rFonts w:ascii="Times New Roman" w:eastAsia="Calisto MT" w:hAnsi="Times New Roman" w:cs="TimesLTStd-Roman"/>
      <w:smallCaps/>
      <w:color w:val="000000"/>
      <w:spacing w:val="-1"/>
      <w:kern w:val="0"/>
      <w:sz w:val="16"/>
      <w:szCs w:val="16"/>
      <w14:ligatures w14:val="none"/>
    </w:rPr>
  </w:style>
  <w:style w:type="paragraph" w:customStyle="1" w:styleId="FigureNotes">
    <w:name w:val="Figure Notes"/>
    <w:next w:val="Normal"/>
    <w:rsid w:val="00647072"/>
    <w:pPr>
      <w:tabs>
        <w:tab w:val="right" w:pos="440"/>
        <w:tab w:val="left" w:pos="480"/>
      </w:tabs>
      <w:spacing w:before="120" w:after="120" w:line="180" w:lineRule="atLeast"/>
      <w:jc w:val="both"/>
    </w:pPr>
    <w:rPr>
      <w:rFonts w:ascii="Times New Roman" w:eastAsia="Calisto MT" w:hAnsi="Times New Roman" w:cs="TimesLTStd-Roman"/>
      <w:color w:val="000000"/>
      <w:kern w:val="0"/>
      <w:sz w:val="16"/>
      <w:szCs w:val="16"/>
      <w14:ligatures w14:val="none"/>
    </w:rPr>
  </w:style>
  <w:style w:type="paragraph" w:customStyle="1" w:styleId="TableTitle">
    <w:name w:val="Table Title"/>
    <w:rsid w:val="00647072"/>
    <w:pPr>
      <w:pBdr>
        <w:bottom w:val="double" w:sz="2" w:space="1" w:color="auto"/>
      </w:pBdr>
      <w:suppressAutoHyphens/>
      <w:spacing w:line="180" w:lineRule="atLeast"/>
      <w:ind w:right="720"/>
      <w:jc w:val="center"/>
    </w:pPr>
    <w:rPr>
      <w:rFonts w:ascii="Times New Roman" w:eastAsia="Calisto MT" w:hAnsi="Times New Roman" w:cs="TimesLTStd-Roman"/>
      <w:smallCaps/>
      <w:color w:val="000000"/>
      <w:spacing w:val="-1"/>
      <w:w w:val="97"/>
      <w:kern w:val="0"/>
      <w:sz w:val="16"/>
      <w:szCs w:val="16"/>
      <w14:ligatures w14:val="none"/>
    </w:rPr>
  </w:style>
  <w:style w:type="paragraph" w:customStyle="1" w:styleId="TableNotes">
    <w:name w:val="Table Notes"/>
    <w:rsid w:val="00647072"/>
    <w:pPr>
      <w:spacing w:before="120" w:after="0" w:line="180" w:lineRule="atLeast"/>
      <w:ind w:right="720"/>
      <w:jc w:val="both"/>
    </w:pPr>
    <w:rPr>
      <w:rFonts w:ascii="Times New Roman" w:eastAsia="Calisto MT" w:hAnsi="Times New Roman" w:cs="TimesLTStd-Roman"/>
      <w:color w:val="000000"/>
      <w:kern w:val="0"/>
      <w:sz w:val="16"/>
      <w:szCs w:val="16"/>
      <w14:ligatures w14:val="none"/>
    </w:rPr>
  </w:style>
  <w:style w:type="paragraph" w:customStyle="1" w:styleId="TableText">
    <w:name w:val="Table Text"/>
    <w:rsid w:val="00647072"/>
    <w:pPr>
      <w:spacing w:after="0" w:line="180" w:lineRule="atLeast"/>
      <w:jc w:val="center"/>
    </w:pPr>
    <w:rPr>
      <w:rFonts w:ascii="Times New Roman" w:eastAsia="Calisto MT" w:hAnsi="Times New Roman" w:cs="TimesLTStd-Roman"/>
      <w:color w:val="000000"/>
      <w:kern w:val="0"/>
      <w:sz w:val="16"/>
      <w:szCs w:val="16"/>
      <w14:ligatures w14:val="none"/>
    </w:rPr>
  </w:style>
  <w:style w:type="paragraph" w:styleId="ListBullet">
    <w:name w:val="List Bullet"/>
    <w:basedOn w:val="Normal"/>
    <w:next w:val="Normal"/>
    <w:rsid w:val="00647072"/>
    <w:pPr>
      <w:numPr>
        <w:numId w:val="20"/>
      </w:numPr>
      <w:contextualSpacing/>
    </w:pPr>
  </w:style>
  <w:style w:type="paragraph" w:styleId="ListNumber">
    <w:name w:val="List Number"/>
    <w:basedOn w:val="Normal"/>
    <w:next w:val="Normal"/>
    <w:rsid w:val="00647072"/>
    <w:pPr>
      <w:numPr>
        <w:numId w:val="21"/>
      </w:numPr>
      <w:tabs>
        <w:tab w:val="clear" w:pos="1195"/>
      </w:tabs>
      <w:spacing w:after="260"/>
      <w:ind w:left="1555" w:hanging="720"/>
    </w:pPr>
  </w:style>
  <w:style w:type="paragraph" w:customStyle="1" w:styleId="FigurePlaceholder">
    <w:name w:val="Figure Placeholder"/>
    <w:basedOn w:val="Normal"/>
    <w:next w:val="Normal"/>
    <w:qFormat/>
    <w:rsid w:val="00647072"/>
    <w:pPr>
      <w:spacing w:before="260" w:after="260"/>
      <w:jc w:val="center"/>
    </w:pPr>
  </w:style>
  <w:style w:type="character" w:customStyle="1" w:styleId="TableFootLetter">
    <w:name w:val="Table FootLetter"/>
    <w:rsid w:val="00647072"/>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647072"/>
  </w:style>
  <w:style w:type="paragraph" w:customStyle="1" w:styleId="TablePlaceholder">
    <w:name w:val="Table Placeholder"/>
    <w:basedOn w:val="FigurePlaceholder"/>
    <w:next w:val="NoParagraphStyle"/>
    <w:qFormat/>
    <w:rsid w:val="00647072"/>
  </w:style>
  <w:style w:type="paragraph" w:styleId="DocumentMap">
    <w:name w:val="Document Map"/>
    <w:basedOn w:val="Normal"/>
    <w:link w:val="DocumentMapChar"/>
    <w:uiPriority w:val="99"/>
    <w:semiHidden/>
    <w:rsid w:val="00647072"/>
    <w:rPr>
      <w:rFonts w:ascii="Lucida Grande" w:hAnsi="Lucida Grande"/>
    </w:rPr>
  </w:style>
  <w:style w:type="character" w:customStyle="1" w:styleId="DocumentMapChar">
    <w:name w:val="Document Map Char"/>
    <w:link w:val="DocumentMap"/>
    <w:uiPriority w:val="99"/>
    <w:semiHidden/>
    <w:rsid w:val="00647072"/>
    <w:rPr>
      <w:rFonts w:ascii="Lucida Grande" w:eastAsia="Calisto MT" w:hAnsi="Lucida Grande" w:cs="Times New Roman"/>
      <w:kern w:val="0"/>
      <w14:ligatures w14:val="none"/>
    </w:rPr>
  </w:style>
  <w:style w:type="character" w:styleId="CommentReference">
    <w:name w:val="annotation reference"/>
    <w:uiPriority w:val="99"/>
    <w:semiHidden/>
    <w:rsid w:val="00647072"/>
    <w:rPr>
      <w:sz w:val="18"/>
      <w:szCs w:val="18"/>
    </w:rPr>
  </w:style>
  <w:style w:type="paragraph" w:styleId="CommentText">
    <w:name w:val="annotation text"/>
    <w:basedOn w:val="Normal"/>
    <w:link w:val="CommentTextChar"/>
    <w:uiPriority w:val="99"/>
    <w:semiHidden/>
    <w:rsid w:val="00647072"/>
  </w:style>
  <w:style w:type="character" w:customStyle="1" w:styleId="CommentTextChar">
    <w:name w:val="Comment Text Char"/>
    <w:link w:val="CommentText"/>
    <w:uiPriority w:val="99"/>
    <w:semiHidden/>
    <w:rsid w:val="00647072"/>
    <w:rPr>
      <w:rFonts w:ascii="Times New Roman" w:eastAsia="Calisto MT" w:hAnsi="Times New Roman" w:cs="Times New Roman"/>
      <w:kern w:val="0"/>
      <w14:ligatures w14:val="none"/>
    </w:rPr>
  </w:style>
  <w:style w:type="paragraph" w:styleId="CommentSubject">
    <w:name w:val="annotation subject"/>
    <w:basedOn w:val="CommentText"/>
    <w:next w:val="CommentText"/>
    <w:link w:val="CommentSubjectChar"/>
    <w:uiPriority w:val="99"/>
    <w:semiHidden/>
    <w:rsid w:val="00647072"/>
    <w:rPr>
      <w:b/>
      <w:bCs/>
      <w:sz w:val="20"/>
      <w:szCs w:val="20"/>
    </w:rPr>
  </w:style>
  <w:style w:type="character" w:customStyle="1" w:styleId="CommentSubjectChar">
    <w:name w:val="Comment Subject Char"/>
    <w:link w:val="CommentSubject"/>
    <w:uiPriority w:val="99"/>
    <w:semiHidden/>
    <w:rsid w:val="00647072"/>
    <w:rPr>
      <w:rFonts w:ascii="Times New Roman" w:eastAsia="Calisto MT" w:hAnsi="Times New Roman" w:cs="Times New Roman"/>
      <w:b/>
      <w:bCs/>
      <w:kern w:val="0"/>
      <w:sz w:val="20"/>
      <w:szCs w:val="20"/>
      <w14:ligatures w14:val="none"/>
    </w:rPr>
  </w:style>
  <w:style w:type="paragraph" w:styleId="BalloonText">
    <w:name w:val="Balloon Text"/>
    <w:basedOn w:val="Normal"/>
    <w:link w:val="BalloonTextChar"/>
    <w:uiPriority w:val="99"/>
    <w:semiHidden/>
    <w:rsid w:val="00647072"/>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647072"/>
    <w:rPr>
      <w:rFonts w:ascii="Lucida Grande" w:eastAsia="Calisto MT" w:hAnsi="Lucida Grande"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C6B62-0EF8-FD48-90A1-45E514E5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3</TotalTime>
  <Pages>5</Pages>
  <Words>2560</Words>
  <Characters>14592</Characters>
  <Application>Microsoft Office Word</Application>
  <DocSecurity>0</DocSecurity>
  <Lines>121</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2</cp:revision>
  <dcterms:created xsi:type="dcterms:W3CDTF">2025-07-03T19:01:00Z</dcterms:created>
  <dcterms:modified xsi:type="dcterms:W3CDTF">2025-07-03T21:29:00Z</dcterms:modified>
</cp:coreProperties>
</file>