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7411F" w14:textId="5A3E50DF" w:rsidR="00745AD8" w:rsidRDefault="00745AD8" w:rsidP="00272C92">
      <w:pPr>
        <w:pStyle w:val="Heading1"/>
        <w:spacing w:line="480" w:lineRule="auto"/>
      </w:pPr>
      <w:r>
        <w:t xml:space="preserve">Pricing of Interest Rate Swaps </w:t>
      </w:r>
      <w:r w:rsidR="005323E1">
        <w:t>without credit risks</w:t>
      </w:r>
    </w:p>
    <w:p w14:paraId="650B4120" w14:textId="7A7F8AAF" w:rsidR="005323E1" w:rsidRDefault="00E50868" w:rsidP="00272C92">
      <w:pPr>
        <w:spacing w:line="480" w:lineRule="auto"/>
        <w:ind w:firstLine="180"/>
        <w:jc w:val="left"/>
      </w:pPr>
      <w:r>
        <w:t xml:space="preserve">An interest rate swap can be </w:t>
      </w:r>
      <w:r w:rsidR="00272C92">
        <w:t>thought of</w:t>
      </w:r>
      <w:r>
        <w:t xml:space="preserve"> as an exchange of a series of fixed payments by one party for a series of variable (floating) payments by the other party involved in the swap. For the fixed leg, the present value of the payments is given by:</w:t>
      </w:r>
    </w:p>
    <w:p w14:paraId="03091329" w14:textId="3E49DBBE" w:rsidR="00FD7A2B" w:rsidRPr="00FD7A2B" w:rsidRDefault="00FD7A2B" w:rsidP="00272C92">
      <w:pPr>
        <w:spacing w:line="480" w:lineRule="auto"/>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79C90680" w14:textId="77777777" w:rsidR="00FD7A2B" w:rsidRDefault="00FD7A2B" w:rsidP="00272C92">
      <w:pPr>
        <w:spacing w:line="480" w:lineRule="auto"/>
        <w:jc w:val="left"/>
        <w:rPr>
          <w:rFonts w:eastAsiaTheme="minorEastAsia"/>
        </w:rPr>
      </w:pPr>
      <w:r>
        <w:rPr>
          <w:rFonts w:eastAsiaTheme="minorEastAsia"/>
        </w:rPr>
        <w:t xml:space="preserve">Where: CF is the (fixed) cash flow,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xml:space="preserve"> is the risk-free rate for period </w:t>
      </w:r>
      <m:oMath>
        <m:r>
          <w:rPr>
            <w:rFonts w:ascii="Cambria Math" w:eastAsiaTheme="minorEastAsia" w:hAnsi="Cambria Math"/>
          </w:rPr>
          <m:t>i</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rPr>
          <w:rFonts w:eastAsiaTheme="minorEastAsia"/>
        </w:rPr>
        <w:t xml:space="preserve"> is the time at which CF will be received and </w:t>
      </w:r>
      <m:oMath>
        <m:r>
          <w:rPr>
            <w:rFonts w:ascii="Cambria Math" w:eastAsiaTheme="minorEastAsia" w:hAnsi="Cambria Math"/>
          </w:rPr>
          <m:t>T</m:t>
        </m:r>
      </m:oMath>
      <w:r>
        <w:rPr>
          <w:rFonts w:eastAsiaTheme="minorEastAsia"/>
        </w:rPr>
        <w:t xml:space="preserve"> is the tenor (total length of the swap contract)</w:t>
      </w:r>
    </w:p>
    <w:p w14:paraId="46F6F9CA" w14:textId="40385DC5" w:rsidR="00FD7A2B" w:rsidRDefault="00FD7A2B" w:rsidP="00272C92">
      <w:pPr>
        <w:spacing w:line="480" w:lineRule="auto"/>
        <w:ind w:firstLine="720"/>
        <w:rPr>
          <w:rFonts w:eastAsiaTheme="minorEastAsia"/>
        </w:rPr>
      </w:pPr>
      <w:r>
        <w:rPr>
          <w:rFonts w:eastAsiaTheme="minorEastAsia"/>
        </w:rPr>
        <w:t>The present value of the floating leg is:</w:t>
      </w:r>
    </w:p>
    <w:p w14:paraId="48DEB03D" w14:textId="3CCAB4FD" w:rsidR="00FD7A2B" w:rsidRPr="00FD7A2B" w:rsidRDefault="00FD7A2B" w:rsidP="00272C92">
      <w:pPr>
        <w:spacing w:line="480" w:lineRule="auto"/>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m:t>
              </m:r>
              <m:r>
                <w:rPr>
                  <w:rFonts w:ascii="Cambria Math" w:hAnsi="Cambria Math"/>
                </w:rPr>
                <m:t>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0F6EE98C" w14:textId="77777777" w:rsidR="00B42996" w:rsidRDefault="00FD7A2B" w:rsidP="00272C92">
      <w:pPr>
        <w:spacing w:line="480" w:lineRule="auto"/>
        <w:jc w:val="left"/>
        <w:rPr>
          <w:rFonts w:eastAsiaTheme="minorEastAsia"/>
        </w:rPr>
      </w:pPr>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eastAsiaTheme="minorEastAsia"/>
        </w:rPr>
        <w:t xml:space="preserve"> is the floating leg payment at </w:t>
      </w:r>
      <w:r w:rsidR="00B42996">
        <w:rPr>
          <w:rFonts w:eastAsiaTheme="minorEastAsia"/>
        </w:rPr>
        <w:t xml:space="preserve">period </w:t>
      </w:r>
      <m:oMath>
        <m:r>
          <w:rPr>
            <w:rFonts w:ascii="Cambria Math" w:eastAsiaTheme="minorEastAsia" w:hAnsi="Cambria Math"/>
          </w:rPr>
          <m:t>i</m:t>
        </m:r>
      </m:oMath>
      <w:r w:rsidR="00B42996">
        <w:rPr>
          <w:rFonts w:eastAsiaTheme="minorEastAsia"/>
        </w:rPr>
        <w:t>, and all the other variables are as defined previously.</w:t>
      </w:r>
    </w:p>
    <w:p w14:paraId="7AA43AC7" w14:textId="5F2067BB" w:rsidR="00B42996" w:rsidRDefault="00E50868" w:rsidP="00272C92">
      <w:pPr>
        <w:spacing w:line="480" w:lineRule="auto"/>
        <w:rPr>
          <w:rFonts w:eastAsiaTheme="minorEastAsia"/>
        </w:rPr>
      </w:pPr>
      <w:r>
        <w:t>The net present value of the contract for the party paying the fixed leg and receiving the floating leg is:</w:t>
      </w:r>
    </w:p>
    <w:p w14:paraId="4178169C" w14:textId="30BFF006" w:rsidR="00B42996" w:rsidRPr="00B42996" w:rsidRDefault="00B42996" w:rsidP="00272C92">
      <w:pPr>
        <w:spacing w:line="480" w:lineRule="auto"/>
        <w:rPr>
          <w:rFonts w:eastAsiaTheme="minorEastAsia"/>
        </w:rPr>
      </w:pPr>
      <m:oMathPara>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p w14:paraId="14065AFB" w14:textId="29083FDD" w:rsidR="00B42996" w:rsidRPr="00B42996" w:rsidRDefault="00B42996" w:rsidP="00272C92">
      <w:pPr>
        <w:spacing w:line="480" w:lineRule="auto"/>
        <w:rPr>
          <w:rFonts w:eastAsiaTheme="minorEastAsia"/>
          <w:i/>
          <w:iCs/>
        </w:rPr>
      </w:pPr>
      <w:r w:rsidRPr="00B42996">
        <w:rPr>
          <w:rFonts w:eastAsiaTheme="minorEastAsia"/>
          <w:i/>
          <w:iCs/>
        </w:rPr>
        <w:t>(</w:t>
      </w:r>
      <w:r w:rsidR="00E50868" w:rsidRPr="00E50868">
        <w:rPr>
          <w:rFonts w:eastAsiaTheme="minorEastAsia"/>
          <w:i/>
          <w:iCs/>
        </w:rPr>
        <w:t>The counterpart's value is given by a similar formula, but with the signs reversed on the right-hand side.</w:t>
      </w:r>
      <w:r w:rsidRPr="00B42996">
        <w:rPr>
          <w:rFonts w:eastAsiaTheme="minorEastAsia"/>
          <w:i/>
          <w:iCs/>
        </w:rPr>
        <w:t>)</w:t>
      </w:r>
    </w:p>
    <w:p w14:paraId="178045DA" w14:textId="650B2366" w:rsidR="00E50868" w:rsidRDefault="00E50868" w:rsidP="00272C92">
      <w:pPr>
        <w:spacing w:line="480" w:lineRule="auto"/>
        <w:jc w:val="left"/>
      </w:pPr>
      <w:r>
        <w:t>Floating rate payments</w:t>
      </w:r>
      <w:r w:rsidR="00272C92">
        <w:t xml:space="preserve"> are </w:t>
      </w:r>
      <w:r>
        <w:t xml:space="preserve">unknown in </w:t>
      </w:r>
      <w:proofErr w:type="gramStart"/>
      <w:r>
        <w:t xml:space="preserve">advance, </w:t>
      </w:r>
      <w:r w:rsidR="00272C92">
        <w:t>but</w:t>
      </w:r>
      <w:proofErr w:type="gramEnd"/>
      <w:r w:rsidR="00272C92">
        <w:t xml:space="preserve"> </w:t>
      </w:r>
      <w:r>
        <w:t xml:space="preserve">are usually determined by a relevant yield curve. For instance, if the floating leg payment is based on LIBOR, the LIBOR curve, constructed by interpolating short-term deposit rates, medium-term Eurodollar futures, and long-term instruments like forward rate agreements and existing swaps, is </w:t>
      </w:r>
      <w:r w:rsidR="00272C92">
        <w:t>used</w:t>
      </w:r>
      <w:r>
        <w:t>.</w:t>
      </w:r>
    </w:p>
    <w:p w14:paraId="45E635CD" w14:textId="66F053BE" w:rsidR="00B42996" w:rsidRDefault="00E50868" w:rsidP="00272C92">
      <w:pPr>
        <w:spacing w:line="480" w:lineRule="auto"/>
        <w:jc w:val="left"/>
      </w:pPr>
      <w:r>
        <w:t>At the outset of the contract, the contract's value is zero. This is achieved by determining the present value of the floating leg using the assumed payments, and then setting the fixed rate such that the present values of both legs align.</w:t>
      </w:r>
    </w:p>
    <w:p w14:paraId="0E816275" w14:textId="424B6137" w:rsidR="00185E04" w:rsidRDefault="00185E04" w:rsidP="00272C92">
      <w:pPr>
        <w:pStyle w:val="Heading1"/>
        <w:spacing w:line="480" w:lineRule="auto"/>
      </w:pPr>
      <w:r>
        <w:lastRenderedPageBreak/>
        <w:t xml:space="preserve">Counterparty Risk and </w:t>
      </w:r>
      <w:r w:rsidR="00272C92">
        <w:t>CVA/DVA</w:t>
      </w:r>
    </w:p>
    <w:p w14:paraId="55A66247" w14:textId="2CE66F7D" w:rsidR="008719B6" w:rsidRDefault="00E50868" w:rsidP="00272C92">
      <w:pPr>
        <w:spacing w:line="480" w:lineRule="auto"/>
        <w:jc w:val="left"/>
      </w:pPr>
      <w:r>
        <w:t xml:space="preserve">The interest rate swap market is </w:t>
      </w:r>
      <w:r w:rsidR="00272C92">
        <w:t>dominated</w:t>
      </w:r>
      <w:r>
        <w:t xml:space="preserve"> by a handful of substantial swap dealers (SDs) and Major Swap Participants (MSPs) rather than </w:t>
      </w:r>
      <w:r w:rsidR="00272C92">
        <w:t>many atomistic market participants</w:t>
      </w:r>
      <w:r>
        <w:t xml:space="preserve">. These </w:t>
      </w:r>
      <w:r w:rsidR="00272C92">
        <w:t xml:space="preserve">SDs and MSPs </w:t>
      </w:r>
      <w:r>
        <w:t>offer buy and sell quotes for swaps, potentially finding other participants to balance their swap exposures. Figure 1 depicts a hypothetical network model of such a market.</w:t>
      </w:r>
      <w:r w:rsidR="008719B6" w:rsidRPr="008719B6">
        <w:drawing>
          <wp:inline distT="0" distB="0" distL="0" distR="0" wp14:anchorId="453D3265" wp14:editId="73418A0B">
            <wp:extent cx="5943600" cy="2359660"/>
            <wp:effectExtent l="0" t="0" r="0" b="2540"/>
            <wp:docPr id="94625259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52592" name="Picture 1" descr="Diagram&#10;&#10;Description automatically generated"/>
                    <pic:cNvPicPr/>
                  </pic:nvPicPr>
                  <pic:blipFill>
                    <a:blip r:embed="rId5"/>
                    <a:stretch>
                      <a:fillRect/>
                    </a:stretch>
                  </pic:blipFill>
                  <pic:spPr>
                    <a:xfrm>
                      <a:off x="0" y="0"/>
                      <a:ext cx="5943600" cy="2359660"/>
                    </a:xfrm>
                    <a:prstGeom prst="rect">
                      <a:avLst/>
                    </a:prstGeom>
                  </pic:spPr>
                </pic:pic>
              </a:graphicData>
            </a:graphic>
          </wp:inline>
        </w:drawing>
      </w:r>
    </w:p>
    <w:p w14:paraId="18DB7B52" w14:textId="41110FDF" w:rsidR="00E50868" w:rsidRDefault="00272C92" w:rsidP="00272C92">
      <w:pPr>
        <w:spacing w:line="480" w:lineRule="auto"/>
        <w:jc w:val="left"/>
      </w:pPr>
      <w:r>
        <w:t>D</w:t>
      </w:r>
      <w:r w:rsidR="00E50868">
        <w:t xml:space="preserve">ealers </w:t>
      </w:r>
      <w:r>
        <w:t xml:space="preserve">might engage </w:t>
      </w:r>
      <w:r w:rsidR="00E50868">
        <w:t xml:space="preserve">in interdealer trading and bulk futures markets for cash flow or risk management, customers might trade with multiple dealers or occasionally engage in bilateral trades amongst themselves. However, such bilateral trades typically have low volume. </w:t>
      </w:r>
      <w:r>
        <w:t xml:space="preserve">It is believed </w:t>
      </w:r>
      <w:r w:rsidR="00E50868">
        <w:t xml:space="preserve">that the dealer-centric network structure </w:t>
      </w:r>
      <w:r>
        <w:t>lowers</w:t>
      </w:r>
      <w:r w:rsidR="00E50868">
        <w:t xml:space="preserve"> search costs compared to a direct customer-to-customer market.</w:t>
      </w:r>
    </w:p>
    <w:p w14:paraId="6E627A70" w14:textId="7732E0AF" w:rsidR="00E50868" w:rsidRDefault="00E50868" w:rsidP="00272C92">
      <w:pPr>
        <w:spacing w:line="480" w:lineRule="auto"/>
      </w:pPr>
      <w:r>
        <w:t xml:space="preserve">In practice, both customers and dealers must account for the risk associated with counterparties defaulting. The "risk-free" present values </w:t>
      </w:r>
      <w:r w:rsidR="00272C92">
        <w:t xml:space="preserve">above </w:t>
      </w:r>
      <w:r>
        <w:t xml:space="preserve">need </w:t>
      </w:r>
      <w:r w:rsidR="00272C92">
        <w:t xml:space="preserve">to be adjusted </w:t>
      </w:r>
      <w:r>
        <w:t xml:space="preserve">for </w:t>
      </w:r>
      <w:r w:rsidR="00272C92">
        <w:t>counterparty default</w:t>
      </w:r>
      <w:r>
        <w:t xml:space="preserve">. 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w:proofErr w:type="spellStart"/>
      <w:r w:rsidRPr="00272C92">
        <w:rPr>
          <w:rStyle w:val="mord"/>
          <w:i/>
          <w:iCs/>
        </w:rPr>
        <w:t>i</w:t>
      </w:r>
      <w:proofErr w:type="spellEnd"/>
      <w:r>
        <w:t>, the expected present value is:</w:t>
      </w:r>
    </w:p>
    <w:p w14:paraId="2C6484D5" w14:textId="781AA879" w:rsidR="008719B6" w:rsidRPr="0073452C" w:rsidRDefault="00272C92" w:rsidP="00272C92">
      <w:pPr>
        <w:spacing w:line="480" w:lineRule="auto"/>
        <w:rPr>
          <w:rFonts w:eastAsiaTheme="minorEastAsia"/>
        </w:rPr>
      </w:pPr>
      <m:oMathPara>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1D3CCCCE" w14:textId="6007915B" w:rsidR="00E50868" w:rsidRDefault="00E50868" w:rsidP="00272C92">
      <w:pPr>
        <w:spacing w:line="480" w:lineRule="auto"/>
        <w:jc w:val="left"/>
      </w:pPr>
      <w:r>
        <w:t>N</w:t>
      </w:r>
      <w:r>
        <w:t xml:space="preserve">ote that a swap's value </w:t>
      </w:r>
      <w:r>
        <w:t xml:space="preserve">with counterparty risk </w:t>
      </w:r>
      <w:r>
        <w:t xml:space="preserve">requires two adjustments. A defaulting counterparty means missed expected payments but also fewer obligations. This </w:t>
      </w:r>
      <w:r w:rsidR="00272C92">
        <w:t>requires</w:t>
      </w:r>
      <w:r>
        <w:t xml:space="preserve"> a "credit value adjustment" </w:t>
      </w:r>
      <w:r w:rsidR="00272C92">
        <w:t>to</w:t>
      </w:r>
      <w:r>
        <w:t xml:space="preserve"> account for missed expected </w:t>
      </w:r>
      <w:r w:rsidR="00272C92">
        <w:t xml:space="preserve">future </w:t>
      </w:r>
      <w:r>
        <w:t>payments and a "debit value adjustment" for reduced obligations.</w:t>
      </w:r>
    </w:p>
    <w:p w14:paraId="0E273C04" w14:textId="5405D9D6" w:rsidR="00272C92" w:rsidRDefault="00272C92" w:rsidP="00272C92">
      <w:pPr>
        <w:pStyle w:val="Heading1"/>
      </w:pPr>
      <w:r>
        <w:lastRenderedPageBreak/>
        <w:t>Central Clearing</w:t>
      </w:r>
    </w:p>
    <w:p w14:paraId="04514973" w14:textId="75E28578" w:rsidR="00E50868" w:rsidRDefault="00E50868" w:rsidP="00272C92">
      <w:pPr>
        <w:spacing w:line="480" w:lineRule="auto"/>
        <w:jc w:val="left"/>
      </w:pPr>
      <w:r>
        <w:t xml:space="preserve">The structure of a dealer-dominated market </w:t>
      </w:r>
      <w:r w:rsidR="00272C92">
        <w:t>means</w:t>
      </w:r>
      <w:r>
        <w:t xml:space="preserve"> that a dealer's failure, possibly due to inadequate risk management or customer defaults, could affect other dealers and potentially the entire market. To counter this, regulators introduced central counterparties (clearinghouses). These clearinghouses </w:t>
      </w:r>
      <w:r w:rsidR="00272C92">
        <w:t>voids (novates)</w:t>
      </w:r>
      <w:r>
        <w:t xml:space="preserve"> the initial swap contract and establish two new contracts, mirroring the original, with each counterparty. </w:t>
      </w:r>
      <w:r w:rsidR="00272C92">
        <w:t xml:space="preserve">Now </w:t>
      </w:r>
      <w:r>
        <w:t xml:space="preserve">participants only need to </w:t>
      </w:r>
      <w:r w:rsidR="00272C92">
        <w:t xml:space="preserve">be concerned about </w:t>
      </w:r>
      <w:r>
        <w:t>the clearinghouse's potential default</w:t>
      </w:r>
      <w:r w:rsidR="00272C92">
        <w:t>, rather than their counterparties</w:t>
      </w:r>
      <w:r>
        <w:t>. Owing to their robust capitalization, regulation, and sound risk management, clearinghouses are perceived to decrease default and contagion risks. Figure 2 visualizes a hypothetical market structure with mandated central clearing.</w:t>
      </w:r>
      <w:r w:rsidRPr="00E50868">
        <w:drawing>
          <wp:inline distT="0" distB="0" distL="0" distR="0" wp14:anchorId="116AC995" wp14:editId="18538B50">
            <wp:extent cx="5943600" cy="2616835"/>
            <wp:effectExtent l="0" t="0" r="0" b="0"/>
            <wp:docPr id="2038126610" name="Picture 1"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26610" name="Picture 1" descr="Diagram, text, letter&#10;&#10;Description automatically generated"/>
                    <pic:cNvPicPr/>
                  </pic:nvPicPr>
                  <pic:blipFill>
                    <a:blip r:embed="rId6"/>
                    <a:stretch>
                      <a:fillRect/>
                    </a:stretch>
                  </pic:blipFill>
                  <pic:spPr>
                    <a:xfrm>
                      <a:off x="0" y="0"/>
                      <a:ext cx="5943600" cy="2616835"/>
                    </a:xfrm>
                    <a:prstGeom prst="rect">
                      <a:avLst/>
                    </a:prstGeom>
                  </pic:spPr>
                </pic:pic>
              </a:graphicData>
            </a:graphic>
          </wp:inline>
        </w:drawing>
      </w:r>
    </w:p>
    <w:sectPr w:rsidR="00E508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ew Caledonia LT Std">
    <w:altName w:val="Calibri"/>
    <w:panose1 w:val="020B0604020202020204"/>
    <w:charset w:val="00"/>
    <w:family w:val="auto"/>
    <w:pitch w:val="variable"/>
    <w:sig w:usb0="00000003" w:usb1="00000000" w:usb2="00000000" w:usb3="00000000" w:csb0="00000001" w:csb1="00000000"/>
  </w:font>
  <w:font w:name="Calisto MT">
    <w:panose1 w:val="02040603050505030304"/>
    <w:charset w:val="4D"/>
    <w:family w:val="roman"/>
    <w:pitch w:val="variable"/>
    <w:sig w:usb0="00000003" w:usb1="00000000" w:usb2="00000000" w:usb3="00000000" w:csb0="00000001" w:csb1="00000000"/>
  </w:font>
  <w:font w:name="Times-Roman">
    <w:altName w:val="Times"/>
    <w:panose1 w:val="020B0604020202020204"/>
    <w:charset w:val="4D"/>
    <w:family w:val="auto"/>
    <w:notTrueType/>
    <w:pitch w:val="default"/>
    <w:sig w:usb0="00000003" w:usb1="00000000" w:usb2="00000000" w:usb3="00000000" w:csb0="00000001" w:csb1="00000000"/>
  </w:font>
  <w:font w:name="TimesLTStd-Roman">
    <w:altName w:val="Times New Roman"/>
    <w:panose1 w:val="020B0604020202020204"/>
    <w:charset w:val="4D"/>
    <w:family w:val="auto"/>
    <w:notTrueType/>
    <w:pitch w:val="default"/>
    <w:sig w:usb0="00000003" w:usb1="00000000" w:usb2="00000000" w:usb3="00000000" w:csb0="00000001" w:csb1="00000000"/>
  </w:font>
  <w:font w:name="TimesLTStd-Italic">
    <w:altName w:val="Times LT Std Phonetic"/>
    <w:panose1 w:val="020B0604020202020204"/>
    <w:charset w:val="4D"/>
    <w:family w:val="auto"/>
    <w:notTrueType/>
    <w:pitch w:val="default"/>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NewCaledoniaLTStd">
    <w:altName w:val="New Caledonia LT Std"/>
    <w:panose1 w:val="020B0604020202020204"/>
    <w:charset w:val="4D"/>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ADC8E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5FE49F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8064B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9840BF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BDE333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76ADA3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A40BF7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788D71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9867AF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CFA3A42"/>
    <w:lvl w:ilvl="0">
      <w:start w:val="1"/>
      <w:numFmt w:val="lowerRoman"/>
      <w:lvlText w:val="(%1)"/>
      <w:lvlJc w:val="right"/>
      <w:pPr>
        <w:ind w:left="835" w:hanging="360"/>
      </w:pPr>
      <w:rPr>
        <w:rFonts w:hint="default"/>
      </w:rPr>
    </w:lvl>
  </w:abstractNum>
  <w:abstractNum w:abstractNumId="10" w15:restartNumberingAfterBreak="0">
    <w:nsid w:val="FFFFFF89"/>
    <w:multiLevelType w:val="singleLevel"/>
    <w:tmpl w:val="F0C0ACD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4761B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96D7F6C"/>
    <w:multiLevelType w:val="hybridMultilevel"/>
    <w:tmpl w:val="42704DBE"/>
    <w:lvl w:ilvl="0" w:tplc="F5D20E9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4426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FB36D8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16" w15:restartNumberingAfterBreak="0">
    <w:nsid w:val="4A2A7E38"/>
    <w:multiLevelType w:val="multilevel"/>
    <w:tmpl w:val="41C8085E"/>
    <w:lvl w:ilvl="0">
      <w:start w:val="1"/>
      <w:numFmt w:val="decimal"/>
      <w:lvlText w:val="%1"/>
      <w:lvlJc w:val="left"/>
      <w:pPr>
        <w:ind w:left="720" w:hanging="720"/>
      </w:pPr>
      <w:rPr>
        <w:rFonts w:hint="default"/>
        <w:i/>
      </w:rPr>
    </w:lvl>
    <w:lvl w:ilvl="1">
      <w:start w:val="1"/>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080" w:hanging="108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440" w:hanging="1440"/>
      </w:pPr>
      <w:rPr>
        <w:rFonts w:hint="default"/>
        <w:i/>
      </w:rPr>
    </w:lvl>
  </w:abstractNum>
  <w:abstractNum w:abstractNumId="17"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18" w15:restartNumberingAfterBreak="0">
    <w:nsid w:val="5A3978EB"/>
    <w:multiLevelType w:val="multilevel"/>
    <w:tmpl w:val="0DD2A90E"/>
    <w:lvl w:ilvl="0">
      <w:start w:val="1"/>
      <w:numFmt w:val="lowerRoman"/>
      <w:lvlText w:val="(%1)"/>
      <w:lvlJc w:val="left"/>
      <w:pPr>
        <w:ind w:left="1195" w:hanging="360"/>
      </w:pPr>
      <w:rPr>
        <w:rFonts w:hint="default"/>
      </w:rPr>
    </w:lvl>
    <w:lvl w:ilvl="1">
      <w:start w:val="1"/>
      <w:numFmt w:val="lowerLetter"/>
      <w:lvlText w:val="%2."/>
      <w:lvlJc w:val="left"/>
      <w:pPr>
        <w:ind w:left="1915" w:hanging="360"/>
      </w:pPr>
    </w:lvl>
    <w:lvl w:ilvl="2">
      <w:start w:val="1"/>
      <w:numFmt w:val="lowerRoman"/>
      <w:lvlText w:val="%3."/>
      <w:lvlJc w:val="right"/>
      <w:pPr>
        <w:ind w:left="2635" w:hanging="180"/>
      </w:pPr>
    </w:lvl>
    <w:lvl w:ilvl="3">
      <w:start w:val="1"/>
      <w:numFmt w:val="decimal"/>
      <w:lvlText w:val="%4."/>
      <w:lvlJc w:val="left"/>
      <w:pPr>
        <w:ind w:left="3355" w:hanging="360"/>
      </w:pPr>
    </w:lvl>
    <w:lvl w:ilvl="4">
      <w:start w:val="1"/>
      <w:numFmt w:val="lowerLetter"/>
      <w:lvlText w:val="%5."/>
      <w:lvlJc w:val="left"/>
      <w:pPr>
        <w:ind w:left="4075" w:hanging="360"/>
      </w:pPr>
    </w:lvl>
    <w:lvl w:ilvl="5">
      <w:start w:val="1"/>
      <w:numFmt w:val="lowerRoman"/>
      <w:lvlText w:val="%6."/>
      <w:lvlJc w:val="right"/>
      <w:pPr>
        <w:ind w:left="4795" w:hanging="180"/>
      </w:pPr>
    </w:lvl>
    <w:lvl w:ilvl="6">
      <w:start w:val="1"/>
      <w:numFmt w:val="decimal"/>
      <w:lvlText w:val="%7."/>
      <w:lvlJc w:val="left"/>
      <w:pPr>
        <w:ind w:left="5515" w:hanging="360"/>
      </w:pPr>
    </w:lvl>
    <w:lvl w:ilvl="7">
      <w:start w:val="1"/>
      <w:numFmt w:val="lowerLetter"/>
      <w:lvlText w:val="%8."/>
      <w:lvlJc w:val="left"/>
      <w:pPr>
        <w:ind w:left="6235" w:hanging="360"/>
      </w:pPr>
    </w:lvl>
    <w:lvl w:ilvl="8">
      <w:start w:val="1"/>
      <w:numFmt w:val="lowerRoman"/>
      <w:lvlText w:val="%9."/>
      <w:lvlJc w:val="right"/>
      <w:pPr>
        <w:ind w:left="6955" w:hanging="180"/>
      </w:pPr>
    </w:lvl>
  </w:abstractNum>
  <w:abstractNum w:abstractNumId="19" w15:restartNumberingAfterBreak="0">
    <w:nsid w:val="5B4245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C054DAC"/>
    <w:multiLevelType w:val="hybridMultilevel"/>
    <w:tmpl w:val="B6AC5DB4"/>
    <w:lvl w:ilvl="0" w:tplc="3A78685A">
      <w:start w:val="1"/>
      <w:numFmt w:val="bullet"/>
      <w:lvlText w:val=""/>
      <w:lvlJc w:val="left"/>
      <w:pPr>
        <w:tabs>
          <w:tab w:val="num" w:pos="202"/>
        </w:tabs>
        <w:ind w:left="202" w:hanging="202"/>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1877591">
    <w:abstractNumId w:val="20"/>
  </w:num>
  <w:num w:numId="2" w16cid:durableId="1228763840">
    <w:abstractNumId w:val="12"/>
  </w:num>
  <w:num w:numId="3" w16cid:durableId="205724336">
    <w:abstractNumId w:val="10"/>
  </w:num>
  <w:num w:numId="4" w16cid:durableId="2066683266">
    <w:abstractNumId w:val="7"/>
  </w:num>
  <w:num w:numId="5" w16cid:durableId="1136027175">
    <w:abstractNumId w:val="8"/>
  </w:num>
  <w:num w:numId="6" w16cid:durableId="793182654">
    <w:abstractNumId w:val="6"/>
  </w:num>
  <w:num w:numId="7" w16cid:durableId="69469790">
    <w:abstractNumId w:val="5"/>
  </w:num>
  <w:num w:numId="8" w16cid:durableId="1731730446">
    <w:abstractNumId w:val="4"/>
  </w:num>
  <w:num w:numId="9" w16cid:durableId="176819789">
    <w:abstractNumId w:val="3"/>
  </w:num>
  <w:num w:numId="10" w16cid:durableId="1700471871">
    <w:abstractNumId w:val="2"/>
  </w:num>
  <w:num w:numId="11" w16cid:durableId="1250697818">
    <w:abstractNumId w:val="1"/>
  </w:num>
  <w:num w:numId="12" w16cid:durableId="273438039">
    <w:abstractNumId w:val="9"/>
  </w:num>
  <w:num w:numId="13" w16cid:durableId="933392771">
    <w:abstractNumId w:val="0"/>
  </w:num>
  <w:num w:numId="14" w16cid:durableId="1912084489">
    <w:abstractNumId w:val="19"/>
  </w:num>
  <w:num w:numId="15" w16cid:durableId="1253927924">
    <w:abstractNumId w:val="13"/>
  </w:num>
  <w:num w:numId="16" w16cid:durableId="1155340899">
    <w:abstractNumId w:val="14"/>
  </w:num>
  <w:num w:numId="17" w16cid:durableId="1863274668">
    <w:abstractNumId w:val="17"/>
  </w:num>
  <w:num w:numId="18" w16cid:durableId="505049072">
    <w:abstractNumId w:val="15"/>
  </w:num>
  <w:num w:numId="19" w16cid:durableId="392461310">
    <w:abstractNumId w:val="11"/>
  </w:num>
  <w:num w:numId="20" w16cid:durableId="575631405">
    <w:abstractNumId w:val="18"/>
  </w:num>
  <w:num w:numId="21" w16cid:durableId="93462878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6"/>
  <w:proofState w:spelling="clean" w:grammar="clean"/>
  <w:attachedTemplate r:id="rId1"/>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AD8"/>
    <w:rsid w:val="00185E04"/>
    <w:rsid w:val="00272C92"/>
    <w:rsid w:val="003D1958"/>
    <w:rsid w:val="005323E1"/>
    <w:rsid w:val="0073452C"/>
    <w:rsid w:val="00745AD8"/>
    <w:rsid w:val="008719B6"/>
    <w:rsid w:val="009B1E57"/>
    <w:rsid w:val="00B42996"/>
    <w:rsid w:val="00D21F9E"/>
    <w:rsid w:val="00D50F5D"/>
    <w:rsid w:val="00E50868"/>
    <w:rsid w:val="00FC39DA"/>
    <w:rsid w:val="00FD7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3134E5"/>
  <w15:chartTrackingRefBased/>
  <w15:docId w15:val="{CC60EB8A-8D1D-0E46-B7E6-CF3058F28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C92"/>
    <w:pPr>
      <w:ind w:firstLine="202"/>
      <w:jc w:val="both"/>
    </w:pPr>
    <w:rPr>
      <w:rFonts w:ascii="New Caledonia LT Std" w:eastAsia="Calisto MT" w:hAnsi="New Caledonia LT Std" w:cs="Times New Roman"/>
      <w:kern w:val="0"/>
      <w:sz w:val="21"/>
      <w14:ligatures w14:val="none"/>
    </w:rPr>
  </w:style>
  <w:style w:type="paragraph" w:styleId="Heading1">
    <w:name w:val="heading 1"/>
    <w:next w:val="Normal"/>
    <w:link w:val="Heading1Char"/>
    <w:qFormat/>
    <w:rsid w:val="00272C92"/>
    <w:pPr>
      <w:keepNext/>
      <w:keepLines/>
      <w:spacing w:before="360" w:after="120" w:line="360" w:lineRule="auto"/>
      <w:contextualSpacing/>
      <w:jc w:val="center"/>
      <w:outlineLvl w:val="0"/>
    </w:pPr>
    <w:rPr>
      <w:rFonts w:ascii="New Caledonia LT Std" w:eastAsia="Times New Roman" w:hAnsi="New Caledonia LT Std" w:cs="Times New Roman"/>
      <w:bCs/>
      <w:i/>
      <w:color w:val="000000"/>
      <w:kern w:val="0"/>
      <w:sz w:val="20"/>
      <w:szCs w:val="32"/>
      <w14:ligatures w14:val="none"/>
    </w:rPr>
  </w:style>
  <w:style w:type="paragraph" w:styleId="Heading2">
    <w:name w:val="heading 2"/>
    <w:next w:val="Normal"/>
    <w:link w:val="Heading2Char"/>
    <w:qFormat/>
    <w:rsid w:val="00272C92"/>
    <w:pPr>
      <w:keepNext/>
      <w:keepLines/>
      <w:spacing w:before="120" w:after="120" w:line="360" w:lineRule="auto"/>
      <w:contextualSpacing/>
      <w:outlineLvl w:val="1"/>
    </w:pPr>
    <w:rPr>
      <w:rFonts w:ascii="New Caledonia LT Std" w:eastAsia="Times New Roman" w:hAnsi="New Caledonia LT Std" w:cs="Times New Roman"/>
      <w:bCs/>
      <w:i/>
      <w:color w:val="000000"/>
      <w:kern w:val="0"/>
      <w:sz w:val="21"/>
      <w:szCs w:val="26"/>
      <w14:ligatures w14:val="none"/>
    </w:rPr>
  </w:style>
  <w:style w:type="paragraph" w:styleId="Heading3">
    <w:name w:val="heading 3"/>
    <w:basedOn w:val="Normal"/>
    <w:next w:val="Normal"/>
    <w:link w:val="Heading3Char"/>
    <w:qFormat/>
    <w:rsid w:val="00272C92"/>
    <w:pPr>
      <w:spacing w:before="120" w:after="120"/>
      <w:ind w:firstLine="0"/>
      <w:outlineLvl w:val="2"/>
    </w:pPr>
    <w:rPr>
      <w:rFonts w:eastAsia="Times New Roman"/>
      <w:bCs/>
    </w:rPr>
  </w:style>
  <w:style w:type="paragraph" w:styleId="Heading4">
    <w:name w:val="heading 4"/>
    <w:basedOn w:val="Normal"/>
    <w:next w:val="Normal"/>
    <w:link w:val="Heading4Char"/>
    <w:uiPriority w:val="99"/>
    <w:qFormat/>
    <w:rsid w:val="00272C92"/>
    <w:pPr>
      <w:spacing w:before="260"/>
      <w:ind w:firstLine="0"/>
      <w:outlineLvl w:val="3"/>
    </w:pPr>
    <w:rPr>
      <w:rFonts w:eastAsia="Times New Roman"/>
      <w:bCs/>
      <w:iCs/>
    </w:rPr>
  </w:style>
  <w:style w:type="character" w:default="1" w:styleId="DefaultParagraphFont">
    <w:name w:val="Default Paragraph Font"/>
    <w:semiHidden/>
    <w:unhideWhenUsed/>
    <w:rsid w:val="00272C9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rsid w:val="00272C92"/>
  </w:style>
  <w:style w:type="character" w:styleId="PlaceholderText">
    <w:name w:val="Placeholder Text"/>
    <w:basedOn w:val="DefaultParagraphFont"/>
    <w:uiPriority w:val="99"/>
    <w:semiHidden/>
    <w:rsid w:val="00FD7A2B"/>
    <w:rPr>
      <w:color w:val="808080"/>
    </w:rPr>
  </w:style>
  <w:style w:type="character" w:customStyle="1" w:styleId="Heading1Char">
    <w:name w:val="Heading 1 Char"/>
    <w:basedOn w:val="DefaultParagraphFont"/>
    <w:link w:val="Heading1"/>
    <w:rsid w:val="00272C92"/>
    <w:rPr>
      <w:rFonts w:ascii="New Caledonia LT Std" w:eastAsia="Times New Roman" w:hAnsi="New Caledonia LT Std" w:cs="Times New Roman"/>
      <w:bCs/>
      <w:i/>
      <w:color w:val="000000"/>
      <w:kern w:val="0"/>
      <w:sz w:val="20"/>
      <w:szCs w:val="32"/>
      <w14:ligatures w14:val="none"/>
    </w:rPr>
  </w:style>
  <w:style w:type="character" w:customStyle="1" w:styleId="katex-mathml">
    <w:name w:val="katex-mathml"/>
    <w:basedOn w:val="DefaultParagraphFont"/>
    <w:rsid w:val="00E50868"/>
  </w:style>
  <w:style w:type="character" w:customStyle="1" w:styleId="mord">
    <w:name w:val="mord"/>
    <w:basedOn w:val="DefaultParagraphFont"/>
    <w:rsid w:val="00E50868"/>
  </w:style>
  <w:style w:type="character" w:customStyle="1" w:styleId="vlist-s">
    <w:name w:val="vlist-s"/>
    <w:basedOn w:val="DefaultParagraphFont"/>
    <w:rsid w:val="00E50868"/>
  </w:style>
  <w:style w:type="character" w:customStyle="1" w:styleId="Heading2Char">
    <w:name w:val="Heading 2 Char"/>
    <w:basedOn w:val="DefaultParagraphFont"/>
    <w:link w:val="Heading2"/>
    <w:rsid w:val="00272C92"/>
    <w:rPr>
      <w:rFonts w:ascii="New Caledonia LT Std" w:eastAsia="Times New Roman" w:hAnsi="New Caledonia LT Std" w:cs="Times New Roman"/>
      <w:bCs/>
      <w:i/>
      <w:color w:val="000000"/>
      <w:kern w:val="0"/>
      <w:sz w:val="21"/>
      <w:szCs w:val="26"/>
      <w14:ligatures w14:val="none"/>
    </w:rPr>
  </w:style>
  <w:style w:type="character" w:customStyle="1" w:styleId="Heading3Char">
    <w:name w:val="Heading 3 Char"/>
    <w:basedOn w:val="DefaultParagraphFont"/>
    <w:link w:val="Heading3"/>
    <w:rsid w:val="00272C92"/>
    <w:rPr>
      <w:rFonts w:ascii="New Caledonia LT Std" w:eastAsia="Times New Roman" w:hAnsi="New Caledonia LT Std" w:cs="Times New Roman"/>
      <w:bCs/>
      <w:kern w:val="0"/>
      <w:sz w:val="21"/>
      <w14:ligatures w14:val="none"/>
    </w:rPr>
  </w:style>
  <w:style w:type="character" w:customStyle="1" w:styleId="Heading4Char">
    <w:name w:val="Heading 4 Char"/>
    <w:basedOn w:val="DefaultParagraphFont"/>
    <w:link w:val="Heading4"/>
    <w:uiPriority w:val="99"/>
    <w:rsid w:val="00272C92"/>
    <w:rPr>
      <w:rFonts w:ascii="New Caledonia LT Std" w:eastAsia="Times New Roman" w:hAnsi="New Caledonia LT Std" w:cs="Times New Roman"/>
      <w:bCs/>
      <w:iCs/>
      <w:kern w:val="0"/>
      <w:sz w:val="21"/>
      <w14:ligatures w14:val="none"/>
    </w:rPr>
  </w:style>
  <w:style w:type="paragraph" w:customStyle="1" w:styleId="NoParagraphStyle">
    <w:name w:val="[No Paragraph Style]"/>
    <w:rsid w:val="00272C92"/>
    <w:pPr>
      <w:widowControl w:val="0"/>
      <w:autoSpaceDE w:val="0"/>
      <w:autoSpaceDN w:val="0"/>
      <w:adjustRightInd w:val="0"/>
      <w:spacing w:line="288" w:lineRule="auto"/>
      <w:textAlignment w:val="center"/>
    </w:pPr>
    <w:rPr>
      <w:rFonts w:ascii="Times-Roman" w:eastAsia="Calisto MT" w:hAnsi="Times-Roman" w:cs="Times-Roman"/>
      <w:color w:val="000000"/>
      <w:kern w:val="0"/>
      <w14:ligatures w14:val="none"/>
    </w:rPr>
  </w:style>
  <w:style w:type="paragraph" w:customStyle="1" w:styleId="Author">
    <w:name w:val="Author"/>
    <w:next w:val="Normal"/>
    <w:rsid w:val="00272C92"/>
    <w:pPr>
      <w:suppressAutoHyphens/>
      <w:spacing w:after="540" w:line="280" w:lineRule="exact"/>
      <w:jc w:val="center"/>
    </w:pPr>
    <w:rPr>
      <w:rFonts w:ascii="New Caledonia LT Std" w:eastAsia="Calisto MT" w:hAnsi="New Caledonia LT Std" w:cs="TimesLTStd-Roman"/>
      <w:smallCaps/>
      <w:color w:val="000000"/>
      <w:kern w:val="0"/>
      <w:szCs w:val="22"/>
      <w14:ligatures w14:val="none"/>
    </w:rPr>
  </w:style>
  <w:style w:type="paragraph" w:customStyle="1" w:styleId="Abstract">
    <w:name w:val="Abstract"/>
    <w:next w:val="Normal"/>
    <w:rsid w:val="00272C92"/>
    <w:pPr>
      <w:spacing w:before="100" w:after="600"/>
      <w:ind w:left="662" w:right="662"/>
      <w:jc w:val="both"/>
    </w:pPr>
    <w:rPr>
      <w:rFonts w:ascii="New Caledonia LT Std" w:eastAsia="Calisto MT" w:hAnsi="New Caledonia LT Std" w:cs="TimesLTStd-Italic"/>
      <w:i/>
      <w:iCs/>
      <w:color w:val="000000"/>
      <w:kern w:val="0"/>
      <w:sz w:val="21"/>
      <w:szCs w:val="22"/>
      <w14:ligatures w14:val="none"/>
    </w:rPr>
  </w:style>
  <w:style w:type="paragraph" w:customStyle="1" w:styleId="Equation">
    <w:name w:val="Equation"/>
    <w:next w:val="Normal"/>
    <w:rsid w:val="00272C92"/>
    <w:pPr>
      <w:tabs>
        <w:tab w:val="center" w:pos="3960"/>
      </w:tabs>
      <w:suppressAutoHyphens/>
      <w:spacing w:before="260" w:line="360" w:lineRule="auto"/>
    </w:pPr>
    <w:rPr>
      <w:rFonts w:ascii="New Caledonia LT Std" w:eastAsia="Calisto MT" w:hAnsi="New Caledonia LT Std" w:cs="TimesLTStd-Roman"/>
      <w:color w:val="000000"/>
      <w:kern w:val="0"/>
      <w:sz w:val="20"/>
      <w:szCs w:val="20"/>
      <w14:ligatures w14:val="none"/>
    </w:rPr>
  </w:style>
  <w:style w:type="paragraph" w:customStyle="1" w:styleId="NormalNoIndent">
    <w:name w:val="Normal No Indent"/>
    <w:basedOn w:val="Normal"/>
    <w:next w:val="Normal"/>
    <w:rsid w:val="00272C92"/>
    <w:pPr>
      <w:ind w:firstLine="0"/>
    </w:pPr>
  </w:style>
  <w:style w:type="paragraph" w:customStyle="1" w:styleId="Contact">
    <w:name w:val="Contact"/>
    <w:next w:val="Normal"/>
    <w:rsid w:val="00272C92"/>
    <w:pPr>
      <w:spacing w:after="200"/>
    </w:pPr>
    <w:rPr>
      <w:rFonts w:ascii="New Caledonia LT Std" w:eastAsia="Calisto MT" w:hAnsi="New Caledonia LT Std" w:cs="TimesLTStd-Roman"/>
      <w:color w:val="000000"/>
      <w:kern w:val="0"/>
      <w:sz w:val="16"/>
      <w:szCs w:val="16"/>
      <w14:ligatures w14:val="none"/>
    </w:rPr>
  </w:style>
  <w:style w:type="paragraph" w:customStyle="1" w:styleId="ReferenceHeading">
    <w:name w:val="Reference Heading"/>
    <w:basedOn w:val="Normal"/>
    <w:next w:val="References"/>
    <w:rsid w:val="00272C92"/>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272C92"/>
    <w:pPr>
      <w:widowControl w:val="0"/>
      <w:autoSpaceDE w:val="0"/>
      <w:autoSpaceDN w:val="0"/>
      <w:adjustRightInd w:val="0"/>
      <w:ind w:left="160" w:hanging="160"/>
      <w:textAlignment w:val="center"/>
    </w:pPr>
    <w:rPr>
      <w:rFonts w:cs="TimesLTStd-Roman"/>
      <w:sz w:val="16"/>
      <w:szCs w:val="20"/>
    </w:rPr>
  </w:style>
  <w:style w:type="paragraph" w:customStyle="1" w:styleId="Extract">
    <w:name w:val="Extract"/>
    <w:next w:val="Normal"/>
    <w:uiPriority w:val="99"/>
    <w:semiHidden/>
    <w:rsid w:val="00272C92"/>
    <w:pPr>
      <w:spacing w:before="240" w:line="360" w:lineRule="auto"/>
      <w:ind w:left="720" w:right="720"/>
      <w:jc w:val="both"/>
    </w:pPr>
    <w:rPr>
      <w:rFonts w:ascii="New Caledonia LT Std" w:eastAsia="Calisto MT" w:hAnsi="New Caledonia LT Std" w:cs="TimesLTStd-Italic"/>
      <w:i/>
      <w:iCs/>
      <w:color w:val="000000"/>
      <w:kern w:val="0"/>
      <w:sz w:val="21"/>
      <w:szCs w:val="20"/>
      <w14:ligatures w14:val="none"/>
    </w:rPr>
  </w:style>
  <w:style w:type="paragraph" w:customStyle="1" w:styleId="Tagline">
    <w:name w:val="Tagline"/>
    <w:basedOn w:val="Normal"/>
    <w:next w:val="Normal"/>
    <w:uiPriority w:val="99"/>
    <w:semiHidden/>
    <w:qFormat/>
    <w:rsid w:val="00272C92"/>
    <w:pPr>
      <w:spacing w:after="120"/>
      <w:ind w:left="720" w:right="720" w:firstLine="0"/>
      <w:jc w:val="right"/>
    </w:pPr>
  </w:style>
  <w:style w:type="paragraph" w:styleId="FootnoteText">
    <w:name w:val="footnote text"/>
    <w:basedOn w:val="Normal"/>
    <w:link w:val="FootnoteTextChar"/>
    <w:semiHidden/>
    <w:rsid w:val="00272C92"/>
    <w:pPr>
      <w:spacing w:line="180" w:lineRule="atLeast"/>
    </w:pPr>
    <w:rPr>
      <w:sz w:val="16"/>
    </w:rPr>
  </w:style>
  <w:style w:type="character" w:customStyle="1" w:styleId="FootnoteTextChar">
    <w:name w:val="Footnote Text Char"/>
    <w:basedOn w:val="DefaultParagraphFont"/>
    <w:link w:val="FootnoteText"/>
    <w:semiHidden/>
    <w:rsid w:val="00272C92"/>
    <w:rPr>
      <w:rFonts w:ascii="New Caledonia LT Std" w:eastAsia="Calisto MT" w:hAnsi="New Caledonia LT Std" w:cs="Times New Roman"/>
      <w:kern w:val="0"/>
      <w:sz w:val="16"/>
      <w14:ligatures w14:val="none"/>
    </w:rPr>
  </w:style>
  <w:style w:type="character" w:styleId="FootnoteReference">
    <w:name w:val="footnote reference"/>
    <w:basedOn w:val="DefaultParagraphFont"/>
    <w:semiHidden/>
    <w:rsid w:val="00272C92"/>
    <w:rPr>
      <w:rFonts w:ascii="Times New Roman" w:hAnsi="Times New Roman"/>
      <w:sz w:val="24"/>
      <w:bdr w:val="none" w:sz="0" w:space="0" w:color="auto"/>
      <w:vertAlign w:val="superscript"/>
    </w:rPr>
  </w:style>
  <w:style w:type="paragraph" w:customStyle="1" w:styleId="FigureTitle">
    <w:name w:val="Figure Title"/>
    <w:next w:val="Normal"/>
    <w:rsid w:val="00272C92"/>
    <w:pPr>
      <w:keepLines/>
      <w:suppressAutoHyphens/>
      <w:spacing w:after="80" w:line="180" w:lineRule="atLeast"/>
      <w:jc w:val="center"/>
    </w:pPr>
    <w:rPr>
      <w:rFonts w:ascii="New Caledonia LT Std" w:eastAsia="Calisto MT" w:hAnsi="New Caledonia LT Std" w:cs="TimesLTStd-Roman"/>
      <w:smallCaps/>
      <w:color w:val="000000"/>
      <w:spacing w:val="-1"/>
      <w:kern w:val="0"/>
      <w:sz w:val="18"/>
      <w:szCs w:val="16"/>
      <w14:ligatures w14:val="none"/>
    </w:rPr>
  </w:style>
  <w:style w:type="paragraph" w:customStyle="1" w:styleId="FigureNotes">
    <w:name w:val="Figure Notes"/>
    <w:next w:val="Normal"/>
    <w:rsid w:val="00272C92"/>
    <w:pPr>
      <w:tabs>
        <w:tab w:val="right" w:pos="440"/>
        <w:tab w:val="left" w:pos="480"/>
      </w:tabs>
      <w:spacing w:before="120" w:after="120" w:line="180" w:lineRule="atLeast"/>
      <w:jc w:val="both"/>
    </w:pPr>
    <w:rPr>
      <w:rFonts w:ascii="New Caledonia LT Std" w:eastAsia="Calisto MT" w:hAnsi="New Caledonia LT Std" w:cs="TimesLTStd-Roman"/>
      <w:color w:val="000000"/>
      <w:kern w:val="0"/>
      <w:sz w:val="17"/>
      <w:szCs w:val="16"/>
      <w14:ligatures w14:val="none"/>
    </w:rPr>
  </w:style>
  <w:style w:type="paragraph" w:customStyle="1" w:styleId="TableTitle">
    <w:name w:val="Table Title"/>
    <w:rsid w:val="00272C92"/>
    <w:pPr>
      <w:pBdr>
        <w:bottom w:val="double" w:sz="2" w:space="1" w:color="auto"/>
      </w:pBdr>
      <w:suppressAutoHyphens/>
      <w:spacing w:after="160" w:line="180" w:lineRule="atLeast"/>
      <w:ind w:right="720"/>
      <w:jc w:val="center"/>
    </w:pPr>
    <w:rPr>
      <w:rFonts w:ascii="New Caledonia LT Std" w:eastAsia="Calisto MT" w:hAnsi="New Caledonia LT Std" w:cs="TimesLTStd-Roman"/>
      <w:smallCaps/>
      <w:color w:val="000000"/>
      <w:spacing w:val="-1"/>
      <w:w w:val="97"/>
      <w:kern w:val="0"/>
      <w:sz w:val="16"/>
      <w:szCs w:val="16"/>
      <w14:ligatures w14:val="none"/>
    </w:rPr>
  </w:style>
  <w:style w:type="paragraph" w:customStyle="1" w:styleId="TableNotes">
    <w:name w:val="Table Notes"/>
    <w:rsid w:val="00272C92"/>
    <w:pPr>
      <w:spacing w:before="120" w:line="180" w:lineRule="atLeast"/>
      <w:ind w:right="720"/>
      <w:jc w:val="both"/>
    </w:pPr>
    <w:rPr>
      <w:rFonts w:ascii="New Caledonia LT Std" w:eastAsia="Calisto MT" w:hAnsi="New Caledonia LT Std" w:cs="TimesLTStd-Roman"/>
      <w:color w:val="000000"/>
      <w:kern w:val="0"/>
      <w:sz w:val="16"/>
      <w:szCs w:val="16"/>
      <w14:ligatures w14:val="none"/>
    </w:rPr>
  </w:style>
  <w:style w:type="paragraph" w:customStyle="1" w:styleId="TableText">
    <w:name w:val="Table Text"/>
    <w:rsid w:val="00272C92"/>
    <w:pPr>
      <w:spacing w:line="180" w:lineRule="atLeast"/>
      <w:jc w:val="center"/>
    </w:pPr>
    <w:rPr>
      <w:rFonts w:ascii="New Caledonia LT Std" w:eastAsia="Calisto MT" w:hAnsi="New Caledonia LT Std" w:cs="TimesLTStd-Roman"/>
      <w:color w:val="000000"/>
      <w:kern w:val="0"/>
      <w:sz w:val="16"/>
      <w:szCs w:val="16"/>
      <w14:ligatures w14:val="none"/>
    </w:rPr>
  </w:style>
  <w:style w:type="paragraph" w:styleId="Title">
    <w:name w:val="Title"/>
    <w:next w:val="Author"/>
    <w:link w:val="TitleChar"/>
    <w:qFormat/>
    <w:rsid w:val="00272C92"/>
    <w:pPr>
      <w:spacing w:after="540" w:line="480" w:lineRule="exact"/>
      <w:contextualSpacing/>
      <w:jc w:val="center"/>
    </w:pPr>
    <w:rPr>
      <w:rFonts w:ascii="New Caledonia LT Std" w:eastAsia="Times New Roman" w:hAnsi="New Caledonia LT Std" w:cs="Times New Roman"/>
      <w:color w:val="000000"/>
      <w:kern w:val="28"/>
      <w:sz w:val="48"/>
      <w:szCs w:val="52"/>
      <w14:ligatures w14:val="none"/>
    </w:rPr>
  </w:style>
  <w:style w:type="character" w:customStyle="1" w:styleId="TitleChar">
    <w:name w:val="Title Char"/>
    <w:basedOn w:val="DefaultParagraphFont"/>
    <w:link w:val="Title"/>
    <w:rsid w:val="00272C92"/>
    <w:rPr>
      <w:rFonts w:ascii="New Caledonia LT Std" w:eastAsia="Times New Roman" w:hAnsi="New Caledonia LT Std" w:cs="Times New Roman"/>
      <w:color w:val="000000"/>
      <w:kern w:val="28"/>
      <w:sz w:val="48"/>
      <w:szCs w:val="52"/>
      <w14:ligatures w14:val="none"/>
    </w:rPr>
  </w:style>
  <w:style w:type="paragraph" w:styleId="ListBullet">
    <w:name w:val="List Bullet"/>
    <w:basedOn w:val="Normal"/>
    <w:next w:val="Normal"/>
    <w:rsid w:val="00272C92"/>
    <w:pPr>
      <w:numPr>
        <w:numId w:val="17"/>
      </w:numPr>
      <w:contextualSpacing/>
    </w:pPr>
  </w:style>
  <w:style w:type="paragraph" w:styleId="ListNumber">
    <w:name w:val="List Number"/>
    <w:basedOn w:val="Normal"/>
    <w:next w:val="Normal"/>
    <w:rsid w:val="00272C92"/>
    <w:pPr>
      <w:numPr>
        <w:numId w:val="18"/>
      </w:numPr>
      <w:tabs>
        <w:tab w:val="clear" w:pos="1195"/>
      </w:tabs>
      <w:spacing w:after="260"/>
      <w:ind w:left="1555" w:hanging="720"/>
    </w:pPr>
  </w:style>
  <w:style w:type="paragraph" w:customStyle="1" w:styleId="FigurePlaceholder">
    <w:name w:val="Figure Placeholder"/>
    <w:basedOn w:val="Normal"/>
    <w:next w:val="Normal"/>
    <w:qFormat/>
    <w:rsid w:val="00272C92"/>
    <w:pPr>
      <w:spacing w:before="260" w:after="260"/>
      <w:jc w:val="center"/>
    </w:pPr>
  </w:style>
  <w:style w:type="character" w:customStyle="1" w:styleId="TableFootLetter">
    <w:name w:val="Table FootLetter"/>
    <w:basedOn w:val="DefaultParagraphFont"/>
    <w:rsid w:val="00272C92"/>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272C92"/>
  </w:style>
  <w:style w:type="paragraph" w:customStyle="1" w:styleId="TablePlaceholder">
    <w:name w:val="Table Placeholder"/>
    <w:basedOn w:val="FigurePlaceholder"/>
    <w:next w:val="NoParagraphStyle"/>
    <w:qFormat/>
    <w:rsid w:val="00272C92"/>
  </w:style>
  <w:style w:type="character" w:styleId="CommentReference">
    <w:name w:val="annotation reference"/>
    <w:basedOn w:val="DefaultParagraphFont"/>
    <w:uiPriority w:val="99"/>
    <w:semiHidden/>
    <w:rsid w:val="00272C92"/>
    <w:rPr>
      <w:sz w:val="18"/>
      <w:szCs w:val="18"/>
    </w:rPr>
  </w:style>
  <w:style w:type="paragraph" w:styleId="CommentText">
    <w:name w:val="annotation text"/>
    <w:basedOn w:val="Normal"/>
    <w:link w:val="CommentTextChar"/>
    <w:uiPriority w:val="99"/>
    <w:semiHidden/>
    <w:rsid w:val="00272C92"/>
  </w:style>
  <w:style w:type="character" w:customStyle="1" w:styleId="CommentTextChar">
    <w:name w:val="Comment Text Char"/>
    <w:basedOn w:val="DefaultParagraphFont"/>
    <w:link w:val="CommentText"/>
    <w:uiPriority w:val="99"/>
    <w:semiHidden/>
    <w:rsid w:val="00272C92"/>
    <w:rPr>
      <w:rFonts w:ascii="New Caledonia LT Std" w:eastAsia="Calisto MT" w:hAnsi="New Caledonia LT Std" w:cs="Times New Roman"/>
      <w:kern w:val="0"/>
      <w:sz w:val="21"/>
      <w14:ligatures w14:val="none"/>
    </w:rPr>
  </w:style>
  <w:style w:type="paragraph" w:styleId="CommentSubject">
    <w:name w:val="annotation subject"/>
    <w:basedOn w:val="CommentText"/>
    <w:next w:val="CommentText"/>
    <w:link w:val="CommentSubjectChar"/>
    <w:uiPriority w:val="99"/>
    <w:semiHidden/>
    <w:rsid w:val="00272C92"/>
    <w:rPr>
      <w:b/>
      <w:bCs/>
      <w:sz w:val="20"/>
      <w:szCs w:val="20"/>
    </w:rPr>
  </w:style>
  <w:style w:type="character" w:customStyle="1" w:styleId="CommentSubjectChar">
    <w:name w:val="Comment Subject Char"/>
    <w:basedOn w:val="CommentTextChar"/>
    <w:link w:val="CommentSubject"/>
    <w:uiPriority w:val="99"/>
    <w:semiHidden/>
    <w:rsid w:val="00272C92"/>
    <w:rPr>
      <w:rFonts w:ascii="New Caledonia LT Std" w:eastAsia="Calisto MT" w:hAnsi="New Caledonia LT Std" w:cs="Times New Roman"/>
      <w:b/>
      <w:bCs/>
      <w:kern w:val="0"/>
      <w:sz w:val="20"/>
      <w:szCs w:val="20"/>
      <w14:ligatures w14:val="none"/>
    </w:rPr>
  </w:style>
  <w:style w:type="paragraph" w:styleId="BalloonText">
    <w:name w:val="Balloon Text"/>
    <w:basedOn w:val="Normal"/>
    <w:link w:val="BalloonTextChar"/>
    <w:uiPriority w:val="99"/>
    <w:semiHidden/>
    <w:rsid w:val="00272C92"/>
    <w:rPr>
      <w:rFonts w:ascii="Lucida Grande" w:hAnsi="Lucida Grande"/>
      <w:sz w:val="18"/>
      <w:szCs w:val="18"/>
    </w:rPr>
  </w:style>
  <w:style w:type="character" w:customStyle="1" w:styleId="BalloonTextChar">
    <w:name w:val="Balloon Text Char"/>
    <w:basedOn w:val="DefaultParagraphFont"/>
    <w:link w:val="BalloonText"/>
    <w:uiPriority w:val="99"/>
    <w:semiHidden/>
    <w:rsid w:val="00272C92"/>
    <w:rPr>
      <w:rFonts w:ascii="Lucida Grande" w:eastAsia="Calisto MT" w:hAnsi="Lucida Grande" w:cs="Times New Roman"/>
      <w:kern w:val="0"/>
      <w:sz w:val="18"/>
      <w:szCs w:val="18"/>
      <w14:ligatures w14:val="none"/>
    </w:rPr>
  </w:style>
  <w:style w:type="paragraph" w:styleId="DocumentMap">
    <w:name w:val="Document Map"/>
    <w:basedOn w:val="Normal"/>
    <w:link w:val="DocumentMapChar"/>
    <w:uiPriority w:val="99"/>
    <w:semiHidden/>
    <w:rsid w:val="00272C92"/>
    <w:rPr>
      <w:rFonts w:ascii="Lucida Grande" w:hAnsi="Lucida Grande"/>
    </w:rPr>
  </w:style>
  <w:style w:type="character" w:customStyle="1" w:styleId="DocumentMapChar">
    <w:name w:val="Document Map Char"/>
    <w:basedOn w:val="DefaultParagraphFont"/>
    <w:link w:val="DocumentMap"/>
    <w:uiPriority w:val="99"/>
    <w:semiHidden/>
    <w:rsid w:val="00272C92"/>
    <w:rPr>
      <w:rFonts w:ascii="Lucida Grande" w:eastAsia="Calisto MT" w:hAnsi="Lucida Grande" w:cs="Times New Roman"/>
      <w:kern w:val="0"/>
      <w:sz w:val="21"/>
      <w14:ligatures w14:val="none"/>
    </w:rPr>
  </w:style>
  <w:style w:type="paragraph" w:customStyle="1" w:styleId="01ArticleTitlewithAbstract">
    <w:name w:val="01 Article Title with Abstract"/>
    <w:basedOn w:val="NoParagraphStyle"/>
    <w:next w:val="Normal"/>
    <w:uiPriority w:val="99"/>
    <w:semiHidden/>
    <w:rsid w:val="00272C92"/>
    <w:pPr>
      <w:suppressAutoHyphens/>
      <w:spacing w:after="540" w:line="480" w:lineRule="atLeast"/>
      <w:jc w:val="center"/>
    </w:pPr>
    <w:rPr>
      <w:rFonts w:ascii="NewCaledoniaLTStd" w:hAnsi="NewCaledoniaLTStd" w:cs="NewCaledoniaLTStd"/>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1692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rnobalam/Downloads/word_templates/JEL_Word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JEL_WordTemplate.dot</Template>
  <TotalTime>68</TotalTime>
  <Pages>3</Pages>
  <Words>581</Words>
  <Characters>3316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Arnob Alam</dc:creator>
  <cp:keywords/>
  <dc:description/>
  <cp:lastModifiedBy>Arnob Alam</cp:lastModifiedBy>
  <cp:revision>1</cp:revision>
  <dcterms:created xsi:type="dcterms:W3CDTF">2023-08-25T05:27:00Z</dcterms:created>
  <dcterms:modified xsi:type="dcterms:W3CDTF">2023-08-25T10:42:00Z</dcterms:modified>
</cp:coreProperties>
</file>