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AFC56" w14:textId="1005301C" w:rsidR="007443E2" w:rsidRDefault="007443E2" w:rsidP="00075E7F">
      <w:pPr>
        <w:spacing w:after="160" w:line="480" w:lineRule="auto"/>
        <w:ind w:firstLine="0"/>
        <w:jc w:val="center"/>
      </w:pPr>
      <w:r>
        <w:t xml:space="preserve">An Information Theoretic Extension to </w:t>
      </w:r>
      <w:r w:rsidR="00075E7F">
        <w:t>conditional differences-in-differences</w:t>
      </w:r>
    </w:p>
    <w:p w14:paraId="368E1227" w14:textId="00DDB44F" w:rsidR="006E0FA7" w:rsidRDefault="006E0FA7" w:rsidP="00075E7F">
      <w:pPr>
        <w:spacing w:after="160" w:line="480" w:lineRule="auto"/>
        <w:ind w:firstLine="0"/>
        <w:jc w:val="center"/>
      </w:pPr>
      <w:r>
        <w:br w:type="page"/>
      </w:r>
    </w:p>
    <w:p w14:paraId="4B09EDD8" w14:textId="2A41BA1F" w:rsidR="00D50F5D" w:rsidRDefault="006948E1" w:rsidP="00075E7F">
      <w:pPr>
        <w:spacing w:line="480" w:lineRule="auto"/>
        <w:ind w:firstLine="720"/>
      </w:pPr>
      <w:r>
        <w:lastRenderedPageBreak/>
        <w:t xml:space="preserve">The difference-in-differences </w:t>
      </w:r>
      <w:r w:rsidR="00B03627">
        <w:t xml:space="preserve">approach </w:t>
      </w:r>
      <w:r>
        <w:t xml:space="preserve">(sometimes abbreviated DiD or diff-in-diff) to causal identification has a long history, </w:t>
      </w:r>
      <w:r w:rsidR="005823CD">
        <w:t xml:space="preserve">perhaps </w:t>
      </w:r>
      <w:r>
        <w:t xml:space="preserve">tracing back to </w:t>
      </w:r>
      <w:r w:rsidR="003E1C08">
        <w:t>work</w:t>
      </w:r>
      <w:r>
        <w:t xml:space="preserve"> of </w:t>
      </w:r>
      <w:r w:rsidR="0081347F">
        <w:t xml:space="preserve">physician </w:t>
      </w:r>
      <w:r>
        <w:t xml:space="preserve">John Snow in identifying the cause of the 1854 London Cholera outbreak. In economics, precursors to diff-in-diff methods began to appear in the literature in the 1950s (for example, Lester 1946). The modern </w:t>
      </w:r>
      <w:r w:rsidR="00C71D81">
        <w:t>diff-in-diff</w:t>
      </w:r>
      <w:r>
        <w:t xml:space="preserve"> approach was popularized by Ashenfelter (1978), with further </w:t>
      </w:r>
      <w:r w:rsidR="00F93A60">
        <w:t xml:space="preserve">crucial </w:t>
      </w:r>
      <w:r>
        <w:t xml:space="preserve">work by Card (1985), Angrist (1990, 1991), Kruger (1996), and Imbens (1995). </w:t>
      </w:r>
      <w:r w:rsidR="00F93A60">
        <w:t>This development was part of the “credibility revolution” taking place in economics in the 1990s, which saw a variety of methods for identifying causal effects</w:t>
      </w:r>
      <w:r w:rsidR="00DC0509">
        <w:t xml:space="preserve"> (also known as identification strategies)</w:t>
      </w:r>
      <w:r w:rsidR="004E72D7">
        <w:t xml:space="preserve">, </w:t>
      </w:r>
      <w:r w:rsidR="00F93A60">
        <w:t>such as regression discontinuity designs (RDD), instrumental variables (IV), natural experiments and randomized control trials (RCT)</w:t>
      </w:r>
      <w:r w:rsidR="004E72D7">
        <w:t>,</w:t>
      </w:r>
      <w:r w:rsidR="00F93A60">
        <w:t xml:space="preserve"> becoming popular in the field.</w:t>
      </w:r>
    </w:p>
    <w:p w14:paraId="35B7E84E" w14:textId="3B82A487" w:rsidR="00C71D81" w:rsidRDefault="00F93A60" w:rsidP="00075E7F">
      <w:pPr>
        <w:spacing w:line="480" w:lineRule="auto"/>
        <w:ind w:firstLine="720"/>
      </w:pPr>
      <w:r>
        <w:t xml:space="preserve">Each identification strategy relies on some assumptions about the underlying data generation process </w:t>
      </w:r>
      <w:r w:rsidR="00B03627">
        <w:t xml:space="preserve">(DGP) </w:t>
      </w:r>
      <w:r>
        <w:t xml:space="preserve">to make a valid causal inference. The </w:t>
      </w:r>
      <w:r w:rsidR="00C62F92">
        <w:t>identification</w:t>
      </w:r>
      <w:r>
        <w:t xml:space="preserve"> </w:t>
      </w:r>
      <w:r w:rsidR="00B03627">
        <w:t>issue</w:t>
      </w:r>
      <w:r>
        <w:t xml:space="preserve"> arises from the “missing counterfactual” </w:t>
      </w:r>
      <w:r w:rsidR="00B03627">
        <w:t xml:space="preserve">problem: we cannot observe the same units both receive and not receive the treatment (the intervention or policy </w:t>
      </w:r>
      <w:r w:rsidR="0094403C">
        <w:t xml:space="preserve">variable </w:t>
      </w:r>
      <w:r w:rsidR="00B03627">
        <w:t xml:space="preserve">whose effects we are interested in studying). We try to fill in this missing counterfactual with some stand-in. In the case of diff-in-diff, we identify an alternative group </w:t>
      </w:r>
      <w:r w:rsidR="0094403C">
        <w:t>that never receives the treatment</w:t>
      </w:r>
      <w:r w:rsidR="00C71D81">
        <w:t xml:space="preserve"> during our period of study</w:t>
      </w:r>
      <w:r w:rsidR="0094403C">
        <w:t>. We then assume that the groups would have followed “parallel trends” for the outcome variable (that is, the gap between the treated and untreated groups would have remained constant) in the absence of any intervention. Thus</w:t>
      </w:r>
      <w:r w:rsidR="00F20750">
        <w:t>,</w:t>
      </w:r>
      <w:r w:rsidR="0094403C">
        <w:t xml:space="preserve"> any change in the gap between the outcome variables </w:t>
      </w:r>
      <w:r w:rsidR="00AC5C17">
        <w:t xml:space="preserve">after treatment </w:t>
      </w:r>
      <w:r w:rsidR="0094403C">
        <w:t xml:space="preserve">can be attributed to the </w:t>
      </w:r>
      <w:r w:rsidR="00F20750">
        <w:t>intervention.</w:t>
      </w:r>
    </w:p>
    <w:p w14:paraId="1697F722" w14:textId="404D9042" w:rsidR="00F93A60" w:rsidRDefault="00F20750" w:rsidP="00075E7F">
      <w:pPr>
        <w:spacing w:line="480" w:lineRule="auto"/>
        <w:ind w:firstLine="720"/>
      </w:pPr>
      <w:r>
        <w:t>For a concrete example, consider a diff-in-diff study that attempts to identify the effect of a job training program on wages</w:t>
      </w:r>
      <w:r w:rsidR="006975E2">
        <w:t xml:space="preserve"> (for example, as in LaLonde</w:t>
      </w:r>
      <w:r w:rsidR="00794FE9">
        <w:t>,</w:t>
      </w:r>
      <w:r w:rsidR="006975E2">
        <w:t xml:space="preserve"> 1985)</w:t>
      </w:r>
      <w:r>
        <w:t xml:space="preserve">. We observe the wages of those in the training program before and after they receive training. However, we cannot plausibly identify the impact of </w:t>
      </w:r>
      <w:r w:rsidR="00C8730F">
        <w:t xml:space="preserve">the </w:t>
      </w:r>
      <w:r>
        <w:t xml:space="preserve">training </w:t>
      </w:r>
      <w:r w:rsidR="00C8730F">
        <w:t xml:space="preserve">program </w:t>
      </w:r>
      <w:r>
        <w:t xml:space="preserve">on </w:t>
      </w:r>
      <w:r w:rsidR="00A42278">
        <w:t>participants’</w:t>
      </w:r>
      <w:r>
        <w:t xml:space="preserve"> wages </w:t>
      </w:r>
      <w:r w:rsidR="00C8730F">
        <w:t xml:space="preserve">based on </w:t>
      </w:r>
      <w:r>
        <w:t xml:space="preserve">this </w:t>
      </w:r>
      <w:r w:rsidR="004C1AA4">
        <w:t>information</w:t>
      </w:r>
      <w:r>
        <w:t xml:space="preserve"> alone, since we do not observe what </w:t>
      </w:r>
      <w:r w:rsidR="006323E5">
        <w:t>their</w:t>
      </w:r>
      <w:r>
        <w:t xml:space="preserve"> wages would have been had they not received training. After all, other </w:t>
      </w:r>
      <w:r w:rsidR="00807E11">
        <w:t xml:space="preserve">variables (such as the business cycle) might have caused changes in wages, and if we </w:t>
      </w:r>
      <w:r w:rsidR="00C71D81">
        <w:t>simply compared</w:t>
      </w:r>
      <w:r w:rsidR="00807E11">
        <w:t xml:space="preserve"> the before</w:t>
      </w:r>
      <w:r w:rsidR="00C71D81">
        <w:t xml:space="preserve"> </w:t>
      </w:r>
      <w:r w:rsidR="00807E11">
        <w:t>and</w:t>
      </w:r>
      <w:r w:rsidR="00C71D81">
        <w:t xml:space="preserve"> </w:t>
      </w:r>
      <w:r w:rsidR="00807E11">
        <w:t xml:space="preserve">after </w:t>
      </w:r>
      <w:r w:rsidR="00C71D81">
        <w:t xml:space="preserve">training wages </w:t>
      </w:r>
      <w:r w:rsidR="008C1075">
        <w:t>of this group</w:t>
      </w:r>
      <w:r w:rsidR="00807E11">
        <w:t xml:space="preserve">, we would be mistakenly attributing the change in wages to job training, when another variable could have been the cause. </w:t>
      </w:r>
      <w:r>
        <w:t>We try to get around this missing counterfactual problem by identifying a group that never receives job training</w:t>
      </w:r>
      <w:r w:rsidR="00807E11">
        <w:t xml:space="preserve"> during the period of study</w:t>
      </w:r>
      <w:r>
        <w:t xml:space="preserve">. Let’s say that before the job training program started, those not in the </w:t>
      </w:r>
      <w:r w:rsidR="00C1213B">
        <w:t xml:space="preserve">training </w:t>
      </w:r>
      <w:r>
        <w:t>program on average ma</w:t>
      </w:r>
      <w:r w:rsidR="00807E11">
        <w:t>d</w:t>
      </w:r>
      <w:r>
        <w:t>e $800 more a year</w:t>
      </w:r>
      <w:r w:rsidR="00807E11">
        <w:t xml:space="preserve"> than those in the training program (job training is often targeted to those who are unemployed</w:t>
      </w:r>
      <w:r w:rsidR="007554F3">
        <w:t xml:space="preserve">, </w:t>
      </w:r>
      <w:r w:rsidR="00807E11">
        <w:t>underemployed</w:t>
      </w:r>
      <w:r w:rsidR="007554F3">
        <w:t xml:space="preserve"> or low income</w:t>
      </w:r>
      <w:r w:rsidR="00807E11">
        <w:t xml:space="preserve">). We now make the crucial assumption that this gap would have remained constant if not for the job training program. That is, although wages for both groups might have increased </w:t>
      </w:r>
      <w:proofErr w:type="gramStart"/>
      <w:r w:rsidR="00807E11">
        <w:t>or</w:t>
      </w:r>
      <w:proofErr w:type="gramEnd"/>
      <w:r w:rsidR="00807E11">
        <w:t xml:space="preserve"> declined </w:t>
      </w:r>
      <w:r w:rsidR="00C1213B">
        <w:t xml:space="preserve">during the period of study </w:t>
      </w:r>
      <w:r w:rsidR="00807E11">
        <w:t xml:space="preserve">(e.g. due to the business cycle), the average gap in wages between the groups would have remained constant without the job training program. If we can plausibly make this claim, then any changes in the gap after training can be attributed to the job training program. For example, if after the program, the gap in wages between the two groups narrowed to $300, then the program can be attributed to an average $500 </w:t>
      </w:r>
      <w:r w:rsidR="00A7704A">
        <w:t>increase</w:t>
      </w:r>
      <w:r w:rsidR="00807E11">
        <w:t xml:space="preserve"> on the earnings of those who received it.</w:t>
      </w:r>
    </w:p>
    <w:p w14:paraId="4B4711EE" w14:textId="2C08ECA3" w:rsidR="00CD1D7F" w:rsidRDefault="00A7704A" w:rsidP="00075E7F">
      <w:pPr>
        <w:spacing w:line="480" w:lineRule="auto"/>
        <w:ind w:firstLine="720"/>
      </w:pPr>
      <w:r>
        <w:t xml:space="preserve">The </w:t>
      </w:r>
      <w:r w:rsidR="00C71D81">
        <w:t>diff-in-diff</w:t>
      </w:r>
      <w:r>
        <w:t xml:space="preserve"> methodology requires the crucial and restrictive parallel trends assumption</w:t>
      </w:r>
      <w:r w:rsidR="002E0E1B">
        <w:t xml:space="preserve"> (i.e. th</w:t>
      </w:r>
      <w:r w:rsidR="00DF2105">
        <w:t>e</w:t>
      </w:r>
      <w:r w:rsidR="002E0E1B">
        <w:t xml:space="preserve"> gap in wages between </w:t>
      </w:r>
      <w:r w:rsidR="00FE1AFE">
        <w:t>program participants and non-participants would have remained constant in the absence of the training program)</w:t>
      </w:r>
      <w:r>
        <w:t>. This assumption is sometimes implausible. In the job</w:t>
      </w:r>
      <w:r w:rsidR="002A7AF3">
        <w:t xml:space="preserve"> </w:t>
      </w:r>
      <w:r>
        <w:t xml:space="preserve">training example, the comparison group might differ in terms of age, education, gender and racial </w:t>
      </w:r>
      <w:r w:rsidR="002A7AF3">
        <w:t>composition from those receiving training</w:t>
      </w:r>
      <w:r>
        <w:t xml:space="preserve">. </w:t>
      </w:r>
      <w:r w:rsidR="00CD1D7F">
        <w:t>Let us a</w:t>
      </w:r>
      <w:r w:rsidR="002A7AF3">
        <w:t>ssume that those in the job training program are on average, younger than those in the comparison group. If younger workers experienced higher wage growth throughout the economy during our period of study, th</w:t>
      </w:r>
      <w:r w:rsidR="008C1E99">
        <w:t>e</w:t>
      </w:r>
      <w:r w:rsidR="002A7AF3">
        <w:t>n we could be falsely attributing some of the wage gains to the job training program when it is really driven by the difference in ages between the two groups. To make a valid causal inference in this situation, we might adopt the less restrictive “conditional parallel trends” assumption. That is</w:t>
      </w:r>
      <w:r w:rsidR="00894202">
        <w:t>,</w:t>
      </w:r>
      <w:r w:rsidR="002379FA">
        <w:t xml:space="preserve"> we </w:t>
      </w:r>
      <w:r w:rsidR="005032B7">
        <w:t>could</w:t>
      </w:r>
      <w:r w:rsidR="002379FA">
        <w:t xml:space="preserve"> assume that the groups would have followed parallel trends conditional on some values of the covariates.</w:t>
      </w:r>
      <w:r w:rsidR="00894202">
        <w:t xml:space="preserve"> </w:t>
      </w:r>
    </w:p>
    <w:p w14:paraId="7E1F6783" w14:textId="20C5EDBF" w:rsidR="00A7704A" w:rsidRDefault="00894202" w:rsidP="00075E7F">
      <w:pPr>
        <w:spacing w:line="480" w:lineRule="auto"/>
        <w:ind w:firstLine="720"/>
      </w:pPr>
      <w:r>
        <w:t>The literature suggests several ways to estimate this type of conditional diff-in-diff</w:t>
      </w:r>
      <w:r w:rsidR="00CD1D7F">
        <w:t xml:space="preserve"> model</w:t>
      </w:r>
      <w:r>
        <w:t>. Firstly, if we have a good model of how the outcome variables would have evolved conditional on the covariates</w:t>
      </w:r>
      <w:r w:rsidR="004E4C54">
        <w:t xml:space="preserve"> (for example, if we know how </w:t>
      </w:r>
      <w:r w:rsidR="004C71F6">
        <w:t xml:space="preserve">age </w:t>
      </w:r>
      <w:r w:rsidR="00D94AAF">
        <w:t>a</w:t>
      </w:r>
      <w:r w:rsidR="004E4C54">
        <w:t>ffect</w:t>
      </w:r>
      <w:r w:rsidR="004C71F6">
        <w:t>s</w:t>
      </w:r>
      <w:r w:rsidR="004E4C54">
        <w:t xml:space="preserve"> </w:t>
      </w:r>
      <w:r w:rsidR="004C71F6">
        <w:t>wages)</w:t>
      </w:r>
      <w:r>
        <w:t xml:space="preserve">, we can incorporate this into the two-way fixed-effects </w:t>
      </w:r>
      <w:r w:rsidR="00591230">
        <w:t xml:space="preserve">(TWFE) </w:t>
      </w:r>
      <w:r>
        <w:t xml:space="preserve">regression </w:t>
      </w:r>
      <w:r w:rsidR="00591230">
        <w:t xml:space="preserve">commonly </w:t>
      </w:r>
      <w:r>
        <w:t xml:space="preserve">used to estimate the </w:t>
      </w:r>
      <w:r w:rsidR="00591230">
        <w:t xml:space="preserve">classical </w:t>
      </w:r>
      <w:r w:rsidR="00C71D81">
        <w:t>diff-in-diff</w:t>
      </w:r>
      <w:r>
        <w:t xml:space="preserve"> model. Other methods include matching, </w:t>
      </w:r>
      <w:r>
        <w:lastRenderedPageBreak/>
        <w:t xml:space="preserve">inverse-probability weighting </w:t>
      </w:r>
      <w:r w:rsidR="0041068E">
        <w:t xml:space="preserve">(IPW) </w:t>
      </w:r>
      <w:r>
        <w:t xml:space="preserve">or </w:t>
      </w:r>
      <w:r w:rsidR="00034459">
        <w:t>doubly robust</w:t>
      </w:r>
      <w:r>
        <w:t xml:space="preserve"> </w:t>
      </w:r>
      <w:r w:rsidR="00C71D81">
        <w:t xml:space="preserve">diff-in-diff </w:t>
      </w:r>
      <w:r w:rsidR="0041068E">
        <w:t>(which incorporates both a model for treatment assignment and model for outcome evolution conditional on covariates)</w:t>
      </w:r>
      <w:r>
        <w:t xml:space="preserve">. </w:t>
      </w:r>
      <w:r w:rsidR="0041068E">
        <w:t xml:space="preserve">This paper </w:t>
      </w:r>
      <w:r w:rsidR="00034459">
        <w:t xml:space="preserve">applies and expands on a weighting scheme suggested by Abadie (2005). Specifically, it uses the generalized maximum entropy logistic regression </w:t>
      </w:r>
      <w:r w:rsidR="00041A9E">
        <w:t xml:space="preserve">(GME Logit) </w:t>
      </w:r>
      <w:r w:rsidR="00034459">
        <w:t xml:space="preserve">to obtain the probability of selection into treatment and then uses the weighting scheme developed by Abadie to obtain the treatment effect. I show </w:t>
      </w:r>
      <w:r w:rsidR="00654998">
        <w:t xml:space="preserve">that the info-metrics based estimation of the selection equation </w:t>
      </w:r>
      <w:r w:rsidR="00642573">
        <w:t>out</w:t>
      </w:r>
      <w:r w:rsidR="00034459">
        <w:t xml:space="preserve">performs against a classical logistic regression </w:t>
      </w:r>
      <w:r w:rsidR="00522884">
        <w:t xml:space="preserve">(Logit) </w:t>
      </w:r>
      <w:r w:rsidR="00034459">
        <w:t>for estimating selection probabilities</w:t>
      </w:r>
      <w:r w:rsidR="00642573">
        <w:t xml:space="preserve"> in certain situations</w:t>
      </w:r>
      <w:r w:rsidR="00034459">
        <w:t xml:space="preserve">. Researchers are often interested in studying the treatment effect for a subpopulation (that is, for specific values of a covariate). Abadie </w:t>
      </w:r>
      <w:r w:rsidR="00CD1D7F">
        <w:t xml:space="preserve">also </w:t>
      </w:r>
      <w:r w:rsidR="00034459">
        <w:t>develops a way to estimate this</w:t>
      </w:r>
      <w:r w:rsidR="00CD1D7F">
        <w:t xml:space="preserve"> treatment effects for subpopulations</w:t>
      </w:r>
      <w:r w:rsidR="00034459">
        <w:t xml:space="preserve">, </w:t>
      </w:r>
      <w:r w:rsidR="00CD1D7F">
        <w:t>using the weights discussed above. T</w:t>
      </w:r>
      <w:r w:rsidR="00034459">
        <w:t>his paper expands on Abadie’s method</w:t>
      </w:r>
      <w:r w:rsidR="008C1E99">
        <w:t xml:space="preserve"> in this area</w:t>
      </w:r>
      <w:r w:rsidR="00113A25">
        <w:t xml:space="preserve"> as well</w:t>
      </w:r>
      <w:r w:rsidR="00034459">
        <w:t xml:space="preserve">, replacing the least-squares-based estimator </w:t>
      </w:r>
      <w:r w:rsidR="00CD1D7F">
        <w:t xml:space="preserve">he suggests </w:t>
      </w:r>
      <w:r w:rsidR="00034459">
        <w:t xml:space="preserve">with a generalized maximum </w:t>
      </w:r>
      <w:r w:rsidR="003B53D7">
        <w:t>entropy-based</w:t>
      </w:r>
      <w:r w:rsidR="00034459">
        <w:t xml:space="preserve"> estimator. I also </w:t>
      </w:r>
      <w:r w:rsidR="00F67B98">
        <w:t>s</w:t>
      </w:r>
      <w:r w:rsidR="00034459">
        <w:t xml:space="preserve">how </w:t>
      </w:r>
      <w:r w:rsidR="00F67B98">
        <w:t xml:space="preserve">that </w:t>
      </w:r>
      <w:r w:rsidR="003B53D7">
        <w:t xml:space="preserve">this </w:t>
      </w:r>
      <w:r w:rsidR="00F67B98">
        <w:t>method out</w:t>
      </w:r>
      <w:r w:rsidR="003B53D7">
        <w:t xml:space="preserve">performs against the </w:t>
      </w:r>
      <w:r w:rsidR="00113A25">
        <w:t>least-squares-based</w:t>
      </w:r>
      <w:r w:rsidR="008C1E99">
        <w:t xml:space="preserve"> estimator</w:t>
      </w:r>
      <w:r w:rsidR="00F67B98">
        <w:t xml:space="preserve"> under certain circumstances</w:t>
      </w:r>
      <w:r w:rsidR="008C1E99">
        <w:t>.</w:t>
      </w:r>
    </w:p>
    <w:p w14:paraId="24591537" w14:textId="44A851C2" w:rsidR="008C1E99" w:rsidRDefault="008C1E99" w:rsidP="00075E7F">
      <w:pPr>
        <w:spacing w:line="480" w:lineRule="auto"/>
        <w:ind w:firstLine="720"/>
      </w:pPr>
      <w:r>
        <w:t xml:space="preserve">The paper proceeds as follows: section II reviews the literature on </w:t>
      </w:r>
      <w:r w:rsidR="00C71D81">
        <w:t>diff-in-</w:t>
      </w:r>
      <w:r w:rsidR="003D1341">
        <w:t>diff, conditional</w:t>
      </w:r>
      <w:r>
        <w:t xml:space="preserve"> </w:t>
      </w:r>
      <w:r w:rsidR="00C71D81">
        <w:t>diff-in-diff</w:t>
      </w:r>
      <w:r>
        <w:t xml:space="preserve"> and generalized maximum entropy methods; section III develops the theory; section IV compares the GME-based and classical methods in a series of simulations; section V applies the method to a well-known dataset and section VI concludes.</w:t>
      </w:r>
    </w:p>
    <w:p w14:paraId="7C805B86" w14:textId="019C71D6" w:rsidR="00C71D81" w:rsidRDefault="00C71D81" w:rsidP="00075E7F">
      <w:pPr>
        <w:pStyle w:val="Heading1"/>
        <w:spacing w:line="480" w:lineRule="auto"/>
      </w:pPr>
      <w:r>
        <w:t>Review of Literature</w:t>
      </w:r>
    </w:p>
    <w:p w14:paraId="2F7FBB0C" w14:textId="3FB9E3B1" w:rsidR="00C71D81" w:rsidRDefault="003E1C08" w:rsidP="00075E7F">
      <w:pPr>
        <w:spacing w:line="480" w:lineRule="auto"/>
        <w:ind w:firstLine="720"/>
      </w:pPr>
      <w:r>
        <w:t>TODO</w:t>
      </w:r>
    </w:p>
    <w:p w14:paraId="428583C2" w14:textId="68607607" w:rsidR="00C71D81" w:rsidRDefault="00C71D81" w:rsidP="00075E7F">
      <w:pPr>
        <w:pStyle w:val="Heading1"/>
        <w:spacing w:line="480" w:lineRule="auto"/>
      </w:pPr>
      <w:r>
        <w:t>Theory</w:t>
      </w:r>
    </w:p>
    <w:p w14:paraId="397937F9" w14:textId="53974637" w:rsidR="00C71D81" w:rsidRDefault="00CD75E3" w:rsidP="00075E7F">
      <w:pPr>
        <w:spacing w:line="480" w:lineRule="auto"/>
        <w:ind w:firstLine="720"/>
        <w:rPr>
          <w:rFonts w:eastAsiaTheme="minorEastAsia"/>
        </w:rPr>
      </w:pPr>
      <w:r>
        <w:t xml:space="preserve">I begin </w:t>
      </w:r>
      <w:r w:rsidR="00D74559">
        <w:t>by defining</w:t>
      </w:r>
      <w:r w:rsidR="00887080">
        <w:t xml:space="preserve"> t</w:t>
      </w:r>
      <w:r w:rsidR="00F5674F">
        <w:t>he difference-in-</w:t>
      </w:r>
      <w:r w:rsidR="00005518">
        <w:t>differences</w:t>
      </w:r>
      <w:r w:rsidR="00F5674F">
        <w:t xml:space="preserve"> methodology in the canonical setting. T</w:t>
      </w:r>
      <w:r w:rsidR="00D74559">
        <w:t xml:space="preserve">he </w:t>
      </w:r>
      <w:r w:rsidR="00F5674F">
        <w:t xml:space="preserve">researcher selects a </w:t>
      </w:r>
      <w:r w:rsidR="00D74559">
        <w:t>causal quantity of interest (target parameter)</w:t>
      </w:r>
      <w:r w:rsidR="003A493E">
        <w:t xml:space="preserve"> for study</w:t>
      </w:r>
      <w:r w:rsidR="00D74559">
        <w:t xml:space="preserve">. Adopting the potential </w:t>
      </w:r>
      <w:r w:rsidR="00DE66DA">
        <w:t xml:space="preserve">outcomes framework of Rubin (1976), let </w:t>
      </w: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(0,0)</m:t>
        </m:r>
      </m:oMath>
      <w:r w:rsidR="00DE66DA">
        <w:rPr>
          <w:rFonts w:eastAsiaTheme="minorEastAsia"/>
        </w:rPr>
        <w:t xml:space="preserve"> denote unit</w:t>
      </w:r>
      <w:r w:rsidR="00E35CFA">
        <w:rPr>
          <w:rFonts w:eastAsiaTheme="minorEastAsia"/>
        </w:rPr>
        <w:t xml:space="preserve"> </w:t>
      </w:r>
      <m:oMath>
        <m:r>
          <w:rPr>
            <w:rFonts w:ascii="Cambria Math" w:eastAsiaTheme="minorEastAsia" w:hAnsi="Cambria Math"/>
          </w:rPr>
          <m:t>i's</m:t>
        </m:r>
      </m:oMath>
      <w:r w:rsidR="00E35CFA">
        <w:rPr>
          <w:rFonts w:eastAsiaTheme="minorEastAsia"/>
        </w:rPr>
        <w:t xml:space="preserve"> potential outcome </w:t>
      </w:r>
      <w:r w:rsidR="00E159AB">
        <w:rPr>
          <w:rFonts w:eastAsiaTheme="minorEastAsia"/>
        </w:rPr>
        <w:t xml:space="preserve">at time </w:t>
      </w:r>
      <m:oMath>
        <m:r>
          <w:rPr>
            <w:rFonts w:ascii="Cambria Math" w:eastAsiaTheme="minorEastAsia" w:hAnsi="Cambria Math"/>
          </w:rPr>
          <m:t>t</m:t>
        </m:r>
      </m:oMath>
      <w:r w:rsidR="00E159AB">
        <w:rPr>
          <w:rFonts w:eastAsiaTheme="minorEastAsia"/>
        </w:rPr>
        <w:t xml:space="preserve"> </w:t>
      </w:r>
      <w:r w:rsidR="00E35CFA">
        <w:rPr>
          <w:rFonts w:eastAsiaTheme="minorEastAsia"/>
        </w:rPr>
        <w:t>if it remains untreated in both period</w:t>
      </w:r>
      <w:r w:rsidR="00E159AB">
        <w:rPr>
          <w:rFonts w:eastAsiaTheme="minorEastAsia"/>
        </w:rPr>
        <w:t>s</w:t>
      </w:r>
      <w:r w:rsidR="00E35CFA">
        <w:rPr>
          <w:rFonts w:eastAsiaTheme="minorEastAsia"/>
        </w:rPr>
        <w:t xml:space="preserve">, </w:t>
      </w:r>
      <w:r w:rsidR="00700179">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(0,1)</m:t>
        </m:r>
      </m:oMath>
      <w:r w:rsidR="003762FC">
        <w:rPr>
          <w:rFonts w:eastAsiaTheme="minorEastAsia"/>
        </w:rPr>
        <w:t xml:space="preserve"> if it is untreated in period </w:t>
      </w:r>
      <m:oMath>
        <m:r>
          <w:rPr>
            <w:rFonts w:ascii="Cambria Math" w:eastAsiaTheme="minorEastAsia" w:hAnsi="Cambria Math"/>
          </w:rPr>
          <m:t>t=0</m:t>
        </m:r>
      </m:oMath>
      <w:r w:rsidR="00F10A72">
        <w:rPr>
          <w:rFonts w:eastAsiaTheme="minorEastAsia"/>
        </w:rPr>
        <w:t xml:space="preserve"> and treated in period </w:t>
      </w:r>
      <m:oMath>
        <m:r>
          <w:rPr>
            <w:rFonts w:ascii="Cambria Math" w:eastAsiaTheme="minorEastAsia" w:hAnsi="Cambria Math"/>
          </w:rPr>
          <m:t>t=1</m:t>
        </m:r>
      </m:oMath>
      <w:r w:rsidR="00ED2771">
        <w:rPr>
          <w:rFonts w:eastAsiaTheme="minorEastAsia"/>
        </w:rPr>
        <w:t xml:space="preserve">. Since all units </w:t>
      </w:r>
      <w:r w:rsidR="00AE486E">
        <w:rPr>
          <w:rFonts w:eastAsiaTheme="minorEastAsia"/>
        </w:rPr>
        <w:t xml:space="preserve">are untreated in period </w:t>
      </w:r>
      <m:oMath>
        <m:r>
          <w:rPr>
            <w:rFonts w:ascii="Cambria Math" w:eastAsiaTheme="minorEastAsia" w:hAnsi="Cambria Math"/>
          </w:rPr>
          <m:t>t=0</m:t>
        </m:r>
      </m:oMath>
      <w:r w:rsidR="00AE486E">
        <w:rPr>
          <w:rFonts w:eastAsiaTheme="minorEastAsia"/>
        </w:rPr>
        <w:t xml:space="preserve">, we can simplify notation to: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(0,0)</m:t>
        </m:r>
      </m:oMath>
      <w:r w:rsidR="00CC1A1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0,1</m:t>
            </m:r>
          </m:e>
        </m:d>
      </m:oMath>
      <w:r w:rsidR="00E10226">
        <w:rPr>
          <w:rFonts w:eastAsiaTheme="minorEastAsia"/>
        </w:rPr>
        <w:t xml:space="preserve">. Ideally, we would like to </w:t>
      </w:r>
      <w:r w:rsidR="006D579F">
        <w:rPr>
          <w:rFonts w:eastAsiaTheme="minorEastAsia"/>
        </w:rPr>
        <w:t xml:space="preserve">observe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(0)</m:t>
        </m:r>
      </m:oMath>
      <w:r w:rsidR="00F10A7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(1)</m:t>
        </m:r>
      </m:oMath>
      <w:r w:rsidR="00F10A72">
        <w:rPr>
          <w:rFonts w:eastAsiaTheme="minorEastAsia"/>
        </w:rPr>
        <w:t xml:space="preserve"> </w:t>
      </w:r>
      <w:r w:rsidR="0099479B">
        <w:rPr>
          <w:rFonts w:eastAsiaTheme="minorEastAsia"/>
        </w:rPr>
        <w:t xml:space="preserve">for the same units. Then the treatment effect for unit </w:t>
      </w:r>
      <m:oMath>
        <m:r>
          <w:rPr>
            <w:rFonts w:ascii="Cambria Math" w:eastAsiaTheme="minorEastAsia" w:hAnsi="Cambria Math"/>
          </w:rPr>
          <m:t>i</m:t>
        </m:r>
      </m:oMath>
      <w:r w:rsidR="0099479B">
        <w:rPr>
          <w:rFonts w:eastAsiaTheme="minorEastAsia"/>
        </w:rPr>
        <w:t xml:space="preserve"> would be</w:t>
      </w:r>
      <w:r w:rsidR="00C56DA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(0)</m:t>
        </m:r>
      </m:oMath>
      <w:r w:rsidR="00C56DAE">
        <w:rPr>
          <w:rFonts w:eastAsiaTheme="minorEastAsia"/>
        </w:rPr>
        <w:t>.</w:t>
      </w:r>
      <w:r w:rsidR="00BA0BDD">
        <w:rPr>
          <w:rFonts w:eastAsiaTheme="minorEastAsia"/>
        </w:rPr>
        <w:t xml:space="preserve"> In practice, we can only observe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(1)</m:t>
        </m:r>
      </m:oMath>
      <w:r w:rsidR="00BA0BDD">
        <w:rPr>
          <w:rFonts w:eastAsiaTheme="minorEastAsia"/>
        </w:rPr>
        <w:t xml:space="preserve"> for </w:t>
      </w:r>
      <w:r w:rsidR="00FC4156">
        <w:rPr>
          <w:rFonts w:eastAsiaTheme="minorEastAsia"/>
        </w:rPr>
        <w:t xml:space="preserve">the </w:t>
      </w:r>
      <w:r w:rsidR="00BA0BDD">
        <w:rPr>
          <w:rFonts w:eastAsiaTheme="minorEastAsia"/>
        </w:rPr>
        <w:t xml:space="preserve">treated units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j,t</m:t>
            </m:r>
          </m:sub>
        </m:sSub>
        <m:r>
          <w:rPr>
            <w:rFonts w:ascii="Cambria Math" w:eastAsiaTheme="minorEastAsia" w:hAnsi="Cambria Math"/>
          </w:rPr>
          <m:t>(0)</m:t>
        </m:r>
      </m:oMath>
      <w:r w:rsidR="00BA0BDD">
        <w:rPr>
          <w:rFonts w:eastAsiaTheme="minorEastAsia"/>
        </w:rPr>
        <w:t xml:space="preserve"> for </w:t>
      </w:r>
      <w:r w:rsidR="00FC4156">
        <w:rPr>
          <w:rFonts w:eastAsiaTheme="minorEastAsia"/>
        </w:rPr>
        <w:t xml:space="preserve">the </w:t>
      </w:r>
      <w:r w:rsidR="00BA0BDD">
        <w:rPr>
          <w:rFonts w:eastAsiaTheme="minorEastAsia"/>
        </w:rPr>
        <w:t>untreated units.</w:t>
      </w:r>
      <w:r w:rsidR="00B71DF9">
        <w:rPr>
          <w:rFonts w:eastAsiaTheme="minorEastAsia"/>
        </w:rPr>
        <w:t xml:space="preserve"> </w:t>
      </w:r>
      <w:r w:rsidR="003358EA">
        <w:rPr>
          <w:rFonts w:eastAsiaTheme="minorEastAsia"/>
        </w:rPr>
        <w:t>I</w:t>
      </w:r>
      <w:r w:rsidR="00B71DF9">
        <w:rPr>
          <w:rFonts w:eastAsiaTheme="minorEastAsia"/>
        </w:rPr>
        <w:t xml:space="preserve">f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sidR="00B71DF9">
        <w:rPr>
          <w:rFonts w:eastAsiaTheme="minorEastAsia"/>
        </w:rPr>
        <w:t xml:space="preserve"> is </w:t>
      </w:r>
      <w:r w:rsidR="0023009D">
        <w:rPr>
          <w:rFonts w:eastAsiaTheme="minorEastAsia"/>
        </w:rPr>
        <w:t xml:space="preserve">an indicator variable </w:t>
      </w:r>
      <w:r w:rsidR="00471F0D">
        <w:rPr>
          <w:rFonts w:eastAsiaTheme="minorEastAsia"/>
        </w:rPr>
        <w:t>that</w:t>
      </w:r>
      <w:r w:rsidR="00790971">
        <w:rPr>
          <w:rFonts w:eastAsiaTheme="minorEastAsia"/>
        </w:rPr>
        <w:t xml:space="preserve"> takes a value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oMath>
      <w:r w:rsidR="00790971">
        <w:rPr>
          <w:rFonts w:eastAsiaTheme="minorEastAsia"/>
        </w:rPr>
        <w:t xml:space="preserve"> if unit </w:t>
      </w:r>
      <m:oMath>
        <m:r>
          <w:rPr>
            <w:rFonts w:ascii="Cambria Math" w:eastAsiaTheme="minorEastAsia" w:hAnsi="Cambria Math"/>
          </w:rPr>
          <m:t>i</m:t>
        </m:r>
      </m:oMath>
      <w:r w:rsidR="00790971">
        <w:rPr>
          <w:rFonts w:eastAsiaTheme="minorEastAsia"/>
        </w:rPr>
        <w:t xml:space="preserve"> is treated in period </w:t>
      </w:r>
      <m:oMath>
        <m:r>
          <w:rPr>
            <w:rFonts w:ascii="Cambria Math" w:eastAsiaTheme="minorEastAsia" w:hAnsi="Cambria Math"/>
          </w:rPr>
          <m:t>t=1</m:t>
        </m:r>
      </m:oMath>
      <w:r w:rsidR="0079097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=0</m:t>
        </m:r>
      </m:oMath>
      <w:r w:rsidR="00790971">
        <w:rPr>
          <w:rFonts w:eastAsiaTheme="minorEastAsia"/>
        </w:rPr>
        <w:t xml:space="preserve"> otherwise, then</w:t>
      </w:r>
      <w:r w:rsidR="0046322F">
        <w:rPr>
          <w:rFonts w:eastAsiaTheme="minorEastAsia"/>
        </w:rPr>
        <w:t xml:space="preserve"> the observed values are</w:t>
      </w:r>
      <w:r w:rsidR="00790971">
        <w:rPr>
          <w:rFonts w:eastAsiaTheme="minorEastAsia"/>
        </w:rPr>
        <w:t>:</w:t>
      </w:r>
    </w:p>
    <w:p w14:paraId="1C6FFBC5" w14:textId="1CBECF6C" w:rsidR="00790971" w:rsidRPr="00F1443A" w:rsidRDefault="00E7570E" w:rsidP="00075E7F">
      <w:pPr>
        <w:spacing w:line="480" w:lineRule="auto"/>
        <w:ind w:firstLine="720"/>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r>
                <w:rPr>
                  <w:rFonts w:ascii="Cambria Math" w:hAnsi="Cambria Math"/>
                </w:rPr>
                <m:t>,</m:t>
              </m:r>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Y</m:t>
              </m:r>
            </m:e>
            <m:sub>
              <m:r>
                <w:rPr>
                  <w:rFonts w:ascii="Cambria Math" w:hAnsi="Cambria Math"/>
                </w:rPr>
                <m:t>i</m:t>
              </m:r>
              <m:r>
                <w:rPr>
                  <w:rFonts w:ascii="Cambria Math" w:hAnsi="Cambria Math"/>
                </w:rPr>
                <m:t>,</m:t>
              </m:r>
              <m:r>
                <w:rPr>
                  <w:rFonts w:ascii="Cambria Math" w:hAnsi="Cambria Math"/>
                </w:rPr>
                <m:t>t</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r>
                <w:rPr>
                  <w:rFonts w:ascii="Cambria Math" w:hAnsi="Cambria Math"/>
                </w:rPr>
                <m:t>,</m:t>
              </m:r>
              <m:r>
                <w:rPr>
                  <w:rFonts w:ascii="Cambria Math" w:hAnsi="Cambria Math"/>
                </w:rPr>
                <m:t>t</m:t>
              </m:r>
            </m:sub>
          </m:sSub>
          <m:r>
            <w:rPr>
              <w:rFonts w:ascii="Cambria Math" w:hAnsi="Cambria Math"/>
            </w:rPr>
            <m:t>(1)</m:t>
          </m:r>
        </m:oMath>
      </m:oMathPara>
    </w:p>
    <w:p w14:paraId="066009A7" w14:textId="06DB48BA" w:rsidR="00F1443A" w:rsidRDefault="00CD1A75" w:rsidP="00075E7F">
      <w:pPr>
        <w:spacing w:line="480" w:lineRule="auto"/>
        <w:ind w:firstLine="720"/>
        <w:rPr>
          <w:rFonts w:eastAsiaTheme="minorEastAsia"/>
        </w:rPr>
      </w:pPr>
      <w:r>
        <w:rPr>
          <w:rFonts w:eastAsiaTheme="minorEastAsia"/>
        </w:rPr>
        <w:t xml:space="preserve">The potential outcomes framework defines a treatment effect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(0)</m:t>
        </m:r>
      </m:oMath>
      <w:r w:rsidR="00C36D3D">
        <w:rPr>
          <w:rFonts w:eastAsiaTheme="minorEastAsia"/>
        </w:rPr>
        <w:t xml:space="preserve"> </w:t>
      </w:r>
      <w:r>
        <w:rPr>
          <w:rFonts w:eastAsiaTheme="minorEastAsia"/>
        </w:rPr>
        <w:t>for every unit</w:t>
      </w:r>
      <w:r w:rsidR="00952E04">
        <w:rPr>
          <w:rFonts w:eastAsiaTheme="minorEastAsia"/>
        </w:rPr>
        <w:t xml:space="preserve"> </w:t>
      </w:r>
      <m:oMath>
        <m:r>
          <w:rPr>
            <w:rFonts w:ascii="Cambria Math" w:eastAsiaTheme="minorEastAsia" w:hAnsi="Cambria Math"/>
          </w:rPr>
          <m:t>i</m:t>
        </m:r>
      </m:oMath>
      <w:r>
        <w:rPr>
          <w:rFonts w:eastAsiaTheme="minorEastAsia"/>
        </w:rPr>
        <w:t xml:space="preserve">. In practice, </w:t>
      </w:r>
      <w:r w:rsidR="00C65385">
        <w:rPr>
          <w:rFonts w:eastAsiaTheme="minorEastAsia"/>
        </w:rPr>
        <w:t>researchers are often interested in finding the average treatment effect for the group that received treatment:</w:t>
      </w:r>
    </w:p>
    <w:p w14:paraId="67FE045D" w14:textId="14A3E2DD" w:rsidR="00C65385" w:rsidRPr="00C65385" w:rsidRDefault="00C65385" w:rsidP="00075E7F">
      <w:pPr>
        <w:spacing w:line="480" w:lineRule="auto"/>
        <w:ind w:firstLine="720"/>
        <w:rPr>
          <w:rFonts w:eastAsiaTheme="minorEastAsia"/>
        </w:rPr>
      </w:pPr>
      <m:oMathPara>
        <m:oMath>
          <m:r>
            <w:rPr>
              <w:rFonts w:ascii="Cambria Math" w:hAnsi="Cambria Math"/>
            </w:rPr>
            <m:t>ATT=</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0</m:t>
                  </m:r>
                </m:e>
              </m:d>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1</m:t>
                  </m:r>
                </m:e>
              </m:d>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d>
          <m:r>
            <m:rPr>
              <m:scr m:val="double-struck"/>
            </m:rP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oMath>
      </m:oMathPara>
    </w:p>
    <w:p w14:paraId="538147A3" w14:textId="652CC85A" w:rsidR="003C28F6" w:rsidRDefault="00241574" w:rsidP="00075E7F">
      <w:pPr>
        <w:spacing w:line="480" w:lineRule="auto"/>
        <w:ind w:firstLine="720"/>
        <w:rPr>
          <w:rFonts w:eastAsiaTheme="minorEastAsia"/>
        </w:rPr>
      </w:pPr>
      <w:r>
        <w:rPr>
          <w:rFonts w:eastAsiaTheme="minorEastAsia"/>
        </w:rPr>
        <w:t xml:space="preserve">Note that without additional assumptions, the ATT is not identified since we are unable to observe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0</m:t>
                </m:r>
              </m:e>
            </m:d>
          </m:e>
          <m:e>
            <m:r>
              <w:rPr>
                <w:rFonts w:ascii="Cambria Math" w:eastAsiaTheme="minorEastAsia" w:hAnsi="Cambria Math"/>
              </w:rPr>
              <m:t>D=1</m:t>
            </m:r>
          </m:e>
        </m:d>
      </m:oMath>
      <w:r w:rsidR="002753F1">
        <w:rPr>
          <w:rFonts w:eastAsiaTheme="minorEastAsia"/>
        </w:rPr>
        <w:t xml:space="preserve"> (the </w:t>
      </w:r>
      <w:r w:rsidR="00146863">
        <w:rPr>
          <w:rFonts w:eastAsiaTheme="minorEastAsia"/>
        </w:rPr>
        <w:t>expected potential</w:t>
      </w:r>
      <w:r w:rsidR="002753F1">
        <w:rPr>
          <w:rFonts w:eastAsiaTheme="minorEastAsia"/>
        </w:rPr>
        <w:t xml:space="preserve"> outcome </w:t>
      </w:r>
      <w:r w:rsidR="00146863">
        <w:rPr>
          <w:rFonts w:eastAsiaTheme="minorEastAsia"/>
        </w:rPr>
        <w:t xml:space="preserve">if unit </w:t>
      </w:r>
      <m:oMath>
        <m:r>
          <w:rPr>
            <w:rFonts w:ascii="Cambria Math" w:eastAsiaTheme="minorEastAsia" w:hAnsi="Cambria Math"/>
          </w:rPr>
          <m:t>i</m:t>
        </m:r>
      </m:oMath>
      <w:r w:rsidR="00146863">
        <w:rPr>
          <w:rFonts w:eastAsiaTheme="minorEastAsia"/>
        </w:rPr>
        <w:t xml:space="preserve"> had not received treatment, given that it </w:t>
      </w:r>
      <w:proofErr w:type="gramStart"/>
      <w:r w:rsidR="00146863">
        <w:rPr>
          <w:rFonts w:eastAsiaTheme="minorEastAsia"/>
        </w:rPr>
        <w:t>actually did</w:t>
      </w:r>
      <w:proofErr w:type="gramEnd"/>
      <w:r w:rsidR="00146863">
        <w:rPr>
          <w:rFonts w:eastAsiaTheme="minorEastAsia"/>
        </w:rPr>
        <w:t xml:space="preserve"> receive treatment)</w:t>
      </w:r>
      <w:r w:rsidR="000F2970">
        <w:rPr>
          <w:rFonts w:eastAsiaTheme="minorEastAsia"/>
        </w:rPr>
        <w:t xml:space="preserve">. If we are willing to make </w:t>
      </w:r>
      <w:r w:rsidR="009279DF">
        <w:rPr>
          <w:rFonts w:eastAsiaTheme="minorEastAsia"/>
        </w:rPr>
        <w:t xml:space="preserve">additional assumptions, we could potentially identify the ATT. </w:t>
      </w:r>
      <w:r w:rsidR="00A14C1D">
        <w:rPr>
          <w:rFonts w:eastAsiaTheme="minorEastAsia"/>
        </w:rPr>
        <w:t>Different research designs make different assumptions</w:t>
      </w:r>
      <w:r w:rsidR="00BC686E">
        <w:rPr>
          <w:rFonts w:eastAsiaTheme="minorEastAsia"/>
        </w:rPr>
        <w:t xml:space="preserve"> for </w:t>
      </w:r>
      <w:r w:rsidR="00BF039B">
        <w:rPr>
          <w:rFonts w:eastAsiaTheme="minorEastAsia"/>
        </w:rPr>
        <w:t xml:space="preserve">identifying </w:t>
      </w:r>
      <w:r w:rsidR="00BC686E">
        <w:rPr>
          <w:rFonts w:eastAsiaTheme="minorEastAsia"/>
        </w:rPr>
        <w:t xml:space="preserve">the missing counterfactual. </w:t>
      </w:r>
      <w:r w:rsidR="0017237D">
        <w:rPr>
          <w:rFonts w:eastAsiaTheme="minorEastAsia"/>
        </w:rPr>
        <w:t xml:space="preserve">In the case of </w:t>
      </w:r>
      <w:r w:rsidR="00B22086">
        <w:rPr>
          <w:rFonts w:eastAsiaTheme="minorEastAsia"/>
        </w:rPr>
        <w:t xml:space="preserve">difference-in-differences, the crucial assumption </w:t>
      </w:r>
      <w:r w:rsidR="00510660">
        <w:rPr>
          <w:rFonts w:eastAsiaTheme="minorEastAsia"/>
        </w:rPr>
        <w:t xml:space="preserve">(known as the parallel trends assumption) </w:t>
      </w:r>
      <w:r w:rsidR="00B22086">
        <w:rPr>
          <w:rFonts w:eastAsiaTheme="minorEastAsia"/>
        </w:rPr>
        <w:t>is:</w:t>
      </w:r>
    </w:p>
    <w:p w14:paraId="21FF26FE" w14:textId="7505F420" w:rsidR="00C65385" w:rsidRPr="00017C39" w:rsidRDefault="003C28F6" w:rsidP="00075E7F">
      <w:pPr>
        <w:spacing w:line="480" w:lineRule="auto"/>
        <w:ind w:firstLine="720"/>
        <w:rPr>
          <w:rFonts w:eastAsiaTheme="minorEastAsia"/>
        </w:rPr>
      </w:pPr>
      <m:oMathPara>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i,t=1</m:t>
                  </m:r>
                </m:sub>
              </m:sSub>
              <m:d>
                <m:dPr>
                  <m:ctrlPr>
                    <w:rPr>
                      <w:rFonts w:ascii="Cambria Math" w:eastAsiaTheme="minorEastAsia" w:hAnsi="Cambria Math"/>
                      <w:i/>
                    </w:rPr>
                  </m:ctrlPr>
                </m:dPr>
                <m:e>
                  <m:r>
                    <w:rPr>
                      <w:rFonts w:ascii="Cambria Math" w:eastAsiaTheme="minorEastAsia" w:hAnsi="Cambria Math"/>
                    </w:rPr>
                    <m:t>0</m:t>
                  </m:r>
                </m:e>
              </m:d>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i,t=0</m:t>
                  </m:r>
                </m:sub>
              </m:sSub>
              <m:d>
                <m:dPr>
                  <m:ctrlPr>
                    <w:rPr>
                      <w:rFonts w:ascii="Cambria Math" w:eastAsiaTheme="minorEastAsia" w:hAnsi="Cambria Math"/>
                      <w:i/>
                    </w:rPr>
                  </m:ctrlPr>
                </m:dPr>
                <m:e>
                  <m:r>
                    <w:rPr>
                      <w:rFonts w:ascii="Cambria Math" w:eastAsiaTheme="minorEastAsia" w:hAnsi="Cambria Math"/>
                    </w:rPr>
                    <m:t>0</m:t>
                  </m:r>
                </m:e>
              </m:d>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i,t=1</m:t>
                  </m:r>
                </m:sub>
              </m:sSub>
              <m:d>
                <m:dPr>
                  <m:ctrlPr>
                    <w:rPr>
                      <w:rFonts w:ascii="Cambria Math" w:eastAsiaTheme="minorEastAsia" w:hAnsi="Cambria Math"/>
                      <w:i/>
                    </w:rPr>
                  </m:ctrlPr>
                </m:dPr>
                <m:e>
                  <m:r>
                    <w:rPr>
                      <w:rFonts w:ascii="Cambria Math" w:eastAsiaTheme="minorEastAsia" w:hAnsi="Cambria Math"/>
                    </w:rPr>
                    <m:t>0</m:t>
                  </m:r>
                </m:e>
              </m:d>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=0</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i,t=0</m:t>
                  </m:r>
                </m:sub>
              </m:sSub>
              <m:d>
                <m:dPr>
                  <m:ctrlPr>
                    <w:rPr>
                      <w:rFonts w:ascii="Cambria Math" w:eastAsiaTheme="minorEastAsia" w:hAnsi="Cambria Math"/>
                      <w:i/>
                    </w:rPr>
                  </m:ctrlPr>
                </m:dPr>
                <m:e>
                  <m:r>
                    <w:rPr>
                      <w:rFonts w:ascii="Cambria Math" w:eastAsiaTheme="minorEastAsia" w:hAnsi="Cambria Math"/>
                    </w:rPr>
                    <m:t>0</m:t>
                  </m:r>
                </m:e>
              </m:d>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=0</m:t>
              </m:r>
            </m:e>
          </m:d>
        </m:oMath>
      </m:oMathPara>
    </w:p>
    <w:p w14:paraId="011A2F8E" w14:textId="26AC08D5" w:rsidR="00017C39" w:rsidRDefault="009414EE" w:rsidP="00075E7F">
      <w:pPr>
        <w:spacing w:line="480" w:lineRule="auto"/>
        <w:ind w:firstLine="720"/>
        <w:rPr>
          <w:rFonts w:eastAsiaTheme="minorEastAsia"/>
        </w:rPr>
      </w:pPr>
      <w:r>
        <w:rPr>
          <w:rFonts w:eastAsiaTheme="minorEastAsia"/>
        </w:rPr>
        <w:t>In words</w:t>
      </w:r>
      <w:r w:rsidR="00017C39">
        <w:rPr>
          <w:rFonts w:eastAsiaTheme="minorEastAsia"/>
        </w:rPr>
        <w:t xml:space="preserve">, the expected change </w:t>
      </w:r>
      <w:r w:rsidR="00D138DA">
        <w:rPr>
          <w:rFonts w:eastAsiaTheme="minorEastAsia"/>
        </w:rPr>
        <w:t xml:space="preserve">in outcome between pre-treatment and post-treatment periods </w:t>
      </w:r>
      <w:r w:rsidR="000E17B7">
        <w:rPr>
          <w:rFonts w:eastAsiaTheme="minorEastAsia"/>
        </w:rPr>
        <w:t>(</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i,t=1</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i,t=0</m:t>
                </m:r>
              </m:sub>
            </m:sSub>
            <m:d>
              <m:dPr>
                <m:ctrlPr>
                  <w:rPr>
                    <w:rFonts w:ascii="Cambria Math" w:eastAsiaTheme="minorEastAsia" w:hAnsi="Cambria Math"/>
                    <w:i/>
                  </w:rPr>
                </m:ctrlPr>
              </m:dPr>
              <m:e>
                <m:r>
                  <w:rPr>
                    <w:rFonts w:ascii="Cambria Math" w:eastAsiaTheme="minorEastAsia" w:hAnsi="Cambria Math"/>
                  </w:rPr>
                  <m:t>1</m:t>
                </m:r>
              </m:e>
            </m:d>
          </m:e>
        </m:d>
      </m:oMath>
      <w:r w:rsidR="000E17B7">
        <w:rPr>
          <w:rFonts w:eastAsiaTheme="minorEastAsia"/>
        </w:rPr>
        <w:t xml:space="preserve">) is the same </w:t>
      </w:r>
      <w:r w:rsidR="00E80530">
        <w:rPr>
          <w:rFonts w:eastAsiaTheme="minorEastAsia"/>
        </w:rPr>
        <w:t>for</w:t>
      </w:r>
      <w:r w:rsidR="000E17B7">
        <w:rPr>
          <w:rFonts w:eastAsiaTheme="minorEastAsia"/>
        </w:rPr>
        <w:t xml:space="preserve"> treated and comparison groups.</w:t>
      </w:r>
      <w:r w:rsidR="00E80530">
        <w:rPr>
          <w:rFonts w:eastAsiaTheme="minorEastAsia"/>
        </w:rPr>
        <w:t xml:space="preserve"> Under these assumptions, the ATT</w:t>
      </w:r>
      <w:r w:rsidR="0002121A">
        <w:rPr>
          <w:rFonts w:eastAsiaTheme="minorEastAsia"/>
        </w:rPr>
        <w:t xml:space="preserve"> is:</w:t>
      </w:r>
    </w:p>
    <w:p w14:paraId="76125F96" w14:textId="74B6990E" w:rsidR="0002121A" w:rsidRPr="00D96616" w:rsidRDefault="0002121A" w:rsidP="00075E7F">
      <w:pPr>
        <w:spacing w:line="480" w:lineRule="auto"/>
        <w:ind w:firstLine="720"/>
        <w:rPr>
          <w:rFonts w:eastAsiaTheme="minorEastAsia"/>
        </w:rPr>
      </w:pPr>
      <m:oMathPara>
        <m:oMath>
          <m:r>
            <w:rPr>
              <w:rFonts w:ascii="Cambria Math" w:eastAsiaTheme="minorEastAsia" w:hAnsi="Cambria Math"/>
            </w:rPr>
            <m:t>ATT=</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i,t=1</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i,t=0</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i,t=1</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=0</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i,t=0</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=0</m:t>
                      </m:r>
                    </m:e>
                  </m:d>
                </m:e>
              </m:d>
            </m:e>
          </m:d>
        </m:oMath>
      </m:oMathPara>
    </w:p>
    <w:p w14:paraId="0E1C9B4A" w14:textId="528F207E" w:rsidR="00D96616" w:rsidRDefault="00D96616" w:rsidP="00075E7F">
      <w:pPr>
        <w:spacing w:line="480" w:lineRule="auto"/>
        <w:ind w:firstLine="720"/>
        <w:rPr>
          <w:rFonts w:eastAsiaTheme="minorEastAsia"/>
        </w:rPr>
      </w:pPr>
      <w:r>
        <w:rPr>
          <w:rFonts w:eastAsiaTheme="minorEastAsia"/>
        </w:rPr>
        <w:lastRenderedPageBreak/>
        <w:t xml:space="preserve">Where the term in parenthesis </w:t>
      </w:r>
      <w:r w:rsidR="00DD3978">
        <w:rPr>
          <w:rFonts w:eastAsiaTheme="minorEastAsia"/>
        </w:rPr>
        <w:t xml:space="preserve">on the </w:t>
      </w:r>
      <w:r w:rsidR="00D478C0">
        <w:rPr>
          <w:rFonts w:eastAsiaTheme="minorEastAsia"/>
        </w:rPr>
        <w:t>right-hand</w:t>
      </w:r>
      <w:r w:rsidR="00DD3978">
        <w:rPr>
          <w:rFonts w:eastAsiaTheme="minorEastAsia"/>
        </w:rPr>
        <w:t xml:space="preserve"> side is </w:t>
      </w:r>
      <w:r w:rsidR="00D3511F">
        <w:rPr>
          <w:rFonts w:eastAsiaTheme="minorEastAsia"/>
        </w:rPr>
        <w:t xml:space="preserve">our counterfactual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0</m:t>
                </m:r>
              </m:e>
            </m:d>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d>
      </m:oMath>
      <w:r w:rsidR="00E55E70">
        <w:rPr>
          <w:rFonts w:eastAsiaTheme="minorEastAsia"/>
        </w:rPr>
        <w:t>. The above can be rewritten as:</w:t>
      </w:r>
    </w:p>
    <w:p w14:paraId="0A8DEBE6" w14:textId="6D6B3295" w:rsidR="00E55E70" w:rsidRPr="002C243D" w:rsidRDefault="00E55E70" w:rsidP="00075E7F">
      <w:pPr>
        <w:spacing w:line="480" w:lineRule="auto"/>
        <w:ind w:firstLine="720"/>
        <w:rPr>
          <w:rFonts w:eastAsiaTheme="minorEastAsia"/>
        </w:rPr>
      </w:pPr>
      <m:oMathPara>
        <m:oMath>
          <m:r>
            <w:rPr>
              <w:rFonts w:ascii="Cambria Math" w:eastAsiaTheme="minorEastAsia" w:hAnsi="Cambria Math"/>
            </w:rPr>
            <m:t>ATT=</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i,t=1</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i,t=0</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d>
            </m:e>
          </m:d>
          <m:r>
            <w:rPr>
              <w:rFonts w:ascii="Cambria Math" w:eastAsiaTheme="minorEastAsia" w:hAnsi="Cambria Math"/>
            </w:rPr>
            <m:t>-</m:t>
          </m:r>
          <m:d>
            <m:dPr>
              <m:ctrlPr>
                <w:rPr>
                  <w:rFonts w:ascii="Cambria Math" w:eastAsiaTheme="minorEastAsia" w:hAnsi="Cambria Math"/>
                  <w:i/>
                </w:rPr>
              </m:ctrlPr>
            </m:dPr>
            <m:e>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i,t=1</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=0</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i,t=0</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=0</m:t>
                  </m:r>
                </m:e>
              </m:d>
            </m:e>
          </m:d>
        </m:oMath>
      </m:oMathPara>
    </w:p>
    <w:p w14:paraId="315CB943" w14:textId="1EBA2400" w:rsidR="002C243D" w:rsidRDefault="00655825" w:rsidP="00075E7F">
      <w:pPr>
        <w:spacing w:line="480" w:lineRule="auto"/>
        <w:ind w:firstLine="720"/>
        <w:rPr>
          <w:rFonts w:eastAsiaTheme="minorEastAsia"/>
        </w:rPr>
      </w:pPr>
      <w:r>
        <w:rPr>
          <w:rFonts w:eastAsiaTheme="minorEastAsia"/>
        </w:rPr>
        <w:t xml:space="preserve">Where the first term in the parenthesis is the change in </w:t>
      </w:r>
      <w:r w:rsidR="00E26151">
        <w:rPr>
          <w:rFonts w:eastAsiaTheme="minorEastAsia"/>
        </w:rPr>
        <w:t xml:space="preserve">the average </w:t>
      </w:r>
      <w:r>
        <w:rPr>
          <w:rFonts w:eastAsiaTheme="minorEastAsia"/>
        </w:rPr>
        <w:t xml:space="preserve">outcome </w:t>
      </w:r>
      <w:r w:rsidR="00E26151">
        <w:rPr>
          <w:rFonts w:eastAsiaTheme="minorEastAsia"/>
        </w:rPr>
        <w:t>for</w:t>
      </w:r>
      <w:r>
        <w:rPr>
          <w:rFonts w:eastAsiaTheme="minorEastAsia"/>
        </w:rPr>
        <w:t xml:space="preserve"> treated units between period </w:t>
      </w:r>
      <m:oMath>
        <m:r>
          <w:rPr>
            <w:rFonts w:ascii="Cambria Math" w:eastAsiaTheme="minorEastAsia" w:hAnsi="Cambria Math"/>
          </w:rPr>
          <m:t>t=0</m:t>
        </m:r>
      </m:oMath>
      <w:r>
        <w:rPr>
          <w:rFonts w:eastAsiaTheme="minorEastAsia"/>
        </w:rPr>
        <w:t xml:space="preserve"> and </w:t>
      </w:r>
      <m:oMath>
        <m:r>
          <w:rPr>
            <w:rFonts w:ascii="Cambria Math" w:eastAsiaTheme="minorEastAsia" w:hAnsi="Cambria Math"/>
          </w:rPr>
          <m:t>t=1</m:t>
        </m:r>
      </m:oMath>
      <w:r w:rsidR="00574C6D">
        <w:rPr>
          <w:rFonts w:eastAsiaTheme="minorEastAsia"/>
        </w:rPr>
        <w:t xml:space="preserve"> and the second term is the change in </w:t>
      </w:r>
      <w:r w:rsidR="00E26151">
        <w:rPr>
          <w:rFonts w:eastAsiaTheme="minorEastAsia"/>
        </w:rPr>
        <w:t xml:space="preserve">the average </w:t>
      </w:r>
      <w:r w:rsidR="00574C6D">
        <w:rPr>
          <w:rFonts w:eastAsiaTheme="minorEastAsia"/>
        </w:rPr>
        <w:t>outcome for the untreated units</w:t>
      </w:r>
      <w:r w:rsidR="000257B5">
        <w:rPr>
          <w:rFonts w:eastAsiaTheme="minorEastAsia"/>
        </w:rPr>
        <w:t xml:space="preserve"> during the same period.</w:t>
      </w:r>
      <w:r w:rsidR="00AD3059">
        <w:rPr>
          <w:rFonts w:eastAsiaTheme="minorEastAsia"/>
        </w:rPr>
        <w:t xml:space="preserve"> Thus</w:t>
      </w:r>
      <w:r w:rsidR="00C02B0A">
        <w:rPr>
          <w:rFonts w:eastAsiaTheme="minorEastAsia"/>
        </w:rPr>
        <w:t>,</w:t>
      </w:r>
      <w:r w:rsidR="00AD3059">
        <w:rPr>
          <w:rFonts w:eastAsiaTheme="minorEastAsia"/>
        </w:rPr>
        <w:t xml:space="preserve"> the </w:t>
      </w:r>
      <w:r w:rsidR="002433A9">
        <w:rPr>
          <w:rFonts w:eastAsiaTheme="minorEastAsia"/>
        </w:rPr>
        <w:t xml:space="preserve">average treatment effect (on the treated) </w:t>
      </w:r>
      <w:r w:rsidR="0008794E">
        <w:rPr>
          <w:rFonts w:eastAsiaTheme="minorEastAsia"/>
        </w:rPr>
        <w:t>has a natural interpretation</w:t>
      </w:r>
      <w:r w:rsidR="00E410E1">
        <w:rPr>
          <w:rFonts w:eastAsiaTheme="minorEastAsia"/>
        </w:rPr>
        <w:t xml:space="preserve"> as the </w:t>
      </w:r>
      <w:r w:rsidR="00C02B0A">
        <w:rPr>
          <w:rFonts w:eastAsiaTheme="minorEastAsia"/>
        </w:rPr>
        <w:t xml:space="preserve">“additional” average </w:t>
      </w:r>
      <w:r w:rsidR="00E410E1">
        <w:rPr>
          <w:rFonts w:eastAsiaTheme="minorEastAsia"/>
        </w:rPr>
        <w:t xml:space="preserve">change in </w:t>
      </w:r>
      <w:r w:rsidR="00E26151">
        <w:rPr>
          <w:rFonts w:eastAsiaTheme="minorEastAsia"/>
        </w:rPr>
        <w:t>the outcome of the treat</w:t>
      </w:r>
      <w:r w:rsidR="00C02B0A">
        <w:rPr>
          <w:rFonts w:eastAsiaTheme="minorEastAsia"/>
        </w:rPr>
        <w:t xml:space="preserve">ed units </w:t>
      </w:r>
      <w:r w:rsidR="002433A9">
        <w:rPr>
          <w:rFonts w:eastAsiaTheme="minorEastAsia"/>
        </w:rPr>
        <w:t>on top of the change experienced by the untreated units during the period of study.</w:t>
      </w:r>
    </w:p>
    <w:p w14:paraId="73B7E015" w14:textId="235E4037" w:rsidR="00A36D5D" w:rsidRDefault="00A36D5D" w:rsidP="00075E7F">
      <w:pPr>
        <w:spacing w:line="480" w:lineRule="auto"/>
        <w:ind w:firstLine="720"/>
        <w:rPr>
          <w:rFonts w:eastAsiaTheme="minorEastAsia"/>
        </w:rPr>
      </w:pPr>
      <w:r>
        <w:rPr>
          <w:rFonts w:eastAsiaTheme="minorEastAsia"/>
        </w:rPr>
        <w:t>It is well-known that estimating this model, involving four means is the same as a</w:t>
      </w:r>
      <w:r w:rsidR="00030710">
        <w:rPr>
          <w:rFonts w:eastAsiaTheme="minorEastAsia"/>
        </w:rPr>
        <w:t xml:space="preserve"> two-way fixed effects (TWFE)</w:t>
      </w:r>
      <w:r>
        <w:rPr>
          <w:rFonts w:eastAsiaTheme="minorEastAsia"/>
        </w:rPr>
        <w:t xml:space="preserve"> regression:</w:t>
      </w:r>
    </w:p>
    <w:p w14:paraId="6787AA59" w14:textId="2F530C37" w:rsidR="00A36D5D" w:rsidRPr="00776A06" w:rsidRDefault="00E7570E" w:rsidP="00075E7F">
      <w:pPr>
        <w:spacing w:line="480" w:lineRule="auto"/>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t</m:t>
              </m:r>
            </m:sub>
          </m:sSub>
        </m:oMath>
      </m:oMathPara>
    </w:p>
    <w:p w14:paraId="130FDC5A" w14:textId="28E16908" w:rsidR="00776A06" w:rsidRDefault="00776A06" w:rsidP="00075E7F">
      <w:pPr>
        <w:spacing w:line="480" w:lineRule="auto"/>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oMath>
      <w:r>
        <w:rPr>
          <w:rFonts w:eastAsiaTheme="minorEastAsia"/>
        </w:rPr>
        <w:t xml:space="preserve"> are </w:t>
      </w:r>
      <w:r w:rsidR="00110B23">
        <w:rPr>
          <w:rFonts w:eastAsiaTheme="minorEastAsia"/>
        </w:rPr>
        <w:t xml:space="preserve">time and unit fixed effects and </w:t>
      </w:r>
      <m:oMath>
        <m:r>
          <w:rPr>
            <w:rFonts w:ascii="Cambria Math" w:eastAsiaTheme="minorEastAsia" w:hAnsi="Cambria Math"/>
          </w:rPr>
          <m:t>β</m:t>
        </m:r>
      </m:oMath>
      <w:r w:rsidR="00110B23">
        <w:rPr>
          <w:rFonts w:eastAsiaTheme="minorEastAsia"/>
        </w:rPr>
        <w:t xml:space="preserve"> is the parameter of interest.</w:t>
      </w:r>
    </w:p>
    <w:p w14:paraId="095BA833" w14:textId="6003FF06" w:rsidR="00964ADD" w:rsidRDefault="00FF29DC" w:rsidP="00075E7F">
      <w:pPr>
        <w:spacing w:line="480" w:lineRule="auto"/>
        <w:ind w:firstLine="720"/>
        <w:rPr>
          <w:rFonts w:eastAsiaTheme="minorEastAsia"/>
        </w:rPr>
      </w:pPr>
      <w:r>
        <w:rPr>
          <w:rFonts w:eastAsiaTheme="minorEastAsia"/>
        </w:rPr>
        <w:t xml:space="preserve">Often the </w:t>
      </w:r>
      <w:r w:rsidR="0098692E">
        <w:rPr>
          <w:rFonts w:eastAsiaTheme="minorEastAsia"/>
        </w:rPr>
        <w:t xml:space="preserve">parallel trends assumption is not plausible. </w:t>
      </w:r>
      <w:r w:rsidR="00447D0E">
        <w:rPr>
          <w:rFonts w:eastAsiaTheme="minorEastAsia"/>
        </w:rPr>
        <w:t xml:space="preserve">The treatment group might differ from the comparison </w:t>
      </w:r>
      <w:r w:rsidR="00925FED">
        <w:rPr>
          <w:rFonts w:eastAsiaTheme="minorEastAsia"/>
        </w:rPr>
        <w:t xml:space="preserve">group in systematic ways </w:t>
      </w:r>
      <w:r w:rsidR="008B12BC">
        <w:rPr>
          <w:rFonts w:eastAsiaTheme="minorEastAsia"/>
        </w:rPr>
        <w:t xml:space="preserve">that </w:t>
      </w:r>
      <w:r w:rsidR="00064CA5">
        <w:rPr>
          <w:rFonts w:eastAsiaTheme="minorEastAsia"/>
        </w:rPr>
        <w:t>affect</w:t>
      </w:r>
      <w:r w:rsidR="008B12BC">
        <w:rPr>
          <w:rFonts w:eastAsiaTheme="minorEastAsia"/>
        </w:rPr>
        <w:t xml:space="preserve"> the outcome</w:t>
      </w:r>
      <w:r w:rsidR="00A02648">
        <w:rPr>
          <w:rFonts w:eastAsiaTheme="minorEastAsia"/>
        </w:rPr>
        <w:t xml:space="preserve"> (for example, workers participating in a job training program might be </w:t>
      </w:r>
      <w:r w:rsidR="00F616C1">
        <w:rPr>
          <w:rFonts w:eastAsiaTheme="minorEastAsia"/>
        </w:rPr>
        <w:t xml:space="preserve">less educated or younger than the comparison group and </w:t>
      </w:r>
      <w:r w:rsidR="00BC5169">
        <w:rPr>
          <w:rFonts w:eastAsiaTheme="minorEastAsia"/>
        </w:rPr>
        <w:t xml:space="preserve">would have experienced a different wage trend </w:t>
      </w:r>
      <w:r w:rsidR="00036376">
        <w:rPr>
          <w:rFonts w:eastAsiaTheme="minorEastAsia"/>
        </w:rPr>
        <w:t xml:space="preserve">than </w:t>
      </w:r>
      <w:r w:rsidR="002E74FC">
        <w:rPr>
          <w:rFonts w:eastAsiaTheme="minorEastAsia"/>
        </w:rPr>
        <w:t xml:space="preserve">older workers </w:t>
      </w:r>
      <w:r w:rsidR="004573CC">
        <w:rPr>
          <w:rFonts w:eastAsiaTheme="minorEastAsia"/>
        </w:rPr>
        <w:t>re</w:t>
      </w:r>
      <w:r w:rsidR="00BC5169">
        <w:rPr>
          <w:rFonts w:eastAsiaTheme="minorEastAsia"/>
        </w:rPr>
        <w:t>gardless of whether they participated in training or not).</w:t>
      </w:r>
      <w:r w:rsidR="002A5C56">
        <w:rPr>
          <w:rFonts w:eastAsiaTheme="minorEastAsia"/>
        </w:rPr>
        <w:t xml:space="preserve"> </w:t>
      </w:r>
      <w:r w:rsidR="00051D81">
        <w:rPr>
          <w:rFonts w:eastAsiaTheme="minorEastAsia"/>
        </w:rPr>
        <w:t xml:space="preserve">We can relax the parallel trends assumption </w:t>
      </w:r>
      <w:r w:rsidR="00D17E29">
        <w:rPr>
          <w:rFonts w:eastAsiaTheme="minorEastAsia"/>
        </w:rPr>
        <w:t>from above with a conditional parallel</w:t>
      </w:r>
      <w:r w:rsidR="002E74FC">
        <w:rPr>
          <w:rFonts w:eastAsiaTheme="minorEastAsia"/>
        </w:rPr>
        <w:t>-</w:t>
      </w:r>
      <w:r w:rsidR="00D17E29">
        <w:rPr>
          <w:rFonts w:eastAsiaTheme="minorEastAsia"/>
        </w:rPr>
        <w:t xml:space="preserve">trends assumption. </w:t>
      </w:r>
      <w:r w:rsidR="002A5C56">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CE41AF">
        <w:rPr>
          <w:rFonts w:eastAsiaTheme="minorEastAsia"/>
        </w:rPr>
        <w:t xml:space="preserve"> be a vector of observed determinants of changes in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i,t</m:t>
            </m:r>
          </m:sub>
          <m:sup>
            <m:r>
              <w:rPr>
                <w:rFonts w:ascii="Cambria Math" w:eastAsiaTheme="minorEastAsia" w:hAnsi="Cambria Math"/>
              </w:rPr>
              <m:t>0</m:t>
            </m:r>
          </m:sup>
        </m:sSubSup>
      </m:oMath>
      <w:r w:rsidR="00CE41AF">
        <w:rPr>
          <w:rFonts w:eastAsiaTheme="minorEastAsia"/>
        </w:rPr>
        <w:t xml:space="preserve">. </w:t>
      </w:r>
      <w:r w:rsidR="00064CA5">
        <w:rPr>
          <w:rFonts w:eastAsiaTheme="minorEastAsia"/>
        </w:rPr>
        <w:t xml:space="preserve">We now assume that </w:t>
      </w:r>
      <w:r w:rsidR="00306B76">
        <w:rPr>
          <w:rFonts w:eastAsiaTheme="minorEastAsia"/>
        </w:rPr>
        <w:t xml:space="preserve">the groups would have followed parallel trends </w:t>
      </w:r>
      <w:r w:rsidR="00306B76">
        <w:rPr>
          <w:rFonts w:eastAsiaTheme="minorEastAsia"/>
          <w:i/>
          <w:iCs/>
        </w:rPr>
        <w:t>conditional</w:t>
      </w:r>
      <w:r w:rsidR="00306B76">
        <w:rPr>
          <w:rFonts w:eastAsiaTheme="minorEastAsia"/>
        </w:rPr>
        <w:t xml:space="preserve"> on </w:t>
      </w:r>
      <w:r w:rsidR="00AA44D1">
        <w:rPr>
          <w:rFonts w:eastAsiaTheme="minorEastAsia"/>
        </w:rPr>
        <w:t>the covariates:</w:t>
      </w:r>
    </w:p>
    <w:p w14:paraId="46DDA5DF" w14:textId="1805DAD7" w:rsidR="00AA44D1" w:rsidRPr="00D17E29" w:rsidRDefault="00AA44D1" w:rsidP="00075E7F">
      <w:pPr>
        <w:spacing w:line="480" w:lineRule="auto"/>
        <w:ind w:firstLine="720"/>
        <w:rPr>
          <w:rFonts w:eastAsiaTheme="minorEastAsia"/>
        </w:rPr>
      </w:pPr>
      <m:oMathPara>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i,t=1</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i,t=0</m:t>
                  </m:r>
                </m:sub>
              </m:sSub>
              <m:d>
                <m:dPr>
                  <m:ctrlPr>
                    <w:rPr>
                      <w:rFonts w:ascii="Cambria Math" w:eastAsiaTheme="minorEastAsia" w:hAnsi="Cambria Math"/>
                      <w:i/>
                    </w:rPr>
                  </m:ctrlPr>
                </m:dPr>
                <m:e>
                  <m:r>
                    <w:rPr>
                      <w:rFonts w:ascii="Cambria Math" w:eastAsiaTheme="minorEastAsia" w:hAnsi="Cambria Math"/>
                    </w:rPr>
                    <m:t>0</m:t>
                  </m:r>
                </m:e>
              </m:d>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i,t=1</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i,t=0</m:t>
                  </m:r>
                </m:sub>
              </m:sSub>
              <m:d>
                <m:dPr>
                  <m:ctrlPr>
                    <w:rPr>
                      <w:rFonts w:ascii="Cambria Math" w:eastAsiaTheme="minorEastAsia" w:hAnsi="Cambria Math"/>
                      <w:i/>
                    </w:rPr>
                  </m:ctrlPr>
                </m:dPr>
                <m:e>
                  <m:r>
                    <w:rPr>
                      <w:rFonts w:ascii="Cambria Math" w:eastAsiaTheme="minorEastAsia" w:hAnsi="Cambria Math"/>
                    </w:rPr>
                    <m:t>0</m:t>
                  </m:r>
                </m:e>
              </m:d>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=0</m:t>
              </m:r>
            </m:e>
          </m:d>
        </m:oMath>
      </m:oMathPara>
    </w:p>
    <w:p w14:paraId="20B004BC" w14:textId="029F0B51" w:rsidR="00570768" w:rsidRDefault="00740DE9" w:rsidP="00075E7F">
      <w:pPr>
        <w:spacing w:line="480" w:lineRule="auto"/>
        <w:ind w:firstLine="720"/>
        <w:rPr>
          <w:rFonts w:eastAsiaTheme="minorEastAsia"/>
        </w:rPr>
      </w:pPr>
      <w:r>
        <w:rPr>
          <w:rFonts w:eastAsiaTheme="minorEastAsia"/>
        </w:rPr>
        <w:t xml:space="preserve">The literature offers </w:t>
      </w:r>
      <w:r w:rsidR="00685309">
        <w:rPr>
          <w:rFonts w:eastAsiaTheme="minorEastAsia"/>
        </w:rPr>
        <w:t xml:space="preserve">several </w:t>
      </w:r>
      <w:r w:rsidR="00621947">
        <w:rPr>
          <w:rFonts w:eastAsiaTheme="minorEastAsia"/>
        </w:rPr>
        <w:t>ways to estimate this conditional parallel</w:t>
      </w:r>
      <w:r w:rsidR="003F74B8">
        <w:rPr>
          <w:rFonts w:eastAsiaTheme="minorEastAsia"/>
        </w:rPr>
        <w:t>-</w:t>
      </w:r>
      <w:r w:rsidR="00621947">
        <w:rPr>
          <w:rFonts w:eastAsiaTheme="minorEastAsia"/>
        </w:rPr>
        <w:t xml:space="preserve">trends model. </w:t>
      </w:r>
      <w:r w:rsidR="00143D2F">
        <w:rPr>
          <w:rFonts w:eastAsiaTheme="minorEastAsia"/>
        </w:rPr>
        <w:t xml:space="preserve">Firstly, the </w:t>
      </w:r>
      <w:r w:rsidR="0071184F">
        <w:rPr>
          <w:rFonts w:eastAsiaTheme="minorEastAsia"/>
        </w:rPr>
        <w:t>covariates can be incorporated into an augmented TWFE regression</w:t>
      </w:r>
      <w:r w:rsidR="005C40CC">
        <w:rPr>
          <w:rFonts w:eastAsiaTheme="minorEastAsia"/>
        </w:rPr>
        <w:t xml:space="preserve"> either as</w:t>
      </w:r>
      <w:r w:rsidR="0071184F">
        <w:rPr>
          <w:rFonts w:eastAsiaTheme="minorEastAsia"/>
        </w:rPr>
        <w:t>:</w:t>
      </w:r>
    </w:p>
    <w:p w14:paraId="34FAA452" w14:textId="6FD939BD" w:rsidR="0071184F" w:rsidRPr="005C40CC" w:rsidRDefault="00E7570E" w:rsidP="00075E7F">
      <w:pPr>
        <w:spacing w:line="480" w:lineRule="auto"/>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t</m:t>
              </m:r>
            </m:sub>
          </m:sSub>
        </m:oMath>
      </m:oMathPara>
    </w:p>
    <w:p w14:paraId="4FECBF20" w14:textId="0607E0E0" w:rsidR="005C40CC" w:rsidRDefault="005C40CC" w:rsidP="00075E7F">
      <w:pPr>
        <w:spacing w:line="480" w:lineRule="auto"/>
        <w:ind w:firstLine="720"/>
        <w:rPr>
          <w:rFonts w:eastAsiaTheme="minorEastAsia"/>
        </w:rPr>
      </w:pPr>
      <w:r>
        <w:rPr>
          <w:rFonts w:eastAsiaTheme="minorEastAsia"/>
        </w:rPr>
        <w:t>or as</w:t>
      </w:r>
    </w:p>
    <w:p w14:paraId="03642ABD" w14:textId="2DD4975A" w:rsidR="005C40CC" w:rsidRPr="00522CA6" w:rsidRDefault="00E7570E" w:rsidP="00075E7F">
      <w:pPr>
        <w:spacing w:line="480" w:lineRule="auto"/>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t</m:t>
                  </m:r>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t</m:t>
                  </m:r>
                  <m:r>
                    <w:rPr>
                      <w:rFonts w:ascii="Cambria Math" w:eastAsiaTheme="minorEastAsia" w:hAnsi="Cambria Math"/>
                    </w:rPr>
                    <m:t>=0</m:t>
                  </m:r>
                </m:sub>
              </m:sSub>
            </m:e>
          </m:d>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t</m:t>
              </m:r>
            </m:sub>
          </m:sSub>
        </m:oMath>
      </m:oMathPara>
    </w:p>
    <w:p w14:paraId="682B5801" w14:textId="504089C9" w:rsidR="00F116C7" w:rsidRDefault="00522CA6" w:rsidP="00075E7F">
      <w:pPr>
        <w:spacing w:line="480" w:lineRule="auto"/>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oMath>
      <w:r>
        <w:rPr>
          <w:rFonts w:eastAsiaTheme="minorEastAsia"/>
        </w:rPr>
        <w:t xml:space="preserve"> </w:t>
      </w:r>
      <w:r w:rsidR="00B1502D">
        <w:rPr>
          <w:rFonts w:eastAsiaTheme="minorEastAsia"/>
        </w:rPr>
        <w:t xml:space="preserve">is the observed value of the covariate at time </w:t>
      </w:r>
      <m:oMath>
        <m:r>
          <w:rPr>
            <w:rFonts w:ascii="Cambria Math" w:eastAsiaTheme="minorEastAsia" w:hAnsi="Cambria Math"/>
          </w:rPr>
          <m:t>t</m:t>
        </m:r>
      </m:oMath>
      <w:r w:rsidR="007A32CA">
        <w:rPr>
          <w:rFonts w:eastAsiaTheme="minorEastAsia"/>
        </w:rPr>
        <w:t xml:space="preserve">, </w:t>
      </w:r>
      <m:oMath>
        <m:r>
          <m:rPr>
            <m:sty m:val="bi"/>
          </m:rPr>
          <w:rPr>
            <w:rFonts w:ascii="Cambria Math" w:eastAsiaTheme="minorEastAsia" w:hAnsi="Cambria Math"/>
          </w:rPr>
          <m:t>1</m:t>
        </m:r>
        <m:r>
          <w:rPr>
            <w:rFonts w:ascii="Cambria Math" w:eastAsiaTheme="minorEastAsia" w:hAnsi="Cambria Math"/>
          </w:rPr>
          <m:t>{t=1}</m:t>
        </m:r>
      </m:oMath>
      <w:r w:rsidR="00CE7019">
        <w:rPr>
          <w:rFonts w:eastAsiaTheme="minorEastAsia"/>
        </w:rPr>
        <w:t xml:space="preserve"> is an indicator variable that takes a value of 1 in the post-treatment period </w:t>
      </w:r>
      <w:r w:rsidR="0046663D">
        <w:rPr>
          <w:rFonts w:eastAsiaTheme="minorEastAsia"/>
        </w:rPr>
        <w:t>and 0 otherwise</w:t>
      </w:r>
      <w:r w:rsidR="00A5040C">
        <w:rPr>
          <w:rFonts w:eastAsiaTheme="minorEastAsia"/>
        </w:rPr>
        <w:t>.</w:t>
      </w:r>
      <w:r w:rsidR="00652995">
        <w:rPr>
          <w:rFonts w:eastAsiaTheme="minorEastAsia"/>
        </w:rPr>
        <w:t xml:space="preserve"> Note that </w:t>
      </w:r>
      <w:r w:rsidR="0008598A">
        <w:rPr>
          <w:rFonts w:eastAsiaTheme="minorEastAsia"/>
        </w:rPr>
        <w:t xml:space="preserve">because time-invariant variables drop out </w:t>
      </w:r>
      <w:r w:rsidR="00A14793">
        <w:rPr>
          <w:rFonts w:eastAsiaTheme="minorEastAsia"/>
        </w:rPr>
        <w:t xml:space="preserve">in the TWFE regression, </w:t>
      </w:r>
      <w:r w:rsidR="008C2A10">
        <w:rPr>
          <w:rFonts w:eastAsiaTheme="minorEastAsia"/>
        </w:rPr>
        <w:t xml:space="preserve">only </w:t>
      </w:r>
      <w:r w:rsidR="00663D2F">
        <w:rPr>
          <w:rFonts w:eastAsiaTheme="minorEastAsia"/>
        </w:rPr>
        <w:t xml:space="preserve">the effect of </w:t>
      </w:r>
      <w:r w:rsidR="004C0934">
        <w:rPr>
          <w:rFonts w:eastAsiaTheme="minorEastAsia"/>
        </w:rPr>
        <w:t>changes in the level</w:t>
      </w:r>
      <w:r w:rsidR="00595C5B">
        <w:rPr>
          <w:rFonts w:eastAsiaTheme="minorEastAsia"/>
        </w:rPr>
        <w:t>s</w:t>
      </w:r>
      <w:r w:rsidR="004C0934">
        <w:rPr>
          <w:rFonts w:eastAsiaTheme="minorEastAsia"/>
        </w:rPr>
        <w:t xml:space="preserve"> of a covariate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i,t=0</m:t>
                </m:r>
              </m:sub>
            </m:sSub>
          </m:e>
        </m:d>
      </m:oMath>
      <w:r w:rsidR="00126B26">
        <w:rPr>
          <w:rFonts w:eastAsiaTheme="minorEastAsia"/>
        </w:rPr>
        <w:t xml:space="preserve"> or </w:t>
      </w:r>
      <w:r w:rsidR="00D73F5E">
        <w:rPr>
          <w:rFonts w:eastAsiaTheme="minorEastAsia"/>
        </w:rPr>
        <w:t xml:space="preserve">differential </w:t>
      </w:r>
      <w:r w:rsidR="00E72B7F">
        <w:rPr>
          <w:rFonts w:eastAsiaTheme="minorEastAsia"/>
        </w:rPr>
        <w:t xml:space="preserve">trends related to baseline levels of the variable, interacted with a post-treatment dummy </w:t>
      </w:r>
      <m:oMath>
        <m:r>
          <m:rPr>
            <m:sty m:val="bi"/>
          </m:rP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t=1</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i,t=0</m:t>
            </m:r>
          </m:sub>
        </m:sSub>
      </m:oMath>
      <w:r w:rsidR="00E72B7F">
        <w:rPr>
          <w:rFonts w:eastAsiaTheme="minorEastAsia"/>
        </w:rPr>
        <w:t xml:space="preserve"> can be </w:t>
      </w:r>
      <w:r w:rsidR="00B52400">
        <w:rPr>
          <w:rFonts w:eastAsiaTheme="minorEastAsia"/>
        </w:rPr>
        <w:t xml:space="preserve">estimated with this type of model. In addition, researchers need to be careful about what </w:t>
      </w:r>
      <w:r w:rsidR="00E64A9B">
        <w:rPr>
          <w:rFonts w:eastAsiaTheme="minorEastAsia"/>
        </w:rPr>
        <w:t xml:space="preserve">variables are controlled for. For example, if the treatment affects the outcome by changing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oMath>
      <w:r w:rsidR="00E64A9B">
        <w:rPr>
          <w:rFonts w:eastAsiaTheme="minorEastAsia"/>
        </w:rPr>
        <w:t xml:space="preserve"> (</w:t>
      </w:r>
      <w:r w:rsidR="00CB22FB">
        <w:rPr>
          <w:rFonts w:eastAsiaTheme="minorEastAsia"/>
        </w:rPr>
        <w:t xml:space="preserve">e.g. </w:t>
      </w:r>
      <w:r w:rsidR="00E64A9B">
        <w:rPr>
          <w:rFonts w:eastAsiaTheme="minorEastAsia"/>
        </w:rPr>
        <w:t xml:space="preserve">job training </w:t>
      </w:r>
      <w:r w:rsidR="00CB22FB">
        <w:rPr>
          <w:rFonts w:eastAsiaTheme="minorEastAsia"/>
        </w:rPr>
        <w:t>improving some measured skill), then controlling for this in the TWFE regression will bias our estimate of ATT.</w:t>
      </w:r>
    </w:p>
    <w:p w14:paraId="4EC2C1DF" w14:textId="22065649" w:rsidR="00F116C7" w:rsidRDefault="00F116C7" w:rsidP="00075E7F">
      <w:pPr>
        <w:spacing w:line="480" w:lineRule="auto"/>
        <w:ind w:firstLine="720"/>
        <w:rPr>
          <w:rFonts w:eastAsiaTheme="minorEastAsia"/>
        </w:rPr>
      </w:pPr>
      <w:r>
        <w:rPr>
          <w:rFonts w:eastAsiaTheme="minorEastAsia"/>
        </w:rPr>
        <w:t xml:space="preserve">Abadie (2005) provides another </w:t>
      </w:r>
      <w:r w:rsidR="001D1119">
        <w:rPr>
          <w:rFonts w:eastAsiaTheme="minorEastAsia"/>
        </w:rPr>
        <w:t xml:space="preserve">way to estimate </w:t>
      </w:r>
      <w:r w:rsidR="00973CEE">
        <w:rPr>
          <w:rFonts w:eastAsiaTheme="minorEastAsia"/>
        </w:rPr>
        <w:t xml:space="preserve">the average treatment effect. If we are willing to </w:t>
      </w:r>
      <w:r w:rsidR="007422A0">
        <w:rPr>
          <w:rFonts w:eastAsiaTheme="minorEastAsia"/>
        </w:rPr>
        <w:t xml:space="preserve">make the mild </w:t>
      </w:r>
      <w:r w:rsidR="00B65C08">
        <w:rPr>
          <w:rFonts w:eastAsiaTheme="minorEastAsia"/>
        </w:rPr>
        <w:t>assum</w:t>
      </w:r>
      <w:r w:rsidR="007422A0">
        <w:rPr>
          <w:rFonts w:eastAsiaTheme="minorEastAsia"/>
        </w:rPr>
        <w:t xml:space="preserve">ptions that (1) at least some </w:t>
      </w:r>
      <w:r w:rsidR="00793C28">
        <w:rPr>
          <w:rFonts w:eastAsiaTheme="minorEastAsia"/>
        </w:rPr>
        <w:t>portion of the population receives treatment and (2) at every st</w:t>
      </w:r>
      <w:r w:rsidR="00E80390">
        <w:rPr>
          <w:rFonts w:eastAsiaTheme="minorEastAsia"/>
        </w:rPr>
        <w:t>r</w:t>
      </w:r>
      <w:r w:rsidR="00793C28">
        <w:rPr>
          <w:rFonts w:eastAsiaTheme="minorEastAsia"/>
        </w:rPr>
        <w:t>atum/value of the covariate</w:t>
      </w:r>
      <w:r w:rsidR="00287A2B">
        <w:rPr>
          <w:rFonts w:eastAsiaTheme="minorEastAsia"/>
        </w:rPr>
        <w:t xml:space="preserve"> (together called the strong overlap assumption)</w:t>
      </w:r>
      <w:r w:rsidR="00793C28">
        <w:rPr>
          <w:rFonts w:eastAsiaTheme="minorEastAsia"/>
        </w:rPr>
        <w:t>, some portion of the population remains untreated</w:t>
      </w:r>
      <w:r w:rsidR="00FA40DA">
        <w:rPr>
          <w:rFonts w:eastAsiaTheme="minorEastAsia"/>
        </w:rPr>
        <w:t>, that is:</w:t>
      </w:r>
    </w:p>
    <w:p w14:paraId="78DE4A6D" w14:textId="444B0E28" w:rsidR="00FA40DA" w:rsidRPr="00C63D17" w:rsidRDefault="00E7570E" w:rsidP="00075E7F">
      <w:pPr>
        <w:spacing w:line="480" w:lineRule="auto"/>
        <w:ind w:firstLine="720"/>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d>
              <m:r>
                <w:rPr>
                  <w:rFonts w:ascii="Cambria Math" w:eastAsiaTheme="minorEastAsia" w:hAnsi="Cambria Math"/>
                </w:rPr>
                <m:t>&gt;0</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0&lt; 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&lt;1</m:t>
              </m:r>
            </m:e>
          </m:func>
        </m:oMath>
      </m:oMathPara>
    </w:p>
    <w:p w14:paraId="5E27B2F3" w14:textId="3633EFB0" w:rsidR="00C63D17" w:rsidRDefault="00C63D17" w:rsidP="00075E7F">
      <w:pPr>
        <w:spacing w:line="480" w:lineRule="auto"/>
        <w:rPr>
          <w:rFonts w:eastAsiaTheme="minorEastAsia"/>
        </w:rPr>
      </w:pPr>
      <w:r>
        <w:rPr>
          <w:rFonts w:eastAsiaTheme="minorEastAsia"/>
        </w:rPr>
        <w:t xml:space="preserve">then Abadie shows that the </w:t>
      </w:r>
      <w:r w:rsidR="001F6245">
        <w:rPr>
          <w:rFonts w:eastAsiaTheme="minorEastAsia"/>
        </w:rPr>
        <w:t xml:space="preserve">average treatment effect </w:t>
      </w:r>
      <w:r w:rsidR="00E97CD1">
        <w:rPr>
          <w:rFonts w:eastAsiaTheme="minorEastAsia"/>
        </w:rPr>
        <w:t xml:space="preserve">on the treated </w:t>
      </w:r>
      <w:r w:rsidR="001F6245">
        <w:rPr>
          <w:rFonts w:eastAsiaTheme="minorEastAsia"/>
        </w:rPr>
        <w:t xml:space="preserve">conditional 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1F6245">
        <w:rPr>
          <w:rFonts w:eastAsiaTheme="minorEastAsia"/>
        </w:rPr>
        <w:t xml:space="preserve"> is:</w:t>
      </w:r>
    </w:p>
    <w:p w14:paraId="08811E34" w14:textId="76C2B65E" w:rsidR="001F6245" w:rsidRPr="009374FB" w:rsidRDefault="00FB26D8" w:rsidP="00075E7F">
      <w:pPr>
        <w:spacing w:line="480" w:lineRule="auto"/>
        <w:rPr>
          <w:rFonts w:eastAsiaTheme="minorEastAsia"/>
        </w:rPr>
      </w:pPr>
      <m:oMathPara>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i,t=1</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0</m:t>
                  </m:r>
                </m:e>
              </m:d>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e>
              </m:d>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m:oMathPara>
    </w:p>
    <w:p w14:paraId="5DCC62EB" w14:textId="6E880A78" w:rsidR="009374FB" w:rsidRDefault="009374FB" w:rsidP="00075E7F">
      <w:pPr>
        <w:spacing w:line="480" w:lineRule="auto"/>
        <w:rPr>
          <w:rFonts w:eastAsiaTheme="minorEastAsia"/>
        </w:rPr>
      </w:pPr>
      <w:r>
        <w:rPr>
          <w:rFonts w:eastAsiaTheme="minorEastAsia"/>
        </w:rPr>
        <w:t>where</w:t>
      </w:r>
      <w:r w:rsidR="00EF3798">
        <w:rPr>
          <w:rFonts w:eastAsiaTheme="minorEastAsia"/>
        </w:rPr>
        <w:t>:</w:t>
      </w:r>
    </w:p>
    <w:p w14:paraId="413D8680" w14:textId="53A5F8BB" w:rsidR="009374FB" w:rsidRPr="00EF3798" w:rsidRDefault="00E7570E" w:rsidP="00075E7F">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func>
            </m:num>
            <m:den>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func>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func>
            </m:den>
          </m:f>
        </m:oMath>
      </m:oMathPara>
    </w:p>
    <w:p w14:paraId="3CFA4B9E" w14:textId="4FF555AA" w:rsidR="00EF3798" w:rsidRDefault="00EF3798" w:rsidP="00075E7F">
      <w:pPr>
        <w:spacing w:line="480" w:lineRule="auto"/>
        <w:rPr>
          <w:rFonts w:eastAsiaTheme="minorEastAsia"/>
        </w:rPr>
      </w:pPr>
      <w:r>
        <w:rPr>
          <w:rFonts w:eastAsiaTheme="minorEastAsia"/>
        </w:rPr>
        <w:t xml:space="preserve">The average treatment effect can be recovered </w:t>
      </w:r>
      <w:r w:rsidR="00AE2FD0">
        <w:rPr>
          <w:rFonts w:eastAsiaTheme="minorEastAsia"/>
        </w:rPr>
        <w:t>as:</w:t>
      </w:r>
    </w:p>
    <w:p w14:paraId="7DC220B8" w14:textId="767F38C5" w:rsidR="00AE2FD0" w:rsidRPr="00387A4C" w:rsidRDefault="004F240A" w:rsidP="00075E7F">
      <w:pPr>
        <w:spacing w:line="480" w:lineRule="auto"/>
        <w:rPr>
          <w:rFonts w:eastAsiaTheme="minorEastAsia"/>
        </w:rPr>
      </w:pPr>
      <m:oMathPara>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0</m:t>
                  </m:r>
                </m:e>
              </m:d>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0</m:t>
                      </m:r>
                    </m:e>
                  </m:d>
                </m:e>
              </m:d>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d</m:t>
          </m:r>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d>
            </m:e>
          </m:func>
          <m:r>
            <m:rPr>
              <m:sty m:val="p"/>
            </m:rPr>
            <w:rPr>
              <w:rFonts w:ascii="Cambria Math" w:eastAsiaTheme="minorEastAsia" w:hAnsi="Cambria Math"/>
            </w:rPr>
            <w:br/>
          </m:r>
        </m:oMath>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0</m:t>
                      </m:r>
                    </m:e>
                  </m:d>
                </m:num>
                <m:den>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d>
                    </m:e>
                  </m:func>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func>
                </m:num>
                <m:den>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e>
                          <m:r>
                            <w:rPr>
                              <w:rFonts w:ascii="Cambria Math" w:eastAsiaTheme="minorEastAsia" w:hAnsi="Cambria Math"/>
                            </w:rPr>
                            <m:t>X</m:t>
                          </m:r>
                        </m:e>
                      </m:d>
                    </m:e>
                  </m:func>
                </m:den>
              </m:f>
            </m:e>
          </m:d>
        </m:oMath>
      </m:oMathPara>
    </w:p>
    <w:p w14:paraId="2736E70C" w14:textId="0D0F5D8F" w:rsidR="00387A4C" w:rsidRDefault="00EC4EB9" w:rsidP="00075E7F">
      <w:pPr>
        <w:spacing w:line="480" w:lineRule="auto"/>
        <w:rPr>
          <w:rFonts w:eastAsiaTheme="minorEastAsia"/>
        </w:rPr>
      </w:pPr>
      <w:r>
        <w:rPr>
          <w:rFonts w:eastAsiaTheme="minorEastAsia"/>
        </w:rPr>
        <w:lastRenderedPageBreak/>
        <w:t xml:space="preserve">Abadie does not specify how </w:t>
      </w:r>
      <m:oMath>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func>
      </m:oMath>
      <w:r>
        <w:rPr>
          <w:rFonts w:eastAsiaTheme="minorEastAsia"/>
        </w:rPr>
        <w:t xml:space="preserve"> should be </w:t>
      </w:r>
      <w:r w:rsidR="008D003C">
        <w:rPr>
          <w:rFonts w:eastAsiaTheme="minorEastAsia"/>
        </w:rPr>
        <w:t xml:space="preserve">estimated. </w:t>
      </w:r>
      <w:r w:rsidR="00BD75CF">
        <w:rPr>
          <w:rFonts w:eastAsiaTheme="minorEastAsia"/>
        </w:rPr>
        <w:t xml:space="preserve">We need </w:t>
      </w:r>
      <w:r w:rsidR="004E3064">
        <w:rPr>
          <w:rFonts w:eastAsiaTheme="minorEastAsia"/>
        </w:rPr>
        <w:t>a</w:t>
      </w:r>
      <w:r w:rsidR="00BD75CF">
        <w:rPr>
          <w:rFonts w:eastAsiaTheme="minorEastAsia"/>
        </w:rPr>
        <w:t xml:space="preserve"> model </w:t>
      </w:r>
      <w:r w:rsidR="004E3064">
        <w:rPr>
          <w:rFonts w:eastAsiaTheme="minorEastAsia"/>
        </w:rPr>
        <w:t xml:space="preserve">for the probability of selection </w:t>
      </w:r>
      <m:oMath>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func>
      </m:oMath>
      <w:r w:rsidR="00C11DA7">
        <w:rPr>
          <w:rFonts w:eastAsiaTheme="minorEastAsia"/>
        </w:rPr>
        <w:t xml:space="preserve">. </w:t>
      </w:r>
      <w:r w:rsidR="008D003C">
        <w:rPr>
          <w:rFonts w:eastAsiaTheme="minorEastAsia"/>
        </w:rPr>
        <w:t xml:space="preserve">Commonly, </w:t>
      </w:r>
      <w:r w:rsidR="0057786C">
        <w:rPr>
          <w:rFonts w:eastAsiaTheme="minorEastAsia"/>
        </w:rPr>
        <w:t xml:space="preserve">researchers </w:t>
      </w:r>
      <w:r w:rsidR="00C11DA7">
        <w:rPr>
          <w:rFonts w:eastAsiaTheme="minorEastAsia"/>
        </w:rPr>
        <w:t xml:space="preserve">use </w:t>
      </w:r>
      <w:r w:rsidR="00332175">
        <w:rPr>
          <w:rFonts w:eastAsiaTheme="minorEastAsia"/>
        </w:rPr>
        <w:t>logit.</w:t>
      </w:r>
      <w:r w:rsidR="00824677">
        <w:rPr>
          <w:rFonts w:eastAsiaTheme="minorEastAsia"/>
        </w:rPr>
        <w:t xml:space="preserve"> However, other </w:t>
      </w:r>
      <w:r w:rsidR="00443B5C">
        <w:rPr>
          <w:rFonts w:eastAsiaTheme="minorEastAsia"/>
        </w:rPr>
        <w:t xml:space="preserve">methods that estimate </w:t>
      </w:r>
      <w:r w:rsidR="00975B79">
        <w:rPr>
          <w:rFonts w:eastAsiaTheme="minorEastAsia"/>
        </w:rPr>
        <w:t xml:space="preserve">the selection probability could also be used. </w:t>
      </w:r>
      <w:r w:rsidR="00BB33A8">
        <w:rPr>
          <w:rFonts w:eastAsiaTheme="minorEastAsia"/>
        </w:rPr>
        <w:t xml:space="preserve">The generalized maximum entropy approach for </w:t>
      </w:r>
      <w:r w:rsidR="0057786C">
        <w:rPr>
          <w:rFonts w:eastAsiaTheme="minorEastAsia"/>
        </w:rPr>
        <w:t>discrete</w:t>
      </w:r>
      <w:r w:rsidR="00BB33A8">
        <w:rPr>
          <w:rFonts w:eastAsiaTheme="minorEastAsia"/>
        </w:rPr>
        <w:t xml:space="preserve"> choice </w:t>
      </w:r>
      <w:r w:rsidR="00BB33A8">
        <w:rPr>
          <w:rFonts w:eastAsiaTheme="minorEastAsia"/>
        </w:rPr>
        <w:fldChar w:fldCharType="begin"/>
      </w:r>
      <w:r w:rsidR="00BB33A8">
        <w:rPr>
          <w:rFonts w:eastAsiaTheme="minorEastAsia"/>
        </w:rPr>
        <w:instrText xml:space="preserve"> ADDIN ZOTERO_ITEM CSL_CITATION {"citationID":"Lz9pCwyT","properties":{"formattedCitation":"(Golan, Judge, and Perloff 1996)","plainCitation":"(Golan, Judge, and Perloff 1996)","noteIndex":0},"citationItems":[{"id":943,"uris":["http://zotero.org/users/1226582/items/XSJAKL7C"],"itemData":{"id":943,"type":"article-journal","abstract":"The classical maximum entropy (ME) approach to estimating the unknown parameters of a multinomial discrete choice problem, which is equivalent to the maximum likelihood multinomial logit (ML) estimator, is generalized. The generalized maximum entropy (GME) model includes noise terms in the multinomial information constraints. Each noise term is modeled as the mean of a finite set of a priori known points in the interval [-1, 1] with unknown probabilities where no parametric assumptions about the error distribution are made. A GME model for the multinomial probabilities and for the distributions associated with the noise terms is derived by maximizing the joint entropy of multinomial and noise distributions, under the assumption of independence. The GME formulation reduces to the ME in the limit as the sample grows large or when no noise is included in the entropy maximization. Further, even though the GME and the logit estimators are conceptually different, the dual GME model is related to a generalized class of logit models. In finite samples, modeling the noise terms along with the multinomial probabilities results in a gain of efficiency of the GME over the ME and ML. In addition to analytical results, some extensions, sampling experiments, and an example based on real-world data are presented.","container-title":"Journal of the American Statistical Association","DOI":"10.2307/2291679","ISSN":"0162-1459","issue":"434","note":"publisher: [American Statistical Association, Taylor &amp; Francis, Ltd.]","page":"841-853","source":"JSTOR","title":"A Maximum Entropy Approach to Recovering Information From Multinomial Response Data","volume":"91","author":[{"family":"Golan","given":"Amos"},{"family":"Judge","given":"George"},{"family":"Perloff","given":"Jeffrey M."}],"issued":{"date-parts":[["1996"]]}}}],"schema":"https://github.com/citation-style-language/schema/raw/master/csl-citation.json"} </w:instrText>
      </w:r>
      <w:r w:rsidR="00BB33A8">
        <w:rPr>
          <w:rFonts w:eastAsiaTheme="minorEastAsia"/>
        </w:rPr>
        <w:fldChar w:fldCharType="separate"/>
      </w:r>
      <w:r w:rsidR="00BB33A8">
        <w:rPr>
          <w:rFonts w:eastAsiaTheme="minorEastAsia"/>
          <w:noProof/>
        </w:rPr>
        <w:t>(Golan, Judge, and Perloff 1996)</w:t>
      </w:r>
      <w:r w:rsidR="00BB33A8">
        <w:rPr>
          <w:rFonts w:eastAsiaTheme="minorEastAsia"/>
        </w:rPr>
        <w:fldChar w:fldCharType="end"/>
      </w:r>
      <w:r w:rsidR="00BB33A8">
        <w:rPr>
          <w:rFonts w:eastAsiaTheme="minorEastAsia"/>
        </w:rPr>
        <w:t xml:space="preserve">  </w:t>
      </w:r>
      <w:r w:rsidR="00831779">
        <w:rPr>
          <w:rFonts w:eastAsiaTheme="minorEastAsia"/>
        </w:rPr>
        <w:t xml:space="preserve">(of which </w:t>
      </w:r>
      <w:proofErr w:type="spellStart"/>
      <w:r w:rsidR="00831779">
        <w:rPr>
          <w:rFonts w:eastAsiaTheme="minorEastAsia"/>
        </w:rPr>
        <w:t>gme</w:t>
      </w:r>
      <w:proofErr w:type="spellEnd"/>
      <w:r w:rsidR="00831779">
        <w:rPr>
          <w:rFonts w:eastAsiaTheme="minorEastAsia"/>
        </w:rPr>
        <w:t xml:space="preserve"> logit is a special case, with only two choices) </w:t>
      </w:r>
      <w:r w:rsidR="00BB33A8">
        <w:rPr>
          <w:rFonts w:eastAsiaTheme="minorEastAsia"/>
        </w:rPr>
        <w:t xml:space="preserve">is known to have several advantages over traditional </w:t>
      </w:r>
      <w:r w:rsidR="001675DE">
        <w:rPr>
          <w:rFonts w:eastAsiaTheme="minorEastAsia"/>
        </w:rPr>
        <w:t>logit</w:t>
      </w:r>
      <w:r w:rsidR="00BB33A8">
        <w:rPr>
          <w:rFonts w:eastAsiaTheme="minorEastAsia"/>
        </w:rPr>
        <w:t>: it is efficient for small samples, avoids strong parametric assumptions, handles multicollinearity and is resilient to ill-conditioned data.</w:t>
      </w:r>
      <w:r w:rsidR="00AD64E3">
        <w:rPr>
          <w:rFonts w:eastAsiaTheme="minorEastAsia"/>
        </w:rPr>
        <w:t xml:space="preserve"> The theory of </w:t>
      </w:r>
      <w:proofErr w:type="spellStart"/>
      <w:r w:rsidR="00B801BD">
        <w:rPr>
          <w:rFonts w:eastAsiaTheme="minorEastAsia"/>
        </w:rPr>
        <w:t>gme</w:t>
      </w:r>
      <w:proofErr w:type="spellEnd"/>
      <w:r w:rsidR="00B801BD">
        <w:rPr>
          <w:rFonts w:eastAsiaTheme="minorEastAsia"/>
        </w:rPr>
        <w:t xml:space="preserve"> logit is recapped below (see Golan, Judge and Perloff 1996 for a more </w:t>
      </w:r>
      <w:r w:rsidR="001675DE">
        <w:rPr>
          <w:rFonts w:eastAsiaTheme="minorEastAsia"/>
        </w:rPr>
        <w:t>thorough</w:t>
      </w:r>
      <w:r w:rsidR="00B801BD">
        <w:rPr>
          <w:rFonts w:eastAsiaTheme="minorEastAsia"/>
        </w:rPr>
        <w:t xml:space="preserve"> development).</w:t>
      </w:r>
    </w:p>
    <w:p w14:paraId="3B736ECD" w14:textId="77777777" w:rsidR="002B58A9" w:rsidRDefault="002B58A9" w:rsidP="00075E7F">
      <w:pPr>
        <w:spacing w:line="480" w:lineRule="auto"/>
        <w:rPr>
          <w:rFonts w:eastAsiaTheme="minorEastAsia"/>
        </w:rPr>
      </w:pPr>
    </w:p>
    <w:p w14:paraId="6275AFD3" w14:textId="743475BA" w:rsidR="00D9144D" w:rsidRDefault="00D9144D" w:rsidP="00075E7F">
      <w:pPr>
        <w:spacing w:line="480" w:lineRule="auto"/>
        <w:rPr>
          <w:rFonts w:eastAsiaTheme="minorEastAsia"/>
        </w:rPr>
      </w:pPr>
      <w:r>
        <w:rPr>
          <w:rFonts w:eastAsiaTheme="minorEastAsia"/>
        </w:rPr>
        <w:t xml:space="preserve">Assume that </w:t>
      </w:r>
      <m:oMath>
        <m:r>
          <w:rPr>
            <w:rFonts w:ascii="Cambria Math" w:eastAsiaTheme="minorEastAsia" w:hAnsi="Cambria Math"/>
          </w:rPr>
          <m:t>T</m:t>
        </m:r>
      </m:oMath>
      <w:r>
        <w:rPr>
          <w:rFonts w:eastAsiaTheme="minorEastAsia"/>
        </w:rPr>
        <w:t xml:space="preserve"> units are observed, where each unit is either selected into treatment or not. Let</w:t>
      </w:r>
    </w:p>
    <w:p w14:paraId="57E70F29" w14:textId="77777777" w:rsidR="00D9144D" w:rsidRPr="007E43E6" w:rsidRDefault="00E7570E" w:rsidP="00075E7F">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Prob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β</m:t>
              </m:r>
            </m:e>
          </m:d>
          <m: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β</m:t>
              </m:r>
            </m:e>
          </m:d>
        </m:oMath>
      </m:oMathPara>
    </w:p>
    <w:p w14:paraId="563D8C1B" w14:textId="77777777" w:rsidR="00D9144D" w:rsidRDefault="00D9144D" w:rsidP="00075E7F">
      <w:pPr>
        <w:spacing w:line="480" w:lineRule="auto"/>
        <w:rPr>
          <w:rFonts w:eastAsiaTheme="minorEastAsia"/>
        </w:rPr>
      </w:pPr>
      <w:r>
        <w:rPr>
          <w:rFonts w:eastAsiaTheme="minorEastAsia"/>
        </w:rPr>
        <w:t xml:space="preserve">be the probability of observing unit </w:t>
      </w:r>
      <m:oMath>
        <m:r>
          <w:rPr>
            <w:rFonts w:ascii="Cambria Math" w:eastAsiaTheme="minorEastAsia" w:hAnsi="Cambria Math"/>
          </w:rPr>
          <m:t>i∈[1,2,… T]</m:t>
        </m:r>
      </m:oMath>
      <w:r>
        <w:rPr>
          <w:rFonts w:eastAsiaTheme="minorEastAsia"/>
        </w:rPr>
        <w:t xml:space="preserve"> in the treatment state, conditional on covariates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(of dimension </w:t>
      </w:r>
      <m:oMath>
        <m:r>
          <w:rPr>
            <w:rFonts w:ascii="Cambria Math" w:eastAsiaTheme="minorEastAsia" w:hAnsi="Cambria Math"/>
          </w:rPr>
          <m:t xml:space="preserve">1×K) </m:t>
        </m:r>
      </m:oMath>
      <w:r>
        <w:rPr>
          <w:rFonts w:eastAsiaTheme="minorEastAsia"/>
        </w:rPr>
        <w:t xml:space="preserve">and unknown parameters </w:t>
      </w:r>
      <m:oMath>
        <m:r>
          <w:rPr>
            <w:rFonts w:ascii="Cambria Math" w:eastAsiaTheme="minorEastAsia" w:hAnsi="Cambria Math"/>
          </w:rPr>
          <m:t>β</m:t>
        </m:r>
      </m:oMath>
      <w:r>
        <w:rPr>
          <w:rFonts w:eastAsiaTheme="minorEastAsia"/>
        </w:rPr>
        <w:t xml:space="preserve"> (of dimension </w:t>
      </w:r>
      <m:oMath>
        <m:r>
          <w:rPr>
            <w:rFonts w:ascii="Cambria Math" w:eastAsiaTheme="minorEastAsia" w:hAnsi="Cambria Math"/>
          </w:rPr>
          <m:t>K ×1</m:t>
        </m:r>
      </m:oMath>
      <w:r>
        <w:rPr>
          <w:rFonts w:eastAsiaTheme="minorEastAsia"/>
        </w:rPr>
        <w:t>). If we have noisy data, we can write</w:t>
      </w:r>
    </w:p>
    <w:p w14:paraId="1234DD73" w14:textId="77777777" w:rsidR="00D9144D" w:rsidRPr="007E43E6" w:rsidRDefault="00E7570E" w:rsidP="00075E7F">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m:oMathPara>
    </w:p>
    <w:p w14:paraId="11203F00" w14:textId="178756E8" w:rsidR="00D9144D" w:rsidRDefault="00D9144D" w:rsidP="00075E7F">
      <w:pPr>
        <w:spacing w:line="480" w:lineRule="auto"/>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denotes the unknown and unobservable probability of selection 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Pr>
          <w:rFonts w:eastAsiaTheme="minorEastAsia"/>
        </w:rPr>
        <w:t xml:space="preserve"> is a noise component for each observation contained in </w:t>
      </w:r>
      <m:oMath>
        <m:r>
          <w:rPr>
            <w:rFonts w:ascii="Cambria Math" w:eastAsiaTheme="minorEastAsia" w:hAnsi="Cambria Math"/>
          </w:rPr>
          <m:t>[-1, 1]</m:t>
        </m:r>
      </m:oMath>
      <w:r>
        <w:rPr>
          <w:rFonts w:eastAsiaTheme="minorEastAsia"/>
        </w:rPr>
        <w:t xml:space="preserve">. </w:t>
      </w:r>
      <w:r w:rsidR="00511C29">
        <w:rPr>
          <w:rFonts w:eastAsiaTheme="minorEastAsia"/>
        </w:rPr>
        <w:t xml:space="preserve">We </w:t>
      </w:r>
      <w:r>
        <w:rPr>
          <w:rFonts w:eastAsiaTheme="minorEastAsia"/>
        </w:rPr>
        <w:t>reparametrize the error component</w:t>
      </w:r>
      <w:r w:rsidR="00511C29">
        <w:rPr>
          <w:rFonts w:eastAsiaTheme="minorEastAsia"/>
        </w:rPr>
        <w:t xml:space="preserve"> as</w:t>
      </w:r>
      <w:r>
        <w:rPr>
          <w:rFonts w:eastAsiaTheme="minorEastAsia"/>
        </w:rPr>
        <w:t>:</w:t>
      </w:r>
    </w:p>
    <w:p w14:paraId="1D1D9BA6" w14:textId="77777777" w:rsidR="00D9144D" w:rsidRPr="000B06C9" w:rsidRDefault="00E7570E" w:rsidP="00075E7F">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h</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r>
                    <w:rPr>
                      <w:rFonts w:ascii="Cambria Math" w:eastAsiaTheme="minorEastAsia" w:hAnsi="Cambria Math"/>
                    </w:rPr>
                    <m:t>h</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r>
                    <w:rPr>
                      <w:rFonts w:ascii="Cambria Math" w:eastAsiaTheme="minorEastAsia" w:hAnsi="Cambria Math"/>
                    </w:rPr>
                    <m:t>h</m:t>
                  </m:r>
                </m:sub>
              </m:sSub>
            </m:e>
          </m:nary>
        </m:oMath>
      </m:oMathPara>
    </w:p>
    <w:p w14:paraId="13E8EF12" w14:textId="4231B23C" w:rsidR="00D9144D" w:rsidRDefault="00D9144D" w:rsidP="00075E7F">
      <w:pPr>
        <w:spacing w:line="480" w:lineRule="auto"/>
        <w:rPr>
          <w:rFonts w:eastAsiaTheme="minorEastAsia"/>
        </w:rPr>
      </w:pPr>
      <w:r>
        <w:rPr>
          <w:rFonts w:eastAsiaTheme="minorEastAsia"/>
        </w:rPr>
        <w:t xml:space="preserve">where </w:t>
      </w:r>
      <m:oMath>
        <m:nary>
          <m:naryPr>
            <m:chr m:val="∑"/>
            <m:supHide m:val="1"/>
            <m:ctrlPr>
              <w:rPr>
                <w:rFonts w:ascii="Cambria Math" w:eastAsiaTheme="minorEastAsia" w:hAnsi="Cambria Math"/>
                <w:i/>
              </w:rPr>
            </m:ctrlPr>
          </m:naryPr>
          <m:sub>
            <m:r>
              <w:rPr>
                <w:rFonts w:ascii="Cambria Math" w:eastAsiaTheme="minorEastAsia" w:hAnsi="Cambria Math"/>
              </w:rPr>
              <m:t>h</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m:t>
                </m:r>
              </m:sub>
            </m:sSub>
          </m:e>
        </m:nary>
        <m:r>
          <w:rPr>
            <w:rFonts w:ascii="Cambria Math" w:eastAsiaTheme="minorEastAsia" w:hAnsi="Cambria Math"/>
          </w:rPr>
          <m:t>=1</m:t>
        </m:r>
      </m:oMath>
      <w:r>
        <w:rPr>
          <w:rFonts w:eastAsiaTheme="minorEastAsia"/>
        </w:rPr>
        <w:t xml:space="preserve"> are an H-dimensional vector of weights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are the H-dimensional support space. </w:t>
      </w:r>
      <w:r>
        <w:rPr>
          <w:rFonts w:eastAsiaTheme="minorEastAsia"/>
        </w:rPr>
        <w:fldChar w:fldCharType="begin"/>
      </w:r>
      <w:r>
        <w:rPr>
          <w:rFonts w:eastAsiaTheme="minorEastAsia"/>
        </w:rPr>
        <w:instrText xml:space="preserve"> ADDIN ZOTERO_ITEM CSL_CITATION {"citationID":"RCf3PyLr","properties":{"formattedCitation":"(Golan, Judge, and Perloff 1996)","plainCitation":"(Golan, Judge, and Perloff 1996)","noteIndex":0},"citationItems":[{"id":943,"uris":["http://zotero.org/users/1226582/items/XSJAKL7C"],"itemData":{"id":943,"type":"article-journal","abstract":"The classical maximum entropy (ME) approach to estimating the unknown parameters of a multinomial discrete choice problem, which is equivalent to the maximum likelihood multinomial logit (ML) estimator, is generalized. The generalized maximum entropy (GME) model includes noise terms in the multinomial information constraints. Each noise term is modeled as the mean of a finite set of a priori known points in the interval [-1, 1] with unknown probabilities where no parametric assumptions about the error distribution are made. A GME model for the multinomial probabilities and for the distributions associated with the noise terms is derived by maximizing the joint entropy of multinomial and noise distributions, under the assumption of independence. The GME formulation reduces to the ME in the limit as the sample grows large or when no noise is included in the entropy maximization. Further, even though the GME and the logit estimators are conceptually different, the dual GME model is related to a generalized class of logit models. In finite samples, modeling the noise terms along with the multinomial probabilities results in a gain of efficiency of the GME over the ME and ML. In addition to analytical results, some extensions, sampling experiments, and an example based on real-world data are presented.","container-title":"Journal of the American Statistical Association","DOI":"10.2307/2291679","ISSN":"0162-1459","issue":"434","note":"publisher: [American Statistical Association, Taylor &amp; Francis, Ltd.]","page":"841-853","source":"JSTOR","title":"A Maximum Entropy Approach to Recovering Information From Multinomial Response Data","volume":"91","author":[{"family":"Golan","given":"Amos"},{"family":"Judge","given":"George"},{"family":"Perloff","given":"Jeffrey M."}],"issued":{"date-parts":[["1996"]]}}}],"schema":"https://github.com/citation-style-language/schema/raw/master/csl-citation.json"} </w:instrText>
      </w:r>
      <w:r>
        <w:rPr>
          <w:rFonts w:eastAsiaTheme="minorEastAsia"/>
        </w:rPr>
        <w:fldChar w:fldCharType="separate"/>
      </w:r>
      <w:r>
        <w:rPr>
          <w:rFonts w:eastAsiaTheme="minorEastAsia"/>
          <w:noProof/>
        </w:rPr>
        <w:t>(Golan, Judge, and Perloff 1996)</w:t>
      </w:r>
      <w:r>
        <w:rPr>
          <w:rFonts w:eastAsiaTheme="minorEastAsia"/>
        </w:rPr>
        <w:fldChar w:fldCharType="end"/>
      </w:r>
      <w:r>
        <w:rPr>
          <w:rFonts w:eastAsiaTheme="minorEastAsia"/>
        </w:rPr>
        <w:t xml:space="preserve"> suggest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T</m:t>
                    </m:r>
                  </m:e>
                </m:rad>
              </m:den>
            </m:f>
            <m:r>
              <w:rPr>
                <w:rFonts w:ascii="Cambria Math" w:eastAsiaTheme="minorEastAsia" w:hAnsi="Cambria Math"/>
              </w:rPr>
              <m:t>,</m:t>
            </m:r>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T</m:t>
                    </m:r>
                  </m:e>
                </m:rad>
              </m:den>
            </m:f>
          </m:e>
        </m:d>
      </m:oMath>
      <w:r>
        <w:rPr>
          <w:rFonts w:eastAsiaTheme="minorEastAsia"/>
        </w:rPr>
        <w:t xml:space="preserve"> and thus </w:t>
      </w:r>
      <m:oMath>
        <m:r>
          <w:rPr>
            <w:rFonts w:ascii="Cambria Math" w:eastAsiaTheme="minorEastAsia" w:hAnsi="Cambria Math"/>
          </w:rPr>
          <m:t>H=3</m:t>
        </m:r>
      </m:oMath>
      <w:r>
        <w:rPr>
          <w:rFonts w:eastAsiaTheme="minorEastAsia"/>
        </w:rPr>
        <w:t>.</w:t>
      </w:r>
    </w:p>
    <w:p w14:paraId="6A284F1E" w14:textId="149DB748" w:rsidR="00D9144D" w:rsidRDefault="00D9144D" w:rsidP="00075E7F">
      <w:pPr>
        <w:spacing w:line="480" w:lineRule="auto"/>
      </w:pPr>
      <w:r>
        <w:t>We now maximize the entropy of the error augmented probability distribution:</w:t>
      </w:r>
    </w:p>
    <w:p w14:paraId="277019FA" w14:textId="77777777" w:rsidR="00D9144D" w:rsidRPr="00A459DA" w:rsidRDefault="00E7570E" w:rsidP="00075E7F">
      <w:pPr>
        <w:spacing w:line="480" w:lineRule="auto"/>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p</m:t>
                  </m:r>
                  <m:r>
                    <w:rPr>
                      <w:rFonts w:ascii="Cambria Math" w:hAnsi="Cambria Math"/>
                    </w:rPr>
                    <m:t>,</m:t>
                  </m:r>
                  <m:r>
                    <w:rPr>
                      <w:rFonts w:ascii="Cambria Math" w:hAnsi="Cambria Math"/>
                    </w:rPr>
                    <m:t>w</m:t>
                  </m:r>
                  <m:ctrlPr>
                    <w:rPr>
                      <w:rFonts w:ascii="Cambria Math" w:hAnsi="Cambria Math"/>
                    </w:rPr>
                  </m:ctrlPr>
                </m:lim>
              </m:limLow>
            </m:fName>
            <m:e>
              <m:d>
                <m:dPr>
                  <m:ctrlPr>
                    <w:rPr>
                      <w:rFonts w:ascii="Cambria Math" w:hAnsi="Cambria Math"/>
                      <w:i/>
                    </w:rPr>
                  </m:ctrlPr>
                </m:dPr>
                <m:e>
                  <m:r>
                    <w:rPr>
                      <w:rFonts w:ascii="Cambria Math" w:hAnsi="Cambria Math"/>
                    </w:rPr>
                    <m:t>-</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r>
                    <w:rPr>
                      <w:rFonts w:ascii="Cambria Math" w:hAnsi="Cambria Math"/>
                    </w:rPr>
                    <m:t>-</m:t>
                  </m:r>
                  <m:nary>
                    <m:naryPr>
                      <m:chr m:val="∑"/>
                      <m:supHide m:val="1"/>
                      <m:ctrlPr>
                        <w:rPr>
                          <w:rFonts w:ascii="Cambria Math" w:hAnsi="Cambria Math"/>
                          <w:i/>
                        </w:rPr>
                      </m:ctrlPr>
                    </m:naryPr>
                    <m:sub>
                      <m:r>
                        <w:rPr>
                          <w:rFonts w:ascii="Cambria Math" w:hAnsi="Cambria Math"/>
                        </w:rPr>
                        <m:t>ij</m:t>
                      </m:r>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ij</m:t>
                          </m:r>
                          <m:r>
                            <w:rPr>
                              <w:rFonts w:ascii="Cambria Math" w:hAnsi="Cambria Math"/>
                            </w:rPr>
                            <m:t>h</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w</m:t>
                              </m:r>
                            </m:e>
                            <m:sub>
                              <m:r>
                                <w:rPr>
                                  <w:rFonts w:ascii="Cambria Math" w:hAnsi="Cambria Math"/>
                                </w:rPr>
                                <m:t>ij</m:t>
                              </m:r>
                              <m:r>
                                <w:rPr>
                                  <w:rFonts w:ascii="Cambria Math" w:hAnsi="Cambria Math"/>
                                </w:rPr>
                                <m:t>h</m:t>
                              </m:r>
                            </m:sub>
                          </m:sSub>
                        </m:e>
                      </m:func>
                    </m:e>
                  </m:nary>
                </m:e>
              </m:d>
            </m:e>
          </m:func>
        </m:oMath>
      </m:oMathPara>
    </w:p>
    <w:p w14:paraId="12A14AC3" w14:textId="77777777" w:rsidR="00D9144D" w:rsidRDefault="00D9144D" w:rsidP="00075E7F">
      <w:pPr>
        <w:spacing w:line="480" w:lineRule="auto"/>
      </w:pPr>
      <w:r>
        <w:t xml:space="preserve">subject to the </w:t>
      </w:r>
      <m:oMath>
        <m:r>
          <w:rPr>
            <w:rFonts w:ascii="Cambria Math" w:hAnsi="Cambria Math"/>
          </w:rPr>
          <m:t>K</m:t>
        </m:r>
      </m:oMath>
      <w:r>
        <w:t xml:space="preserve"> moment constraints imposed by the data, where the </w:t>
      </w:r>
      <m:oMath>
        <m:r>
          <w:rPr>
            <w:rFonts w:ascii="Cambria Math" w:hAnsi="Cambria Math"/>
          </w:rPr>
          <m:t>k</m:t>
        </m:r>
      </m:oMath>
      <w:r>
        <w:t>-th constraint is:</w:t>
      </w:r>
    </w:p>
    <w:p w14:paraId="50BDE47E" w14:textId="77777777" w:rsidR="00D9144D" w:rsidRPr="00246DE5" w:rsidRDefault="00E7570E" w:rsidP="00075E7F">
      <w:pPr>
        <w:spacing w:line="480" w:lineRule="auto"/>
      </w:pPr>
      <m:oMathPara>
        <m:oMath>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supHide m:val="1"/>
              <m:ctrlPr>
                <w:rPr>
                  <w:rFonts w:ascii="Cambria Math" w:hAnsi="Cambria Math"/>
                  <w:i/>
                </w:rPr>
              </m:ctrlPr>
            </m:naryPr>
            <m:sub>
              <m:r>
                <w:rPr>
                  <w:rFonts w:ascii="Cambria Math" w:hAnsi="Cambria Math"/>
                </w:rPr>
                <m:t>i</m:t>
              </m:r>
              <m:r>
                <w:rPr>
                  <w:rFonts w:ascii="Cambria Math" w:hAnsi="Cambria Math"/>
                </w:rPr>
                <m:t>h</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h</m:t>
                  </m:r>
                </m:sub>
              </m:s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h</m:t>
                  </m:r>
                </m:sub>
              </m:sSub>
            </m:e>
          </m:nary>
        </m:oMath>
      </m:oMathPara>
    </w:p>
    <w:p w14:paraId="1FF3A4D2" w14:textId="77777777" w:rsidR="00D9144D" w:rsidRDefault="00D9144D" w:rsidP="00075E7F">
      <w:pPr>
        <w:spacing w:line="480" w:lineRule="auto"/>
      </w:pPr>
      <w:r>
        <w:t>and the adding up constraints</w:t>
      </w:r>
    </w:p>
    <w:p w14:paraId="6106C71B" w14:textId="77777777" w:rsidR="00D9144D" w:rsidRPr="00B538D9" w:rsidRDefault="00E7570E" w:rsidP="00075E7F">
      <w:pPr>
        <w:spacing w:line="480" w:lineRule="auto"/>
      </w:pPr>
      <m:oMathPara>
        <m:oMath>
          <m:nary>
            <m:naryPr>
              <m:chr m:val="∑"/>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r>
            <m:rPr>
              <m:sty m:val="p"/>
            </m:rPr>
            <w:rPr>
              <w:rFonts w:ascii="Cambria Math" w:hAnsi="Cambria Math"/>
            </w:rPr>
            <w:br/>
          </m:r>
        </m:oMath>
        <m:oMath>
          <m:nary>
            <m:naryPr>
              <m:chr m:val="∑"/>
              <m:supHide m:val="1"/>
              <m:ctrlPr>
                <w:rPr>
                  <w:rFonts w:ascii="Cambria Math" w:hAnsi="Cambria Math"/>
                  <w:i/>
                </w:rPr>
              </m:ctrlPr>
            </m:naryPr>
            <m:sub>
              <m:r>
                <w:rPr>
                  <w:rFonts w:ascii="Cambria Math" w:hAnsi="Cambria Math"/>
                </w:rPr>
                <m:t>j</m:t>
              </m:r>
              <m:r>
                <w:rPr>
                  <w:rFonts w:ascii="Cambria Math" w:hAnsi="Cambria Math"/>
                </w:rPr>
                <m:t>∈</m:t>
              </m:r>
              <m:d>
                <m:dPr>
                  <m:begChr m:val="["/>
                  <m:endChr m:val="]"/>
                  <m:ctrlPr>
                    <w:rPr>
                      <w:rFonts w:ascii="Cambria Math" w:hAnsi="Cambria Math"/>
                      <w:i/>
                    </w:rPr>
                  </m:ctrlPr>
                </m:dPr>
                <m:e>
                  <m:r>
                    <w:rPr>
                      <w:rFonts w:ascii="Cambria Math" w:hAnsi="Cambria Math"/>
                    </w:rPr>
                    <m:t>0,1</m:t>
                  </m:r>
                </m:e>
              </m:d>
            </m:sub>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=1</m:t>
              </m:r>
            </m:e>
          </m:nary>
        </m:oMath>
      </m:oMathPara>
    </w:p>
    <w:p w14:paraId="5C114733" w14:textId="77777777" w:rsidR="00D9144D" w:rsidRDefault="00D9144D" w:rsidP="00075E7F">
      <w:pPr>
        <w:spacing w:line="480" w:lineRule="auto"/>
      </w:pPr>
      <w:r>
        <w:t>We can solve the above using the method of Lagrange multipliers. In matrix-form:</w:t>
      </w:r>
    </w:p>
    <w:p w14:paraId="1DE55B0D" w14:textId="77777777" w:rsidR="00D9144D" w:rsidRPr="009F7BD0" w:rsidRDefault="00D9144D" w:rsidP="00075E7F">
      <w:pPr>
        <w:spacing w:line="480" w:lineRule="auto"/>
      </w:pPr>
      <m:oMathPara>
        <m:oMath>
          <m:r>
            <m:rPr>
              <m:scr m:val="script"/>
            </m:rPr>
            <w:rPr>
              <w:rFonts w:ascii="Cambria Math" w:hAnsi="Cambria Math"/>
            </w:rPr>
            <m:t>L=</m:t>
          </m:r>
          <m:r>
            <m:rPr>
              <m:sty m:val="bi"/>
            </m:rPr>
            <w:rPr>
              <w:rFonts w:ascii="Cambria Math" w:hAnsi="Cambria Math"/>
            </w:rPr>
            <m:t>-p</m:t>
          </m:r>
          <m:func>
            <m:funcPr>
              <m:ctrlPr>
                <w:rPr>
                  <w:rFonts w:ascii="Cambria Math" w:hAnsi="Cambria Math"/>
                  <w:i/>
                </w:rPr>
              </m:ctrlPr>
            </m:funcPr>
            <m:fName>
              <m:r>
                <m:rPr>
                  <m:sty m:val="p"/>
                </m:rPr>
                <w:rPr>
                  <w:rFonts w:ascii="Cambria Math" w:hAnsi="Cambria Math"/>
                </w:rPr>
                <m:t>ln</m:t>
              </m:r>
            </m:fName>
            <m:e>
              <m:r>
                <w:rPr>
                  <w:rFonts w:ascii="Cambria Math" w:hAnsi="Cambria Math"/>
                </w:rPr>
                <m:t>p</m:t>
              </m:r>
            </m:e>
          </m:func>
          <m:r>
            <w:rPr>
              <w:rFonts w:ascii="Cambria Math" w:hAnsi="Cambria Math"/>
            </w:rPr>
            <m:t>-</m:t>
          </m:r>
          <m:sSup>
            <m:sSupPr>
              <m:ctrlPr>
                <w:rPr>
                  <w:rFonts w:ascii="Cambria Math" w:hAnsi="Cambria Math"/>
                  <w:b/>
                  <w:bCs/>
                  <w:i/>
                </w:rPr>
              </m:ctrlPr>
            </m:sSupPr>
            <m:e>
              <m:r>
                <m:rPr>
                  <m:sty m:val="bi"/>
                </m:rPr>
                <w:rPr>
                  <w:rFonts w:ascii="Cambria Math" w:hAnsi="Cambria Math"/>
                </w:rPr>
                <m:t>w</m:t>
              </m:r>
              <m:ctrlPr>
                <w:rPr>
                  <w:rFonts w:ascii="Cambria Math" w:hAnsi="Cambria Math"/>
                  <w:i/>
                </w:rPr>
              </m:ctrlPr>
            </m:e>
            <m:sup>
              <m:r>
                <m:rPr>
                  <m:sty m:val="bi"/>
                </m:rPr>
                <w:rPr>
                  <w:rFonts w:ascii="Cambria Math" w:hAnsi="Cambria Math"/>
                </w:rPr>
                <m:t>'</m:t>
              </m:r>
            </m:sup>
          </m:sSup>
          <m:func>
            <m:funcPr>
              <m:ctrlPr>
                <w:rPr>
                  <w:rFonts w:ascii="Cambria Math" w:hAnsi="Cambria Math"/>
                  <w:i/>
                </w:rPr>
              </m:ctrlPr>
            </m:funcPr>
            <m:fName>
              <m:r>
                <m:rPr>
                  <m:sty m:val="p"/>
                </m:rPr>
                <w:rPr>
                  <w:rFonts w:ascii="Cambria Math" w:hAnsi="Cambria Math"/>
                </w:rPr>
                <m:t>ln</m:t>
              </m:r>
            </m:fName>
            <m:e>
              <m:r>
                <m:rPr>
                  <m:sty m:val="bi"/>
                </m:rPr>
                <w:rPr>
                  <w:rFonts w:ascii="Cambria Math" w:hAnsi="Cambria Math"/>
                </w:rPr>
                <m:t>w</m:t>
              </m:r>
            </m:e>
          </m:func>
          <m:r>
            <w:rPr>
              <w:rFonts w:ascii="Cambria Math" w:hAnsi="Cambria Math"/>
            </w:rPr>
            <m:t>+</m:t>
          </m:r>
          <m:sSup>
            <m:sSupPr>
              <m:ctrlPr>
                <w:rPr>
                  <w:rFonts w:ascii="Cambria Math" w:hAnsi="Cambria Math"/>
                  <w:b/>
                  <w:bCs/>
                  <w:i/>
                </w:rPr>
              </m:ctrlPr>
            </m:sSupPr>
            <m:e>
              <m:r>
                <m:rPr>
                  <m:sty m:val="bi"/>
                </m:rPr>
                <w:rPr>
                  <w:rFonts w:ascii="Cambria Math" w:hAnsi="Cambria Math"/>
                </w:rPr>
                <m:t>λ</m:t>
              </m:r>
              <m:ctrlPr>
                <w:rPr>
                  <w:rFonts w:ascii="Cambria Math" w:hAnsi="Cambria Math"/>
                  <w:i/>
                </w:rPr>
              </m:ctrlPr>
            </m:e>
            <m:sup>
              <m:r>
                <m:rPr>
                  <m:sty m:val="bi"/>
                </m:rPr>
                <w:rPr>
                  <w:rFonts w:ascii="Cambria Math" w:hAnsi="Cambria Math"/>
                </w:rPr>
                <m:t>'</m:t>
              </m:r>
            </m:sup>
          </m:sSup>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m:rPr>
                  <m:sty m:val="bi"/>
                </m:rPr>
                <w:rPr>
                  <w:rFonts w:ascii="Cambria Math" w:hAnsi="Cambria Math"/>
                </w:rPr>
                <m:t>p+</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m:rPr>
                  <m:sty m:val="bi"/>
                </m:rPr>
                <w:rPr>
                  <w:rFonts w:ascii="Cambria Math" w:hAnsi="Cambria Math"/>
                </w:rPr>
                <m:t>Vw-</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m:rPr>
                  <m:sty m:val="bi"/>
                </m:rPr>
                <w:rPr>
                  <w:rFonts w:ascii="Cambria Math" w:hAnsi="Cambria Math"/>
                </w:rPr>
                <m:t>y</m:t>
              </m:r>
              <m:ctrlPr>
                <w:rPr>
                  <w:rFonts w:ascii="Cambria Math" w:hAnsi="Cambria Math"/>
                  <w:i/>
                </w:rPr>
              </m:ctrlPr>
            </m:e>
          </m:d>
          <m:r>
            <w:rPr>
              <w:rFonts w:ascii="Cambria Math" w:hAnsi="Cambria Math"/>
            </w:rPr>
            <m:t>+</m:t>
          </m:r>
          <m:sSup>
            <m:sSupPr>
              <m:ctrlPr>
                <w:rPr>
                  <w:rFonts w:ascii="Cambria Math" w:hAnsi="Cambria Math"/>
                  <w:b/>
                  <w:bCs/>
                  <w:i/>
                </w:rPr>
              </m:ctrlPr>
            </m:sSupPr>
            <m:e>
              <m:r>
                <m:rPr>
                  <m:sty m:val="bi"/>
                </m:rPr>
                <w:rPr>
                  <w:rFonts w:ascii="Cambria Math" w:hAnsi="Cambria Math"/>
                </w:rPr>
                <m:t>μ</m:t>
              </m:r>
            </m:e>
            <m:sup>
              <m:r>
                <m:rPr>
                  <m:sty m:val="bi"/>
                </m:rPr>
                <w:rPr>
                  <w:rFonts w:ascii="Cambria Math" w:hAnsi="Cambria Math"/>
                </w:rPr>
                <m:t>'</m:t>
              </m:r>
            </m:sup>
          </m:s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T</m:t>
                  </m:r>
                </m:sub>
              </m:sSub>
              <m:r>
                <m:rPr>
                  <m:sty m:val="bi"/>
                </m:rPr>
                <w:rPr>
                  <w:rFonts w:ascii="Cambria Math" w:hAnsi="Cambria Math"/>
                </w:rPr>
                <m:t>p</m:t>
              </m:r>
            </m:e>
          </m:d>
          <m:r>
            <w:rPr>
              <w:rFonts w:ascii="Cambria Math" w:hAnsi="Cambria Math"/>
            </w:rPr>
            <m:t>+</m:t>
          </m:r>
          <m:r>
            <m:rPr>
              <m:sty m:val="bi"/>
            </m:rPr>
            <w:rPr>
              <w:rFonts w:ascii="Cambria Math" w:hAnsi="Cambria Math"/>
            </w:rPr>
            <m:t>ρ</m:t>
          </m:r>
          <m:r>
            <w:rPr>
              <w:rFonts w:ascii="Cambria Math" w:hAnsi="Cambria Math"/>
            </w:rPr>
            <m:t>'(1-</m:t>
          </m:r>
          <m:sSup>
            <m:sSupPr>
              <m:ctrlPr>
                <w:rPr>
                  <w:rFonts w:ascii="Cambria Math" w:hAnsi="Cambria Math"/>
                  <w:b/>
                  <w:bCs/>
                  <w:i/>
                </w:rPr>
              </m:ctrlPr>
            </m:sSupPr>
            <m:e>
              <m:r>
                <m:rPr>
                  <m:sty m:val="bi"/>
                </m:rPr>
                <w:rPr>
                  <w:rFonts w:ascii="Cambria Math" w:hAnsi="Cambria Math"/>
                </w:rPr>
                <m:t>1</m:t>
              </m:r>
              <m:ctrlPr>
                <w:rPr>
                  <w:rFonts w:ascii="Cambria Math" w:hAnsi="Cambria Math"/>
                  <w:i/>
                </w:rPr>
              </m:ctrlPr>
            </m:e>
            <m:sup>
              <m:r>
                <m:rPr>
                  <m:sty m:val="bi"/>
                </m:rPr>
                <w:rPr>
                  <w:rFonts w:ascii="Cambria Math" w:hAnsi="Cambria Math"/>
                </w:rPr>
                <m:t>'</m:t>
              </m:r>
            </m:sup>
          </m:sSup>
          <m:r>
            <w:rPr>
              <w:rFonts w:ascii="Cambria Math" w:hAnsi="Cambria Math"/>
            </w:rPr>
            <m:t>w)</m:t>
          </m:r>
        </m:oMath>
      </m:oMathPara>
    </w:p>
    <w:p w14:paraId="02E2CE4E" w14:textId="77777777" w:rsidR="00D9144D" w:rsidRDefault="00D9144D" w:rsidP="00075E7F">
      <w:pPr>
        <w:spacing w:line="480" w:lineRule="auto"/>
      </w:pPr>
      <w:r>
        <w:t xml:space="preserve">where </w:t>
      </w:r>
      <m:oMath>
        <m:r>
          <m:rPr>
            <m:sty m:val="bi"/>
          </m:rPr>
          <w:rPr>
            <w:rFonts w:ascii="Cambria Math" w:hAnsi="Cambria Math"/>
          </w:rPr>
          <m:t>λ.μ,ρ</m:t>
        </m:r>
      </m:oMath>
      <w:r>
        <w:t xml:space="preserve"> are Lagrange multipliers and </w:t>
      </w:r>
      <m:oMath>
        <m:r>
          <w:rPr>
            <w:rFonts w:ascii="Cambria Math" w:hAnsi="Cambria Math"/>
          </w:rPr>
          <m:t>β=-λ</m:t>
        </m:r>
      </m:oMath>
      <w:r>
        <w:t>.</w:t>
      </w:r>
    </w:p>
    <w:p w14:paraId="52112BE0" w14:textId="77777777" w:rsidR="00D9144D" w:rsidRDefault="00D9144D" w:rsidP="00075E7F">
      <w:pPr>
        <w:spacing w:line="480" w:lineRule="auto"/>
      </w:pPr>
      <w:r>
        <w:t>The first order conditions are:</w:t>
      </w:r>
    </w:p>
    <w:p w14:paraId="77CD0A4A" w14:textId="77777777" w:rsidR="00D9144D" w:rsidRDefault="00E7570E" w:rsidP="00075E7F">
      <w:pPr>
        <w:spacing w:line="480" w:lineRule="auto"/>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m:t>
          </m:r>
          <m:r>
            <w:rPr>
              <w:rFonts w:ascii="Cambria Math" w:hAnsi="Cambria Math"/>
            </w:rPr>
            <m:t>1-</m:t>
          </m:r>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nary>
          <m:r>
            <w:rPr>
              <w:rFonts w:ascii="Cambria Math" w:hAnsi="Cambria Math"/>
            </w:rPr>
            <m:t>=0</m:t>
          </m:r>
          <m:r>
            <m:rPr>
              <m:sty m:val="p"/>
            </m:rPr>
            <w:rPr>
              <w:rFonts w:ascii="Cambria Math" w:hAnsi="Cambria Math"/>
            </w:rPr>
            <w:br/>
          </m:r>
        </m:oMath>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h</m:t>
                  </m:r>
                </m:sub>
              </m:sSub>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h</m:t>
                  </m:r>
                </m:sub>
              </m:sSub>
            </m:e>
          </m:func>
          <m:r>
            <w:rPr>
              <w:rFonts w:ascii="Cambria Math" w:hAnsi="Cambria Math"/>
            </w:rPr>
            <m:t>-</m:t>
          </m:r>
          <m:r>
            <w:rPr>
              <w:rFonts w:ascii="Cambria Math" w:hAnsi="Cambria Math"/>
            </w:rPr>
            <m:t>1-</m:t>
          </m:r>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ik</m:t>
                  </m:r>
                </m:sub>
              </m:sSub>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e>
          </m:nary>
          <m:r>
            <w:rPr>
              <w:rFonts w:ascii="Cambria Math" w:hAnsi="Cambria Math"/>
            </w:rPr>
            <m:t>=0</m:t>
          </m:r>
          <m:r>
            <m:rPr>
              <m:sty m:val="p"/>
            </m:rPr>
            <w:rPr>
              <w:rFonts w:ascii="Cambria Math" w:hAnsi="Cambria Math"/>
            </w:rPr>
            <w:br/>
          </m:r>
        </m:oMath>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ik</m:t>
                  </m:r>
                </m:sub>
              </m:sSub>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x</m:t>
                  </m:r>
                </m:e>
                <m:sub>
                  <m:r>
                    <w:rPr>
                      <w:rFonts w:ascii="Cambria Math" w:hAnsi="Cambria Math"/>
                    </w:rPr>
                    <m:t>ik</m:t>
                  </m:r>
                </m:sub>
              </m:sSub>
              <m:sSub>
                <m:sSubPr>
                  <m:ctrlPr>
                    <w:rPr>
                      <w:rFonts w:ascii="Cambria Math" w:hAnsi="Cambria Math"/>
                      <w:i/>
                    </w:rPr>
                  </m:ctrlPr>
                </m:sSubPr>
                <m:e>
                  <m:r>
                    <w:rPr>
                      <w:rFonts w:ascii="Cambria Math" w:hAnsi="Cambria Math"/>
                    </w:rPr>
                    <m:t>v</m:t>
                  </m:r>
                </m:e>
                <m:sub>
                  <m:r>
                    <w:rPr>
                      <w:rFonts w:ascii="Cambria Math" w:hAnsi="Cambria Math"/>
                    </w:rPr>
                    <m:t>h</m:t>
                  </m:r>
                </m:sub>
              </m:s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h</m:t>
                  </m:r>
                </m:sub>
              </m:sSub>
            </m:e>
          </m:nary>
          <m:r>
            <w:rPr>
              <w:rFonts w:ascii="Cambria Math" w:hAnsi="Cambria Math"/>
            </w:rPr>
            <m:t>=0</m:t>
          </m:r>
          <m:r>
            <m:rPr>
              <m:sty m:val="p"/>
            </m:rPr>
            <w:rPr>
              <w:rFonts w:ascii="Cambria Math" w:hAnsi="Cambria Math"/>
            </w:rPr>
            <w:br/>
          </m:r>
        </m:oMath>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en>
          </m:f>
          <m:r>
            <w:rPr>
              <w:rFonts w:ascii="Cambria Math" w:hAnsi="Cambria Math"/>
            </w:rPr>
            <m:t>=1-</m:t>
          </m:r>
          <m:nary>
            <m:naryPr>
              <m:chr m:val="∑"/>
              <m:supHide m:val="1"/>
              <m:ctrlPr>
                <w:rPr>
                  <w:rFonts w:ascii="Cambria Math" w:hAnsi="Cambria Math"/>
                  <w:i/>
                </w:rPr>
              </m:ctrlPr>
            </m:naryPr>
            <m:sub>
              <m:r>
                <w:rPr>
                  <w:rFonts w:ascii="Cambria Math" w:hAnsi="Cambria Math"/>
                </w:rPr>
                <m:t>j</m:t>
              </m:r>
              <m:r>
                <w:rPr>
                  <w:rFonts w:ascii="Cambria Math" w:hAnsi="Cambria Math"/>
                </w:rPr>
                <m:t>∈0, 1</m:t>
              </m:r>
            </m:sub>
            <m:sup/>
            <m:e>
              <m:sSub>
                <m:sSubPr>
                  <m:ctrlPr>
                    <w:rPr>
                      <w:rFonts w:ascii="Cambria Math" w:hAnsi="Cambria Math"/>
                      <w:i/>
                    </w:rPr>
                  </m:ctrlPr>
                </m:sSubPr>
                <m:e>
                  <m:r>
                    <w:rPr>
                      <w:rFonts w:ascii="Cambria Math" w:hAnsi="Cambria Math"/>
                    </w:rPr>
                    <m:t>p</m:t>
                  </m:r>
                </m:e>
                <m:sub>
                  <m:r>
                    <w:rPr>
                      <w:rFonts w:ascii="Cambria Math" w:hAnsi="Cambria Math"/>
                    </w:rPr>
                    <m:t>j</m:t>
                  </m:r>
                </m:sub>
              </m:sSub>
            </m:e>
          </m:nary>
          <m:r>
            <w:rPr>
              <w:rFonts w:ascii="Cambria Math" w:hAnsi="Cambria Math"/>
            </w:rPr>
            <m:t>=0</m:t>
          </m:r>
          <m:r>
            <m:rPr>
              <m:sty m:val="p"/>
            </m:rPr>
            <w:rPr>
              <w:rFonts w:ascii="Cambria Math" w:hAnsi="Cambria Math"/>
            </w:rPr>
            <w:br/>
          </m:r>
        </m:oMath>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den>
          </m:f>
          <m:r>
            <w:rPr>
              <w:rFonts w:ascii="Cambria Math" w:hAnsi="Cambria Math"/>
            </w:rPr>
            <m:t>=1-</m:t>
          </m:r>
          <m:nary>
            <m:naryPr>
              <m:chr m:val="∑"/>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h</m:t>
                  </m:r>
                </m:sub>
              </m:sSub>
            </m:e>
          </m:nary>
          <m:r>
            <w:rPr>
              <w:rFonts w:ascii="Cambria Math" w:hAnsi="Cambria Math"/>
            </w:rPr>
            <m:t>=0</m:t>
          </m:r>
        </m:oMath>
      </m:oMathPara>
    </w:p>
    <w:p w14:paraId="1010A887" w14:textId="77777777" w:rsidR="00D9144D" w:rsidRDefault="00D9144D" w:rsidP="00075E7F">
      <w:pPr>
        <w:spacing w:line="480" w:lineRule="auto"/>
      </w:pPr>
      <w:r>
        <w:t>From which we obtain the estimated probability distributions:</w:t>
      </w:r>
    </w:p>
    <w:p w14:paraId="6A1E0F3E" w14:textId="77777777" w:rsidR="00D9144D" w:rsidRPr="00B160FC" w:rsidRDefault="00E7570E" w:rsidP="00075E7F">
      <w:pPr>
        <w:spacing w:line="480" w:lineRule="auto"/>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e>
          </m:ac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λ</m:t>
                              </m:r>
                            </m:e>
                            <m:sub>
                              <m:r>
                                <w:rPr>
                                  <w:rFonts w:ascii="Cambria Math" w:hAnsi="Cambria Math"/>
                                </w:rPr>
                                <m:t>k</m:t>
                              </m:r>
                            </m:sub>
                          </m:sSub>
                        </m:e>
                      </m:acc>
                      <m:sSub>
                        <m:sSubPr>
                          <m:ctrlPr>
                            <w:rPr>
                              <w:rFonts w:ascii="Cambria Math" w:hAnsi="Cambria Math"/>
                              <w:i/>
                            </w:rPr>
                          </m:ctrlPr>
                        </m:sSubPr>
                        <m:e>
                          <m:r>
                            <w:rPr>
                              <w:rFonts w:ascii="Cambria Math" w:hAnsi="Cambria Math"/>
                            </w:rPr>
                            <m:t>x</m:t>
                          </m:r>
                        </m:e>
                        <m:sub>
                          <m:r>
                            <w:rPr>
                              <w:rFonts w:ascii="Cambria Math" w:hAnsi="Cambria Math"/>
                            </w:rPr>
                            <m:t>ik</m:t>
                          </m:r>
                        </m:sub>
                      </m:sSub>
                    </m:e>
                  </m:d>
                </m:e>
              </m:func>
            </m:num>
            <m:den>
              <m:nary>
                <m:naryPr>
                  <m:chr m:val="∑"/>
                  <m:supHide m:val="1"/>
                  <m:ctrlPr>
                    <w:rPr>
                      <w:rFonts w:ascii="Cambria Math" w:hAnsi="Cambria Math"/>
                      <w:i/>
                    </w:rPr>
                  </m:ctrlPr>
                </m:naryPr>
                <m:sub>
                  <m:r>
                    <w:rPr>
                      <w:rFonts w:ascii="Cambria Math" w:hAnsi="Cambria Math"/>
                    </w:rPr>
                    <m:t>j</m:t>
                  </m:r>
                  <m:r>
                    <w:rPr>
                      <w:rFonts w:ascii="Cambria Math" w:hAnsi="Cambria Math"/>
                    </w:rPr>
                    <m:t>∈(0,1)</m:t>
                  </m:r>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nary>
                            <m:naryPr>
                              <m:chr m:val="∑"/>
                              <m:supHide m:val="1"/>
                              <m:ctrlPr>
                                <w:rPr>
                                  <w:rFonts w:ascii="Cambria Math" w:hAnsi="Cambria Math"/>
                                  <w:i/>
                                </w:rPr>
                              </m:ctrlPr>
                            </m:naryPr>
                            <m:sub>
                              <m:r>
                                <w:rPr>
                                  <w:rFonts w:ascii="Cambria Math" w:hAnsi="Cambria Math"/>
                                </w:rPr>
                                <m:t>k</m:t>
                              </m:r>
                            </m:sub>
                            <m:sup/>
                            <m:e>
                              <m:acc>
                                <m:accPr>
                                  <m:ctrlPr>
                                    <w:rPr>
                                      <w:rFonts w:ascii="Cambria Math" w:hAnsi="Cambria Math"/>
                                      <w:i/>
                                    </w:rPr>
                                  </m:ctrlPr>
                                </m:accPr>
                                <m:e>
                                  <m:sSub>
                                    <m:sSubPr>
                                      <m:ctrlPr>
                                        <w:rPr>
                                          <w:rFonts w:ascii="Cambria Math" w:hAnsi="Cambria Math"/>
                                          <w:i/>
                                        </w:rPr>
                                      </m:ctrlPr>
                                    </m:sSubPr>
                                    <m:e>
                                      <m:r>
                                        <w:rPr>
                                          <w:rFonts w:ascii="Cambria Math" w:hAnsi="Cambria Math"/>
                                        </w:rPr>
                                        <m:t>λ</m:t>
                                      </m:r>
                                    </m:e>
                                    <m:sub>
                                      <m:r>
                                        <w:rPr>
                                          <w:rFonts w:ascii="Cambria Math" w:hAnsi="Cambria Math"/>
                                        </w:rPr>
                                        <m:t>k</m:t>
                                      </m:r>
                                    </m:sub>
                                  </m:sSub>
                                </m:e>
                              </m:acc>
                              <m:sSub>
                                <m:sSubPr>
                                  <m:ctrlPr>
                                    <w:rPr>
                                      <w:rFonts w:ascii="Cambria Math" w:hAnsi="Cambria Math"/>
                                      <w:i/>
                                    </w:rPr>
                                  </m:ctrlPr>
                                </m:sSubPr>
                                <m:e>
                                  <m:r>
                                    <w:rPr>
                                      <w:rFonts w:ascii="Cambria Math" w:hAnsi="Cambria Math"/>
                                    </w:rPr>
                                    <m:t>x</m:t>
                                  </m:r>
                                </m:e>
                                <m:sub>
                                  <m:r>
                                    <w:rPr>
                                      <w:rFonts w:ascii="Cambria Math" w:hAnsi="Cambria Math"/>
                                    </w:rPr>
                                    <m:t>ik</m:t>
                                  </m:r>
                                </m:sub>
                              </m:sSub>
                            </m:e>
                          </m:nary>
                        </m:e>
                      </m:d>
                    </m:e>
                  </m:func>
                </m:e>
              </m:nary>
            </m:den>
          </m:f>
        </m:oMath>
      </m:oMathPara>
    </w:p>
    <w:p w14:paraId="1E3BB350" w14:textId="77777777" w:rsidR="00D9144D" w:rsidRDefault="00D9144D" w:rsidP="00075E7F">
      <w:pPr>
        <w:spacing w:line="480" w:lineRule="auto"/>
      </w:pPr>
      <w:r>
        <w:t>and</w:t>
      </w:r>
    </w:p>
    <w:p w14:paraId="735ACC37" w14:textId="77777777" w:rsidR="00D9144D" w:rsidRPr="00B160FC" w:rsidRDefault="00E7570E" w:rsidP="00075E7F">
      <w:pPr>
        <w:spacing w:line="480" w:lineRule="auto"/>
      </w:pPr>
      <m:oMathPara>
        <m:oMath>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h</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x</m:t>
                              </m:r>
                            </m:e>
                            <m:sub>
                              <m:r>
                                <w:rPr>
                                  <w:rFonts w:ascii="Cambria Math" w:hAnsi="Cambria Math"/>
                                </w:rPr>
                                <m:t>ik</m:t>
                              </m:r>
                            </m:sub>
                          </m:sSub>
                          <m:acc>
                            <m:accPr>
                              <m:ctrlPr>
                                <w:rPr>
                                  <w:rFonts w:ascii="Cambria Math" w:hAnsi="Cambria Math"/>
                                  <w:i/>
                                </w:rPr>
                              </m:ctrlPr>
                            </m:accPr>
                            <m:e>
                              <m:sSub>
                                <m:sSubPr>
                                  <m:ctrlPr>
                                    <w:rPr>
                                      <w:rFonts w:ascii="Cambria Math" w:hAnsi="Cambria Math"/>
                                      <w:i/>
                                    </w:rPr>
                                  </m:ctrlPr>
                                </m:sSubPr>
                                <m:e>
                                  <m:r>
                                    <w:rPr>
                                      <w:rFonts w:ascii="Cambria Math" w:hAnsi="Cambria Math"/>
                                    </w:rPr>
                                    <m:t>λ</m:t>
                                  </m:r>
                                </m:e>
                                <m:sub>
                                  <m:r>
                                    <w:rPr>
                                      <w:rFonts w:ascii="Cambria Math" w:hAnsi="Cambria Math"/>
                                    </w:rPr>
                                    <m:t>k</m:t>
                                  </m:r>
                                </m:sub>
                              </m:sSub>
                            </m:e>
                          </m:acc>
                          <m:sSub>
                            <m:sSubPr>
                              <m:ctrlPr>
                                <w:rPr>
                                  <w:rFonts w:ascii="Cambria Math" w:hAnsi="Cambria Math"/>
                                  <w:i/>
                                </w:rPr>
                              </m:ctrlPr>
                            </m:sSubPr>
                            <m:e>
                              <m:r>
                                <w:rPr>
                                  <w:rFonts w:ascii="Cambria Math" w:hAnsi="Cambria Math"/>
                                </w:rPr>
                                <m:t>v</m:t>
                              </m:r>
                            </m:e>
                            <m:sub>
                              <m:r>
                                <w:rPr>
                                  <w:rFonts w:ascii="Cambria Math" w:hAnsi="Cambria Math"/>
                                </w:rPr>
                                <m:t>h</m:t>
                              </m:r>
                            </m:sub>
                          </m:sSub>
                        </m:e>
                      </m:nary>
                    </m:e>
                  </m:d>
                </m:e>
              </m:func>
            </m:num>
            <m:den>
              <m:nary>
                <m:naryPr>
                  <m:chr m:val="∑"/>
                  <m:supHide m:val="1"/>
                  <m:ctrlPr>
                    <w:rPr>
                      <w:rFonts w:ascii="Cambria Math" w:hAnsi="Cambria Math"/>
                      <w:i/>
                    </w:rPr>
                  </m:ctrlPr>
                </m:naryPr>
                <m:sub>
                  <m:r>
                    <w:rPr>
                      <w:rFonts w:ascii="Cambria Math" w:hAnsi="Cambria Math"/>
                    </w:rPr>
                    <m:t>h</m:t>
                  </m:r>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x</m:t>
                                  </m:r>
                                </m:e>
                                <m:sub>
                                  <m:r>
                                    <w:rPr>
                                      <w:rFonts w:ascii="Cambria Math" w:hAnsi="Cambria Math"/>
                                    </w:rPr>
                                    <m:t>ik</m:t>
                                  </m:r>
                                </m:sub>
                              </m:sSub>
                              <m:acc>
                                <m:accPr>
                                  <m:ctrlPr>
                                    <w:rPr>
                                      <w:rFonts w:ascii="Cambria Math" w:hAnsi="Cambria Math"/>
                                      <w:i/>
                                    </w:rPr>
                                  </m:ctrlPr>
                                </m:accPr>
                                <m:e>
                                  <m:sSub>
                                    <m:sSubPr>
                                      <m:ctrlPr>
                                        <w:rPr>
                                          <w:rFonts w:ascii="Cambria Math" w:hAnsi="Cambria Math"/>
                                          <w:i/>
                                        </w:rPr>
                                      </m:ctrlPr>
                                    </m:sSubPr>
                                    <m:e>
                                      <m:r>
                                        <w:rPr>
                                          <w:rFonts w:ascii="Cambria Math" w:hAnsi="Cambria Math"/>
                                        </w:rPr>
                                        <m:t>λ</m:t>
                                      </m:r>
                                    </m:e>
                                    <m:sub>
                                      <m:r>
                                        <w:rPr>
                                          <w:rFonts w:ascii="Cambria Math" w:hAnsi="Cambria Math"/>
                                        </w:rPr>
                                        <m:t>k</m:t>
                                      </m:r>
                                    </m:sub>
                                  </m:sSub>
                                </m:e>
                              </m:acc>
                              <m:sSub>
                                <m:sSubPr>
                                  <m:ctrlPr>
                                    <w:rPr>
                                      <w:rFonts w:ascii="Cambria Math" w:hAnsi="Cambria Math"/>
                                      <w:i/>
                                    </w:rPr>
                                  </m:ctrlPr>
                                </m:sSubPr>
                                <m:e>
                                  <m:r>
                                    <w:rPr>
                                      <w:rFonts w:ascii="Cambria Math" w:hAnsi="Cambria Math"/>
                                    </w:rPr>
                                    <m:t>v</m:t>
                                  </m:r>
                                </m:e>
                                <m:sub>
                                  <m:r>
                                    <w:rPr>
                                      <w:rFonts w:ascii="Cambria Math" w:hAnsi="Cambria Math"/>
                                    </w:rPr>
                                    <m:t>h</m:t>
                                  </m:r>
                                </m:sub>
                              </m:sSub>
                            </m:e>
                          </m:nary>
                        </m:e>
                      </m:d>
                    </m:e>
                  </m:func>
                </m:e>
              </m:nary>
            </m:den>
          </m:f>
        </m:oMath>
      </m:oMathPara>
    </w:p>
    <w:p w14:paraId="435B1956" w14:textId="59D76905" w:rsidR="00D9144D" w:rsidRDefault="00D9144D" w:rsidP="00075E7F">
      <w:pPr>
        <w:spacing w:line="480" w:lineRule="auto"/>
      </w:pPr>
      <w:r>
        <w:t xml:space="preserve">Note that the above can be computed using </w:t>
      </w:r>
      <w:r w:rsidR="001E53DB">
        <w:t xml:space="preserve">a </w:t>
      </w:r>
      <w:r>
        <w:t xml:space="preserve"> “dual unconstrained” method </w:t>
      </w:r>
      <w:r w:rsidR="001E53DB">
        <w:t xml:space="preserve">that is usually less computationally intensive but </w:t>
      </w:r>
      <w:r>
        <w:t xml:space="preserve">not discussed here </w:t>
      </w:r>
      <w:r w:rsidR="001E53DB">
        <w:t xml:space="preserve">for brevity </w:t>
      </w:r>
      <w:r>
        <w:t xml:space="preserve">(see </w:t>
      </w:r>
      <w:r>
        <w:fldChar w:fldCharType="begin"/>
      </w:r>
      <w:r>
        <w:instrText xml:space="preserve"> ADDIN ZOTERO_ITEM CSL_CITATION {"citationID":"o85YETpa","properties":{"formattedCitation":"(Golan 2017)","plainCitation":"(Golan 2017)","noteIndex":0},"citationItems":[{"id":339,"uris":["http://zotero.org/users/1226582/items/MQKZZ5FG"],"itemData":{"id":339,"type":"book","call-number":"T50 .G64 2017","event-place":"New York, NY","ISBN":"978-0-19-934952-4","publisher":"Oxford University Press","publisher-place":"New York, NY","source":"Library of Congress ISBN","title":"Foundations of info-metrics: modeling and inference with imperfect information","title-short":"Foundations of info-metrics","author":[{"family":"Golan","given":"Amos"}],"issued":{"date-parts":[["2017"]]}}}],"schema":"https://github.com/citation-style-language/schema/raw/master/csl-citation.json"} </w:instrText>
      </w:r>
      <w:r>
        <w:fldChar w:fldCharType="separate"/>
      </w:r>
      <w:r>
        <w:rPr>
          <w:noProof/>
        </w:rPr>
        <w:t>(Golan 2017)</w:t>
      </w:r>
      <w:r>
        <w:fldChar w:fldCharType="end"/>
      </w:r>
      <w:r>
        <w:t xml:space="preserve"> for </w:t>
      </w:r>
      <w:r w:rsidR="001E53DB">
        <w:t>details</w:t>
      </w:r>
      <w:r>
        <w:t>).</w:t>
      </w:r>
    </w:p>
    <w:p w14:paraId="6F97C3EE" w14:textId="2D853CCD" w:rsidR="00337E9A" w:rsidRDefault="00337E9A" w:rsidP="00075E7F">
      <w:pPr>
        <w:pStyle w:val="Heading1"/>
        <w:spacing w:line="480" w:lineRule="auto"/>
      </w:pPr>
      <w:r>
        <w:t>Simulation</w:t>
      </w:r>
    </w:p>
    <w:p w14:paraId="3627E909" w14:textId="77777777" w:rsidR="00C008DB" w:rsidRDefault="00DC7EED" w:rsidP="00075E7F">
      <w:pPr>
        <w:spacing w:line="480" w:lineRule="auto"/>
      </w:pPr>
      <w:r>
        <w:t xml:space="preserve">To evaluate the performance of alternative estimators of the average treatment effect on the treated (ATT), I conduct a Monte Carlo simulation based on a stylized data generating process (DGP) designed to reflect common features of observational studies, including selection into treatment on observables and covariate-dependent potential outcomes. </w:t>
      </w:r>
    </w:p>
    <w:p w14:paraId="4C67EA91" w14:textId="3278784B" w:rsidR="00DC7EED" w:rsidRDefault="00C008DB" w:rsidP="00075E7F">
      <w:pPr>
        <w:spacing w:line="480" w:lineRule="auto"/>
      </w:pPr>
      <w:r>
        <w:t xml:space="preserve">I begin by describing the baseline simulation. </w:t>
      </w:r>
      <w:r w:rsidR="00DC7EED">
        <w:t xml:space="preserve">The simulated dataset contains </w:t>
      </w:r>
      <m:oMath>
        <m:r>
          <w:rPr>
            <w:rFonts w:ascii="Cambria Math" w:hAnsi="Cambria Math"/>
          </w:rPr>
          <m:t>n=</m:t>
        </m:r>
        <m:r>
          <w:rPr>
            <w:rFonts w:ascii="Cambria Math" w:hAnsi="Cambria Math"/>
          </w:rPr>
          <m:t>500</m:t>
        </m:r>
      </m:oMath>
      <w:r>
        <w:rPr>
          <w:rFonts w:eastAsiaTheme="minorEastAsia"/>
        </w:rPr>
        <w:t xml:space="preserve"> </w:t>
      </w:r>
      <w:r w:rsidR="00DC7EED">
        <w:t xml:space="preserve">observations and is replicated across </w:t>
      </w:r>
      <w:r>
        <w:t xml:space="preserve">5,000 </w:t>
      </w:r>
      <w:r w:rsidR="00DC7EED">
        <w:t xml:space="preserve">Monte Carlo </w:t>
      </w:r>
      <w:r>
        <w:t xml:space="preserve">runs. </w:t>
      </w:r>
      <w:r w:rsidR="00DC7EED">
        <w:t xml:space="preserve">Each observation is characterized by two baseline covariates,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DC7EED">
        <w:rPr>
          <w:rFonts w:ascii="Arial" w:hAnsi="Arial" w:cs="Arial"/>
        </w:rPr>
        <w:t>​</w:t>
      </w:r>
      <w:r w:rsidR="00DC7EED">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DC7EED">
        <w:rPr>
          <w:rFonts w:ascii="Arial" w:hAnsi="Arial" w:cs="Arial"/>
        </w:rPr>
        <w:t>​</w:t>
      </w:r>
      <w:r w:rsidR="00DC7EED">
        <w:t>, independently drawn from a standard normal distribution:</w:t>
      </w:r>
    </w:p>
    <w:p w14:paraId="746CF26B" w14:textId="2A5A99C0" w:rsidR="00BA727A" w:rsidRDefault="001E3625" w:rsidP="00075E7F">
      <w:pPr>
        <w:spacing w:line="480" w:lineRule="auto"/>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cr m:val="script"/>
            </m:rPr>
            <w:rPr>
              <w:rFonts w:ascii="Cambria Math" w:hAnsi="Cambria Math"/>
            </w:rPr>
            <m:t>N</m:t>
          </m:r>
          <m:d>
            <m:dPr>
              <m:ctrlPr>
                <w:rPr>
                  <w:rFonts w:ascii="Cambria Math" w:hAnsi="Cambria Math"/>
                  <w:i/>
                </w:rPr>
              </m:ctrlPr>
            </m:dPr>
            <m:e>
              <m:r>
                <w:rPr>
                  <w:rFonts w:ascii="Cambria Math" w:hAnsi="Cambria Math"/>
                </w:rPr>
                <m:t>0,1</m:t>
              </m:r>
            </m:e>
          </m:d>
          <m: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cr m:val="script"/>
            </m:rPr>
            <w:rPr>
              <w:rFonts w:ascii="Cambria Math" w:hAnsi="Cambria Math"/>
            </w:rPr>
            <m:t>N</m:t>
          </m:r>
          <m:r>
            <w:rPr>
              <w:rFonts w:ascii="Cambria Math" w:hAnsi="Cambria Math"/>
            </w:rPr>
            <m:t>(0,1)</m:t>
          </m:r>
        </m:oMath>
      </m:oMathPara>
    </w:p>
    <w:p w14:paraId="64976029" w14:textId="29DE26F8" w:rsidR="00DC7EED" w:rsidRDefault="00DC7EED" w:rsidP="00075E7F">
      <w:pPr>
        <w:spacing w:line="480" w:lineRule="auto"/>
      </w:pPr>
      <w:r>
        <w:t xml:space="preserve">The potential outcome in the absence of treatment, denoted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Pr>
          <w:rFonts w:ascii="Arial" w:hAnsi="Arial" w:cs="Arial"/>
        </w:rPr>
        <w:t>​</w:t>
      </w:r>
      <w:r>
        <w:t>, is modeled as a linear function of the covariates, with additive normal noise:</w:t>
      </w:r>
    </w:p>
    <w:p w14:paraId="7420C883" w14:textId="6BD18624" w:rsidR="00BA727A" w:rsidRDefault="00BA727A" w:rsidP="00075E7F">
      <w:pPr>
        <w:spacing w:line="480" w:lineRule="auto"/>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=5+0.5*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0</m:t>
              </m:r>
            </m:sub>
          </m:sSub>
          <m:r>
            <m:rPr>
              <m:scr m:val="script"/>
            </m:rPr>
            <w:rPr>
              <w:rFonts w:ascii="Cambria Math" w:hAnsi="Cambria Math"/>
            </w:rPr>
            <m:t>~N</m:t>
          </m:r>
          <m:r>
            <w:rPr>
              <w:rFonts w:ascii="Cambria Math" w:hAnsi="Cambria Math"/>
            </w:rPr>
            <m:t>(0,1)</m:t>
          </m:r>
        </m:oMath>
      </m:oMathPara>
    </w:p>
    <w:p w14:paraId="203D6402" w14:textId="474632C7" w:rsidR="00DC7EED" w:rsidRDefault="00DC7EED" w:rsidP="00075E7F">
      <w:pPr>
        <w:spacing w:line="480" w:lineRule="auto"/>
      </w:pPr>
      <w:r>
        <w:t>This structure ensures that baseline outcomes are systematically related to observed characteristics.</w:t>
      </w:r>
      <w:r w:rsidR="00FA37DD">
        <w:t xml:space="preserve"> </w:t>
      </w:r>
      <w:r>
        <w:t>In addition to level differences, the untreated trend (i.e., the evolution of outcomes in the absence of treatment) is also heterogeneous and depends on the covariates:</w:t>
      </w:r>
    </w:p>
    <w:p w14:paraId="66BCE10A" w14:textId="39F25BC8" w:rsidR="00FA37DD" w:rsidRDefault="00FA37DD" w:rsidP="00075E7F">
      <w:pPr>
        <w:spacing w:line="480" w:lineRule="auto"/>
      </w:pPr>
      <m:oMathPara>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0</m:t>
              </m:r>
            </m:sub>
          </m:sSub>
          <m:r>
            <w:rPr>
              <w:rFonts w:ascii="Cambria Math" w:hAnsi="Cambria Math"/>
            </w:rPr>
            <m:t>=0.4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-0.1</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5434B28F" w14:textId="7864656D" w:rsidR="00DC7EED" w:rsidRDefault="00DC7EED" w:rsidP="00075E7F">
      <w:pPr>
        <w:spacing w:line="480" w:lineRule="auto"/>
      </w:pPr>
      <w:r>
        <w:t>This trend is added to all individuals, regardless of treatment status, mimicking scenarios in which outcome trajectories differ across subgroups even in the absence of intervention.</w:t>
      </w:r>
      <w:r w:rsidR="00D017B7">
        <w:t xml:space="preserve"> </w:t>
      </w:r>
      <w:r>
        <w:t>Treatment is assigned based on a logistic selection model that depends on the covariates:</w:t>
      </w:r>
    </w:p>
    <w:p w14:paraId="796B54CF" w14:textId="3D292B50" w:rsidR="001F38AD" w:rsidRDefault="001F38AD" w:rsidP="00075E7F">
      <w:pPr>
        <w:spacing w:line="480" w:lineRule="auto"/>
      </w:pPr>
      <m:oMathPara>
        <m:oMath>
          <m:func>
            <m:funcPr>
              <m:ctrlPr>
                <w:rPr>
                  <w:rFonts w:ascii="Cambria Math" w:hAnsi="Cambria Math"/>
                  <w:i/>
                </w:rPr>
              </m:ctrlPr>
            </m:funcPr>
            <m:fName>
              <m:r>
                <m:rPr>
                  <m:sty m:val="p"/>
                </m:rPr>
                <w:rPr>
                  <w:rFonts w:ascii="Cambria Math" w:hAnsi="Cambria Math"/>
                </w:rPr>
                <m:t>Pr</m:t>
              </m:r>
            </m:fName>
            <m:e>
              <m:r>
                <w:rPr>
                  <w:rFonts w:ascii="Cambria Math" w:hAnsi="Cambria Math"/>
                </w:rPr>
                <m:t>(D=1|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func>
          <m:r>
            <w:rPr>
              <w:rFonts w:ascii="Cambria Math" w:hAnsi="Cambria Math"/>
            </w:rPr>
            <m:t>=</m:t>
          </m:r>
          <m:r>
            <w:rPr>
              <w:rFonts w:ascii="Cambria Math" w:hAnsi="Cambria Math"/>
            </w:rPr>
            <m:t>invlogit</m:t>
          </m:r>
          <m:d>
            <m:dPr>
              <m:ctrlPr>
                <w:rPr>
                  <w:rFonts w:ascii="Cambria Math" w:hAnsi="Cambria Math"/>
                  <w:i/>
                </w:rPr>
              </m:ctrlPr>
            </m:dPr>
            <m:e>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-0.8</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5C4A1B0F" w14:textId="0DFF0B9F" w:rsidR="00DC7EED" w:rsidRDefault="00DC7EED" w:rsidP="00075E7F">
      <w:pPr>
        <w:spacing w:line="480" w:lineRule="auto"/>
      </w:pPr>
      <w:r>
        <w:t xml:space="preserve">where </w:t>
      </w:r>
      <m:oMath>
        <m:r>
          <w:rPr>
            <w:rFonts w:ascii="Cambria Math" w:hAnsi="Cambria Math"/>
          </w:rPr>
          <m:t>invlogit</m:t>
        </m:r>
      </m:oMath>
      <w:r w:rsidR="00C06A31">
        <w:rPr>
          <w:rFonts w:eastAsiaTheme="minorEastAsia"/>
        </w:rPr>
        <w:t xml:space="preserve"> is the </w:t>
      </w:r>
      <w:r w:rsidR="00D017B7">
        <w:rPr>
          <w:rFonts w:eastAsiaTheme="minorEastAsia"/>
        </w:rPr>
        <w:t xml:space="preserve">logistic cumulative density function (CDF). </w:t>
      </w:r>
      <w:r>
        <w:t>Each unit is then assigned to treatment with a probability equal to this score. This introduces selection on observables, such that the probability of receiving treatment is systematically related to covariates that also influence potential outcomes.</w:t>
      </w:r>
      <w:r w:rsidR="00D017B7">
        <w:t xml:space="preserve"> </w:t>
      </w:r>
      <w:r>
        <w:t xml:space="preserve">The observed outcome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Pr>
          <w:rFonts w:ascii="Arial" w:hAnsi="Arial" w:cs="Arial"/>
        </w:rPr>
        <w:t>​</w:t>
      </w:r>
      <w:r>
        <w:t xml:space="preserve"> is constructed as the untreated outcome plus the untreated trend, a constant treatment effect for the treated, and additional noise:</w:t>
      </w:r>
    </w:p>
    <w:p w14:paraId="6D339D08" w14:textId="5A7FB302" w:rsidR="008B55A8" w:rsidRDefault="008B55A8" w:rsidP="00075E7F">
      <w:pPr>
        <w:spacing w:line="480" w:lineRule="auto"/>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0</m:t>
              </m:r>
            </m:sub>
          </m:sSub>
          <m:r>
            <w:rPr>
              <w:rFonts w:ascii="Cambria Math" w:hAnsi="Cambria Math"/>
            </w:rPr>
            <m:t>+2⋅D+</m:t>
          </m:r>
          <m:sSub>
            <m:sSubPr>
              <m:ctrlPr>
                <w:rPr>
                  <w:rFonts w:ascii="Cambria Math" w:hAnsi="Cambria Math"/>
                  <w:i/>
                </w:rPr>
              </m:ctrlPr>
            </m:sSubPr>
            <m:e>
              <m:r>
                <w:rPr>
                  <w:rFonts w:ascii="Cambria Math" w:hAnsi="Cambria Math"/>
                </w:rPr>
                <m:t>ϵ</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1</m:t>
              </m:r>
            </m:sub>
          </m:sSub>
          <m:r>
            <m:rPr>
              <m:scr m:val="script"/>
            </m:rPr>
            <w:rPr>
              <w:rFonts w:ascii="Cambria Math" w:hAnsi="Cambria Math"/>
            </w:rPr>
            <m:t>~N</m:t>
          </m:r>
          <m:r>
            <w:rPr>
              <w:rFonts w:ascii="Cambria Math" w:hAnsi="Cambria Math"/>
            </w:rPr>
            <m:t>(0,1)</m:t>
          </m:r>
        </m:oMath>
      </m:oMathPara>
    </w:p>
    <w:p w14:paraId="2223829B" w14:textId="5F1D7581" w:rsidR="00337E9A" w:rsidRDefault="00DC7EED" w:rsidP="00075E7F">
      <w:pPr>
        <w:spacing w:line="480" w:lineRule="auto"/>
      </w:pPr>
      <w:r>
        <w:t xml:space="preserve">Thus, the ATT is set to a constant value of 2 across all treated units, independent of covariates. However, since both the baseline outcome and the untreated trend depend on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ascii="Arial" w:hAnsi="Arial" w:cs="Arial"/>
        </w:rPr>
        <w:t>​</w:t>
      </w:r>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ascii="Arial" w:hAnsi="Arial" w:cs="Arial"/>
        </w:rPr>
        <w:t>​</w:t>
      </w:r>
      <w:r>
        <w:t>, failure to account for these covariates can lead to biased estimates of the treatment effect.</w:t>
      </w:r>
    </w:p>
    <w:p w14:paraId="0D28A7EB" w14:textId="2B4E0C34" w:rsidR="003F5F3F" w:rsidRDefault="003F5F3F" w:rsidP="00075E7F">
      <w:pPr>
        <w:spacing w:line="480" w:lineRule="auto"/>
        <w:rPr>
          <w:rFonts w:eastAsiaTheme="minorEastAsia"/>
        </w:rPr>
      </w:pPr>
      <w:r>
        <w:t xml:space="preserve">Under the baseline assumptions, </w:t>
      </w:r>
      <w:r w:rsidR="00A637E0">
        <w:t>GME logit</w:t>
      </w:r>
      <w:r w:rsidR="00BE0C5D">
        <w:t>-based</w:t>
      </w:r>
      <w:r w:rsidR="00A637E0">
        <w:t xml:space="preserve"> and classical logit</w:t>
      </w:r>
      <w:r w:rsidR="00BE0C5D">
        <w:t>-</w:t>
      </w:r>
      <w:r w:rsidR="00B27671">
        <w:t xml:space="preserve">based models of selection into treatment </w:t>
      </w:r>
      <w:r w:rsidR="00DF2A7C">
        <w:t xml:space="preserve">should behave similarly. To test </w:t>
      </w:r>
      <w:r w:rsidR="00B27671">
        <w:t xml:space="preserve">whether GME </w:t>
      </w:r>
      <w:r w:rsidR="00BE0C5D">
        <w:t>l</w:t>
      </w:r>
      <w:r w:rsidR="00B27671">
        <w:t xml:space="preserve">ogit outperforms classical </w:t>
      </w:r>
      <w:r w:rsidR="00BE0C5D">
        <w:t>l</w:t>
      </w:r>
      <w:r w:rsidR="00B27671">
        <w:t xml:space="preserve">ogit under </w:t>
      </w:r>
      <w:r w:rsidR="009F22A1">
        <w:t xml:space="preserve">certain circumstances, I test several cases. Firstly, GME is known to outperform classical </w:t>
      </w:r>
      <w:proofErr w:type="gramStart"/>
      <w:r w:rsidR="009F22A1">
        <w:t>logit</w:t>
      </w:r>
      <w:proofErr w:type="gramEnd"/>
      <w:r w:rsidR="009F22A1">
        <w:t xml:space="preserve"> </w:t>
      </w:r>
      <w:r w:rsidR="00D0448B">
        <w:t xml:space="preserve">for all finite samples. These differences are likely to be highlighted </w:t>
      </w:r>
      <w:r w:rsidR="00BE0C5D">
        <w:t>when sample sizes are very small.</w:t>
      </w:r>
      <w:r w:rsidR="00FC3E89">
        <w:t xml:space="preserve"> I modify the above (baseline) simulation, </w:t>
      </w:r>
      <w:r w:rsidR="001D6E4E">
        <w:t xml:space="preserve">so that the dataset is of size </w:t>
      </w:r>
      <m:oMath>
        <m:r>
          <w:rPr>
            <w:rFonts w:ascii="Cambria Math" w:hAnsi="Cambria Math"/>
          </w:rPr>
          <m:t>n=20</m:t>
        </m:r>
      </m:oMath>
      <w:r w:rsidR="001D6E4E">
        <w:rPr>
          <w:rFonts w:eastAsiaTheme="minorEastAsia"/>
        </w:rPr>
        <w:t xml:space="preserve"> observations.</w:t>
      </w:r>
      <w:r w:rsidR="00B16FC2">
        <w:rPr>
          <w:rFonts w:eastAsiaTheme="minorEastAsia"/>
        </w:rPr>
        <w:t xml:space="preserve"> Next, I test how the two estimators perform when </w:t>
      </w:r>
      <w:r w:rsidR="005D78B6">
        <w:rPr>
          <w:rFonts w:eastAsiaTheme="minorEastAsia"/>
        </w:rPr>
        <w:t xml:space="preserve">the </w:t>
      </w:r>
      <w:r w:rsidR="003C0F0F">
        <w:rPr>
          <w:rFonts w:eastAsiaTheme="minorEastAsia"/>
        </w:rPr>
        <w:t xml:space="preserve">probability of receiving treatment is very small (this is done by shifting the </w:t>
      </w:r>
      <w:r w:rsidR="005171BC">
        <w:rPr>
          <w:rFonts w:eastAsiaTheme="minorEastAsia"/>
        </w:rPr>
        <w:t>selection equation to</w:t>
      </w:r>
    </w:p>
    <w:p w14:paraId="140A8D89" w14:textId="27D35A9C" w:rsidR="002848E3" w:rsidRPr="002848E3" w:rsidRDefault="00EE5E1B" w:rsidP="00075E7F">
      <w:pPr>
        <w:spacing w:line="480" w:lineRule="auto"/>
        <w:rPr>
          <w:rFonts w:eastAsiaTheme="minorEastAsia"/>
        </w:rPr>
      </w:pPr>
      <m:oMathPara>
        <m:oMath>
          <m:func>
            <m:funcPr>
              <m:ctrlPr>
                <w:rPr>
                  <w:rFonts w:ascii="Cambria Math" w:hAnsi="Cambria Math"/>
                  <w:i/>
                </w:rPr>
              </m:ctrlPr>
            </m:funcPr>
            <m:fName>
              <m:r>
                <m:rPr>
                  <m:sty m:val="p"/>
                </m:rPr>
                <w:rPr>
                  <w:rFonts w:ascii="Cambria Math" w:hAnsi="Cambria Math"/>
                </w:rPr>
                <m:t>Pr</m:t>
              </m:r>
            </m:fName>
            <m:e>
              <m:r>
                <w:rPr>
                  <w:rFonts w:ascii="Cambria Math" w:hAnsi="Cambria Math"/>
                </w:rPr>
                <m:t>(D=1|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func>
          <m:r>
            <w:rPr>
              <w:rFonts w:ascii="Cambria Math" w:hAnsi="Cambria Math"/>
            </w:rPr>
            <m:t>=</m:t>
          </m:r>
          <m:r>
            <w:rPr>
              <w:rFonts w:ascii="Cambria Math" w:hAnsi="Cambria Math"/>
            </w:rPr>
            <m:t>invlogit(</m:t>
          </m:r>
          <m:r>
            <w:rPr>
              <w:rFonts w:ascii="Cambria Math" w:hAnsi="Cambria Math"/>
            </w:rPr>
            <m:t>-5+</m:t>
          </m:r>
          <m:r>
            <w:rPr>
              <w:rFonts w:ascii="Cambria Math" w:hAnsi="Cambria Math"/>
            </w:rPr>
            <m:t>0.4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14:paraId="13CA1987" w14:textId="04A4B137" w:rsidR="002848E3" w:rsidRDefault="002848E3" w:rsidP="00075E7F">
      <w:pPr>
        <w:spacing w:line="480" w:lineRule="auto"/>
        <w:rPr>
          <w:rFonts w:eastAsiaTheme="minorEastAsia"/>
        </w:rPr>
      </w:pPr>
      <w:r>
        <w:rPr>
          <w:rFonts w:eastAsiaTheme="minorEastAsia"/>
        </w:rPr>
        <w:t>which causes only ~1% of observations to be selected into treatment</w:t>
      </w:r>
      <w:r w:rsidR="004124F6">
        <w:rPr>
          <w:rFonts w:eastAsiaTheme="minorEastAsia"/>
        </w:rPr>
        <w:t xml:space="preserve">). GME logit is also known to outperform classical logit when covariates are highly collinear. I </w:t>
      </w:r>
      <w:r w:rsidR="00E730EE">
        <w:rPr>
          <w:rFonts w:eastAsiaTheme="minorEastAsia"/>
        </w:rPr>
        <w:t xml:space="preserve">simulate this by drawing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E730EE">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E730EE">
        <w:rPr>
          <w:rFonts w:eastAsiaTheme="minorEastAsia"/>
        </w:rPr>
        <w:t xml:space="preserve"> from </w:t>
      </w:r>
      <w:r w:rsidR="00FB1D23">
        <w:rPr>
          <w:rFonts w:eastAsiaTheme="minorEastAsia"/>
        </w:rPr>
        <w:t xml:space="preserve">a multivariate </w:t>
      </w:r>
      <w:r w:rsidR="00E261BB">
        <w:rPr>
          <w:rFonts w:eastAsiaTheme="minorEastAsia"/>
        </w:rPr>
        <w:t xml:space="preserve">normal distribution </w:t>
      </w:r>
      <w:r w:rsidR="00B96D29">
        <w:rPr>
          <w:rFonts w:eastAsiaTheme="minorEastAsia"/>
        </w:rPr>
        <w:t xml:space="preserve">with </w:t>
      </w:r>
      <m:oMath>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=0.99</m:t>
        </m:r>
      </m:oMath>
      <w:r w:rsidR="00FF3A29">
        <w:rPr>
          <w:rFonts w:eastAsiaTheme="minorEastAsia"/>
        </w:rPr>
        <w:t>. The tables below summarize the simulation settings.</w:t>
      </w:r>
    </w:p>
    <w:tbl>
      <w:tblPr>
        <w:tblW w:w="0" w:type="auto"/>
        <w:tblLook w:val="04A0" w:firstRow="1" w:lastRow="0" w:firstColumn="1" w:lastColumn="0" w:noHBand="0" w:noVBand="1"/>
      </w:tblPr>
      <w:tblGrid>
        <w:gridCol w:w="3116"/>
        <w:gridCol w:w="3117"/>
        <w:gridCol w:w="3117"/>
      </w:tblGrid>
      <w:tr w:rsidR="00A85D03" w14:paraId="78FDBBB2" w14:textId="77777777" w:rsidTr="00883D8E">
        <w:tc>
          <w:tcPr>
            <w:tcW w:w="9350" w:type="dxa"/>
            <w:gridSpan w:val="3"/>
            <w:tcBorders>
              <w:bottom w:val="single" w:sz="4" w:space="0" w:color="auto"/>
            </w:tcBorders>
          </w:tcPr>
          <w:p w14:paraId="6AA28CBA" w14:textId="4BD0D218" w:rsidR="00A85D03" w:rsidRDefault="00883D8E" w:rsidP="00075E7F">
            <w:r>
              <w:lastRenderedPageBreak/>
              <w:t xml:space="preserve">Table 1: </w:t>
            </w:r>
            <w:r w:rsidR="00A85D03">
              <w:t>Baseline simulation settings. All simulations have 5,00 runs</w:t>
            </w:r>
          </w:p>
        </w:tc>
      </w:tr>
      <w:tr w:rsidR="00AC7764" w14:paraId="516CD7DE" w14:textId="77777777" w:rsidTr="00883D8E">
        <w:tc>
          <w:tcPr>
            <w:tcW w:w="3116" w:type="dxa"/>
            <w:tcBorders>
              <w:top w:val="single" w:sz="4" w:space="0" w:color="auto"/>
            </w:tcBorders>
          </w:tcPr>
          <w:p w14:paraId="39168CBB" w14:textId="230B6CA7" w:rsidR="00AC7764" w:rsidRDefault="009514B4" w:rsidP="00075E7F">
            <w:r>
              <w:t>Observations (n)</w:t>
            </w:r>
          </w:p>
        </w:tc>
        <w:tc>
          <w:tcPr>
            <w:tcW w:w="3117" w:type="dxa"/>
            <w:tcBorders>
              <w:top w:val="single" w:sz="4" w:space="0" w:color="auto"/>
            </w:tcBorders>
          </w:tcPr>
          <w:p w14:paraId="3121BF85" w14:textId="73E678D0" w:rsidR="00AC7764" w:rsidRDefault="009514B4" w:rsidP="00075E7F">
            <m:oMathPara>
              <m:oMath>
                <m:r>
                  <w:rPr>
                    <w:rFonts w:ascii="Cambria Math" w:hAnsi="Cambria Math"/>
                  </w:rPr>
                  <m:t>n=500</m:t>
                </m:r>
              </m:oMath>
            </m:oMathPara>
          </w:p>
        </w:tc>
        <w:tc>
          <w:tcPr>
            <w:tcW w:w="3117" w:type="dxa"/>
            <w:tcBorders>
              <w:top w:val="single" w:sz="4" w:space="0" w:color="auto"/>
            </w:tcBorders>
          </w:tcPr>
          <w:p w14:paraId="76BD2622" w14:textId="77777777" w:rsidR="00AC7764" w:rsidRDefault="00AC7764" w:rsidP="00075E7F"/>
        </w:tc>
      </w:tr>
      <w:tr w:rsidR="00E3530B" w14:paraId="4387CB0F" w14:textId="77777777" w:rsidTr="00883D8E">
        <w:tc>
          <w:tcPr>
            <w:tcW w:w="3116" w:type="dxa"/>
          </w:tcPr>
          <w:p w14:paraId="1F3D5DC5" w14:textId="77777777" w:rsidR="00E3530B" w:rsidRDefault="00E3530B" w:rsidP="00075E7F">
            <w:r>
              <w:t>Covariate Distribution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p>
        </w:tc>
        <w:tc>
          <w:tcPr>
            <w:tcW w:w="3117" w:type="dxa"/>
          </w:tcPr>
          <w:p w14:paraId="10432290" w14:textId="77777777" w:rsidR="00E3530B" w:rsidRDefault="00E3530B" w:rsidP="00075E7F">
            <m:oMathPara>
              <m:oMath>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~N</m:t>
                </m:r>
                <m:d>
                  <m:dPr>
                    <m:ctrlPr>
                      <w:rPr>
                        <w:rFonts w:ascii="Cambria Math" w:hAnsi="Cambria Math"/>
                        <w:i/>
                      </w:rPr>
                    </m:ctrlPr>
                  </m:dPr>
                  <m:e>
                    <m:r>
                      <w:rPr>
                        <w:rFonts w:ascii="Cambria Math" w:hAnsi="Cambria Math"/>
                      </w:rPr>
                      <m:t>0,1</m:t>
                    </m:r>
                  </m:e>
                </m:d>
                <m: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~N</m:t>
                </m:r>
                <m:r>
                  <w:rPr>
                    <w:rFonts w:ascii="Cambria Math" w:hAnsi="Cambria Math"/>
                  </w:rPr>
                  <m:t>(0,1)</m:t>
                </m:r>
              </m:oMath>
            </m:oMathPara>
          </w:p>
        </w:tc>
        <w:tc>
          <w:tcPr>
            <w:tcW w:w="3117" w:type="dxa"/>
          </w:tcPr>
          <w:p w14:paraId="7A91B98A" w14:textId="77777777" w:rsidR="00E3530B" w:rsidRDefault="00E3530B" w:rsidP="00075E7F"/>
        </w:tc>
      </w:tr>
      <w:tr w:rsidR="00AC7764" w14:paraId="43E71682" w14:textId="77777777" w:rsidTr="00883D8E">
        <w:tc>
          <w:tcPr>
            <w:tcW w:w="3116" w:type="dxa"/>
          </w:tcPr>
          <w:p w14:paraId="57A240AE" w14:textId="2AF7313E" w:rsidR="00AC7764" w:rsidRDefault="00B1094D" w:rsidP="00075E7F">
            <w:r>
              <w:t xml:space="preserve">Treatment Heterogeneity </w:t>
            </w:r>
            <w:r w:rsidR="009514B4">
              <w:t>(</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0</m:t>
                  </m:r>
                </m:sub>
              </m:sSub>
              <m:r>
                <w:rPr>
                  <w:rFonts w:ascii="Cambria Math" w:hAnsi="Cambria Math"/>
                </w:rPr>
                <m:t>)</m:t>
              </m:r>
            </m:oMath>
          </w:p>
        </w:tc>
        <w:tc>
          <w:tcPr>
            <w:tcW w:w="3117" w:type="dxa"/>
          </w:tcPr>
          <w:p w14:paraId="069835AC" w14:textId="4DBC3FA9" w:rsidR="00AC7764" w:rsidRDefault="009514B4" w:rsidP="00075E7F">
            <m:oMathPara>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0</m:t>
                    </m:r>
                  </m:sub>
                </m:sSub>
                <m:r>
                  <w:rPr>
                    <w:rFonts w:ascii="Cambria Math" w:hAnsi="Cambria Math"/>
                  </w:rPr>
                  <m:t>=0.4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-0.1</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3117" w:type="dxa"/>
          </w:tcPr>
          <w:p w14:paraId="184FAE86" w14:textId="77777777" w:rsidR="00AC7764" w:rsidRDefault="00AC7764" w:rsidP="00075E7F"/>
        </w:tc>
      </w:tr>
      <w:tr w:rsidR="00AC7764" w14:paraId="2A9A17E0" w14:textId="77777777" w:rsidTr="00883D8E">
        <w:tc>
          <w:tcPr>
            <w:tcW w:w="3116" w:type="dxa"/>
          </w:tcPr>
          <w:p w14:paraId="2DDD90A1" w14:textId="155EAB7F" w:rsidR="00AC7764" w:rsidRDefault="00B1094D" w:rsidP="00075E7F">
            <w:r>
              <w:t>Selection equation</w:t>
            </w:r>
          </w:p>
        </w:tc>
        <w:tc>
          <w:tcPr>
            <w:tcW w:w="3117" w:type="dxa"/>
          </w:tcPr>
          <w:p w14:paraId="28024C5A" w14:textId="566AF186" w:rsidR="00AC7764" w:rsidRDefault="00B1094D" w:rsidP="00075E7F">
            <m:oMathPara>
              <m:oMath>
                <m:func>
                  <m:funcPr>
                    <m:ctrlPr>
                      <w:rPr>
                        <w:rFonts w:ascii="Cambria Math" w:hAnsi="Cambria Math"/>
                        <w:i/>
                      </w:rPr>
                    </m:ctrlPr>
                  </m:funcPr>
                  <m:fName>
                    <m:r>
                      <m:rPr>
                        <m:sty m:val="p"/>
                      </m:rPr>
                      <w:rPr>
                        <w:rFonts w:ascii="Cambria Math" w:hAnsi="Cambria Math"/>
                      </w:rPr>
                      <m:t>Pr</m:t>
                    </m:r>
                  </m:fName>
                  <m:e>
                    <m:r>
                      <w:rPr>
                        <w:rFonts w:ascii="Cambria Math" w:hAnsi="Cambria Math"/>
                      </w:rPr>
                      <m:t>(D=1|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func>
                <m:r>
                  <w:rPr>
                    <w:rFonts w:ascii="Cambria Math" w:hAnsi="Cambria Math"/>
                  </w:rPr>
                  <m:t>=invlogit</m:t>
                </m:r>
                <m:d>
                  <m:dPr>
                    <m:ctrlPr>
                      <w:rPr>
                        <w:rFonts w:ascii="Cambria Math" w:hAnsi="Cambria Math"/>
                        <w:i/>
                      </w:rPr>
                    </m:ctrlPr>
                  </m:dPr>
                  <m:e>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-0.8</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tc>
        <w:tc>
          <w:tcPr>
            <w:tcW w:w="3117" w:type="dxa"/>
          </w:tcPr>
          <w:p w14:paraId="7B37E6B1" w14:textId="77777777" w:rsidR="00AC7764" w:rsidRDefault="00AC7764" w:rsidP="00075E7F"/>
        </w:tc>
      </w:tr>
      <w:tr w:rsidR="00AC7764" w14:paraId="7944CE9E" w14:textId="77777777" w:rsidTr="00883D8E">
        <w:tc>
          <w:tcPr>
            <w:tcW w:w="3116" w:type="dxa"/>
          </w:tcPr>
          <w:p w14:paraId="7492C4B6" w14:textId="04AD727A" w:rsidR="00AC7764" w:rsidRDefault="00B1094D" w:rsidP="00075E7F">
            <w:r>
              <w:t>Errors</w:t>
            </w:r>
          </w:p>
        </w:tc>
        <w:tc>
          <w:tcPr>
            <w:tcW w:w="3117" w:type="dxa"/>
          </w:tcPr>
          <w:p w14:paraId="3D91803D" w14:textId="30660B95" w:rsidR="00AC7764" w:rsidRDefault="00B1094D" w:rsidP="00075E7F">
            <m:oMathPara>
              <m:oMath>
                <m:sSub>
                  <m:sSubPr>
                    <m:ctrlPr>
                      <w:rPr>
                        <w:rFonts w:ascii="Cambria Math" w:hAnsi="Cambria Math"/>
                        <w:i/>
                      </w:rPr>
                    </m:ctrlPr>
                  </m:sSubPr>
                  <m:e>
                    <m:r>
                      <w:rPr>
                        <w:rFonts w:ascii="Cambria Math" w:hAnsi="Cambria Math"/>
                      </w:rPr>
                      <m:t>ϵ</m:t>
                    </m:r>
                  </m:e>
                  <m:sub>
                    <m:r>
                      <w:rPr>
                        <w:rFonts w:ascii="Cambria Math" w:hAnsi="Cambria Math"/>
                      </w:rPr>
                      <m:t>0</m:t>
                    </m:r>
                  </m:sub>
                </m:sSub>
                <m:r>
                  <m:rPr>
                    <m:scr m:val="script"/>
                  </m:rPr>
                  <w:rPr>
                    <w:rFonts w:ascii="Cambria Math" w:hAnsi="Cambria Math"/>
                  </w:rPr>
                  <m:t>~N</m:t>
                </m:r>
                <m:d>
                  <m:dPr>
                    <m:ctrlPr>
                      <w:rPr>
                        <w:rFonts w:ascii="Cambria Math" w:hAnsi="Cambria Math"/>
                        <w:i/>
                      </w:rPr>
                    </m:ctrlPr>
                  </m:dPr>
                  <m:e>
                    <m:r>
                      <w:rPr>
                        <w:rFonts w:ascii="Cambria Math" w:hAnsi="Cambria Math"/>
                      </w:rPr>
                      <m:t>0,1</m:t>
                    </m:r>
                  </m:e>
                </m:d>
                <m:r>
                  <w:rPr>
                    <w:rFonts w:ascii="Cambria Math" w:hAnsi="Cambria Math"/>
                  </w:rPr>
                  <w:br/>
                </m:r>
              </m:oMath>
              <m:oMath>
                <m:sSub>
                  <m:sSubPr>
                    <m:ctrlPr>
                      <w:rPr>
                        <w:rFonts w:ascii="Cambria Math" w:hAnsi="Cambria Math"/>
                        <w:i/>
                      </w:rPr>
                    </m:ctrlPr>
                  </m:sSubPr>
                  <m:e>
                    <m:r>
                      <w:rPr>
                        <w:rFonts w:ascii="Cambria Math" w:hAnsi="Cambria Math"/>
                      </w:rPr>
                      <m:t>ϵ</m:t>
                    </m:r>
                  </m:e>
                  <m:sub>
                    <m:r>
                      <w:rPr>
                        <w:rFonts w:ascii="Cambria Math" w:hAnsi="Cambria Math"/>
                      </w:rPr>
                      <m:t>1</m:t>
                    </m:r>
                  </m:sub>
                </m:sSub>
                <m:r>
                  <m:rPr>
                    <m:scr m:val="script"/>
                  </m:rPr>
                  <w:rPr>
                    <w:rFonts w:ascii="Cambria Math" w:hAnsi="Cambria Math"/>
                  </w:rPr>
                  <m:t>N(</m:t>
                </m:r>
                <m:r>
                  <w:rPr>
                    <w:rFonts w:ascii="Cambria Math" w:hAnsi="Cambria Math"/>
                  </w:rPr>
                  <m:t>0,1)</m:t>
                </m:r>
              </m:oMath>
            </m:oMathPara>
          </w:p>
        </w:tc>
        <w:tc>
          <w:tcPr>
            <w:tcW w:w="3117" w:type="dxa"/>
          </w:tcPr>
          <w:p w14:paraId="11F1833F" w14:textId="77777777" w:rsidR="00AC7764" w:rsidRDefault="00AC7764" w:rsidP="00075E7F"/>
        </w:tc>
      </w:tr>
    </w:tbl>
    <w:p w14:paraId="559361AC" w14:textId="6FE1C873" w:rsidR="00FF3A29" w:rsidRDefault="00FF3A29" w:rsidP="00075E7F">
      <w:pPr>
        <w:spacing w:line="480" w:lineRule="auto"/>
      </w:pPr>
    </w:p>
    <w:tbl>
      <w:tblPr>
        <w:tblW w:w="0" w:type="auto"/>
        <w:tblLook w:val="04A0" w:firstRow="1" w:lastRow="0" w:firstColumn="1" w:lastColumn="0" w:noHBand="0" w:noVBand="1"/>
      </w:tblPr>
      <w:tblGrid>
        <w:gridCol w:w="3116"/>
        <w:gridCol w:w="5699"/>
      </w:tblGrid>
      <w:tr w:rsidR="00932C6C" w14:paraId="73F63957" w14:textId="77777777" w:rsidTr="00883D8E">
        <w:tc>
          <w:tcPr>
            <w:tcW w:w="8815" w:type="dxa"/>
            <w:gridSpan w:val="2"/>
            <w:tcBorders>
              <w:bottom w:val="single" w:sz="4" w:space="0" w:color="auto"/>
            </w:tcBorders>
          </w:tcPr>
          <w:p w14:paraId="5D8AFD84" w14:textId="7C9AECEA" w:rsidR="00932C6C" w:rsidRDefault="00883D8E" w:rsidP="00075E7F">
            <w:r>
              <w:t>Table 2: Modifications to the baseline case for specific scenarios</w:t>
            </w:r>
            <w:r w:rsidR="00932C6C">
              <w:t>. All simulations have 5,00</w:t>
            </w:r>
            <w:r>
              <w:t>0</w:t>
            </w:r>
            <w:r w:rsidR="00932C6C">
              <w:t xml:space="preserve"> runs</w:t>
            </w:r>
          </w:p>
        </w:tc>
      </w:tr>
      <w:tr w:rsidR="00932C6C" w14:paraId="3FD627AE" w14:textId="77777777" w:rsidTr="00883D8E">
        <w:tc>
          <w:tcPr>
            <w:tcW w:w="3116" w:type="dxa"/>
            <w:tcBorders>
              <w:top w:val="single" w:sz="4" w:space="0" w:color="auto"/>
            </w:tcBorders>
          </w:tcPr>
          <w:p w14:paraId="4802AD20" w14:textId="76F970E9" w:rsidR="00932C6C" w:rsidRDefault="00932C6C" w:rsidP="00075E7F">
            <w:r>
              <w:t>Case: Small sample size</w:t>
            </w:r>
          </w:p>
        </w:tc>
        <w:tc>
          <w:tcPr>
            <w:tcW w:w="5699" w:type="dxa"/>
            <w:tcBorders>
              <w:top w:val="single" w:sz="4" w:space="0" w:color="auto"/>
            </w:tcBorders>
          </w:tcPr>
          <w:p w14:paraId="29B87B78" w14:textId="3101B2FE" w:rsidR="00932C6C" w:rsidRDefault="00932C6C" w:rsidP="00075E7F">
            <m:oMathPara>
              <m:oMath>
                <m:r>
                  <w:rPr>
                    <w:rFonts w:ascii="Cambria Math" w:hAnsi="Cambria Math"/>
                  </w:rPr>
                  <m:t>n=</m:t>
                </m:r>
                <m:r>
                  <w:rPr>
                    <w:rFonts w:ascii="Cambria Math" w:hAnsi="Cambria Math"/>
                  </w:rPr>
                  <m:t>20</m:t>
                </m:r>
              </m:oMath>
            </m:oMathPara>
          </w:p>
        </w:tc>
      </w:tr>
      <w:tr w:rsidR="00932C6C" w14:paraId="722D0BB0" w14:textId="77777777" w:rsidTr="00883D8E">
        <w:tc>
          <w:tcPr>
            <w:tcW w:w="3116" w:type="dxa"/>
          </w:tcPr>
          <w:p w14:paraId="15BD23D1" w14:textId="2BE6BC67" w:rsidR="00932C6C" w:rsidRDefault="00932C6C" w:rsidP="00075E7F">
            <w:r>
              <w:t>Case: Rare selection</w:t>
            </w:r>
          </w:p>
        </w:tc>
        <w:tc>
          <w:tcPr>
            <w:tcW w:w="5699" w:type="dxa"/>
          </w:tcPr>
          <w:p w14:paraId="1413C818" w14:textId="6C4A28D7" w:rsidR="00932C6C" w:rsidRDefault="00932C6C" w:rsidP="00075E7F">
            <m:oMathPara>
              <m:oMath>
                <m:func>
                  <m:funcPr>
                    <m:ctrlPr>
                      <w:rPr>
                        <w:rFonts w:ascii="Cambria Math" w:hAnsi="Cambria Math"/>
                        <w:i/>
                      </w:rPr>
                    </m:ctrlPr>
                  </m:funcPr>
                  <m:fName>
                    <m:r>
                      <m:rPr>
                        <m:sty m:val="p"/>
                      </m:rPr>
                      <w:rPr>
                        <w:rFonts w:ascii="Cambria Math" w:hAnsi="Cambria Math"/>
                      </w:rPr>
                      <m:t>Pr</m:t>
                    </m:r>
                  </m:fName>
                  <m:e>
                    <m:r>
                      <w:rPr>
                        <w:rFonts w:ascii="Cambria Math" w:hAnsi="Cambria Math"/>
                      </w:rPr>
                      <m:t>(D=1|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func>
                <m:r>
                  <w:rPr>
                    <w:rFonts w:ascii="Cambria Math" w:hAnsi="Cambria Math"/>
                  </w:rPr>
                  <m:t>=invlogit</m:t>
                </m:r>
                <m:d>
                  <m:dPr>
                    <m:ctrlPr>
                      <w:rPr>
                        <w:rFonts w:ascii="Cambria Math" w:hAnsi="Cambria Math"/>
                        <w:i/>
                      </w:rPr>
                    </m:ctrlPr>
                  </m:dPr>
                  <m:e>
                    <m:r>
                      <w:rPr>
                        <w:rFonts w:ascii="Cambria Math" w:hAnsi="Cambria Math"/>
                      </w:rPr>
                      <m:t>-5+0.5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-0.8</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tc>
      </w:tr>
      <w:tr w:rsidR="00932C6C" w14:paraId="20FC3667" w14:textId="77777777" w:rsidTr="00883D8E">
        <w:tc>
          <w:tcPr>
            <w:tcW w:w="3116" w:type="dxa"/>
          </w:tcPr>
          <w:p w14:paraId="4526413E" w14:textId="1A2B0D1C" w:rsidR="00932C6C" w:rsidRDefault="00932C6C" w:rsidP="00075E7F">
            <w:r>
              <w:t xml:space="preserve">Case: Highly collinear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p>
        </w:tc>
        <w:tc>
          <w:tcPr>
            <w:tcW w:w="5699" w:type="dxa"/>
          </w:tcPr>
          <w:p w14:paraId="67A1CD59" w14:textId="16415012" w:rsidR="00932C6C" w:rsidRDefault="00932C6C" w:rsidP="00075E7F">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~N(</m:t>
                </m:r>
                <m:r>
                  <w:rPr>
                    <w:rFonts w:ascii="Cambria Math" w:hAnsi="Cambria Math"/>
                  </w:rPr>
                  <m:t>0,</m:t>
                </m:r>
                <m:d>
                  <m:dPr>
                    <m:ctrlPr>
                      <w:rPr>
                        <w:rFonts w:ascii="Cambria Math" w:eastAsiaTheme="minorHAnsi" w:hAnsi="Cambria Math" w:cstheme="minorBidi"/>
                        <w:i/>
                        <w:kern w:val="2"/>
                        <w:sz w:val="24"/>
                        <w14:ligatures w14:val="standardContextual"/>
                      </w:rPr>
                    </m:ctrlPr>
                  </m:dPr>
                  <m:e>
                    <m:m>
                      <m:mPr>
                        <m:mcs>
                          <m:mc>
                            <m:mcPr>
                              <m:count m:val="2"/>
                              <m:mcJc m:val="center"/>
                            </m:mcPr>
                          </m:mc>
                        </m:mcs>
                        <m:ctrlPr>
                          <w:rPr>
                            <w:rFonts w:ascii="Cambria Math" w:eastAsiaTheme="minorHAnsi" w:hAnsi="Cambria Math" w:cstheme="minorBidi"/>
                            <w:i/>
                            <w:kern w:val="2"/>
                            <w:sz w:val="24"/>
                            <w14:ligatures w14:val="standardContextual"/>
                          </w:rPr>
                        </m:ctrlPr>
                      </m:mPr>
                      <m:mr>
                        <m:e>
                          <m:r>
                            <w:rPr>
                              <w:rFonts w:ascii="Cambria Math" w:hAnsi="Cambria Math"/>
                            </w:rPr>
                            <m:t>1</m:t>
                          </m:r>
                        </m:e>
                        <m:e>
                          <m:r>
                            <w:rPr>
                              <w:rFonts w:ascii="Cambria Math" w:hAnsi="Cambria Math"/>
                            </w:rPr>
                            <m:t>0.99</m:t>
                          </m:r>
                        </m:e>
                      </m:mr>
                      <m:mr>
                        <m:e>
                          <m:r>
                            <w:rPr>
                              <w:rFonts w:ascii="Cambria Math" w:hAnsi="Cambria Math"/>
                            </w:rPr>
                            <m:t>0.99</m:t>
                          </m:r>
                        </m:e>
                        <m:e>
                          <m:r>
                            <w:rPr>
                              <w:rFonts w:ascii="Cambria Math" w:hAnsi="Cambria Math"/>
                            </w:rPr>
                            <m:t>1</m:t>
                          </m:r>
                        </m:e>
                      </m:mr>
                    </m:m>
                  </m:e>
                </m:d>
              </m:oMath>
            </m:oMathPara>
          </w:p>
        </w:tc>
      </w:tr>
    </w:tbl>
    <w:p w14:paraId="10BA2A6F" w14:textId="4E2BFA41" w:rsidR="005171BC" w:rsidRDefault="005171BC" w:rsidP="00075E7F">
      <w:pPr>
        <w:spacing w:line="480" w:lineRule="auto"/>
      </w:pPr>
    </w:p>
    <w:p w14:paraId="42410A78" w14:textId="0035985F" w:rsidR="001B490E" w:rsidRDefault="001B490E" w:rsidP="00075E7F">
      <w:pPr>
        <w:spacing w:line="480" w:lineRule="auto"/>
      </w:pPr>
      <w:r>
        <w:t xml:space="preserve">For the estimation of the GME logit model, I use a support space of 3 with </w:t>
      </w:r>
      <m:oMath>
        <m:sSub>
          <m:sSubPr>
            <m:ctrlPr>
              <w:rPr>
                <w:rFonts w:ascii="Cambria Math" w:hAnsi="Cambria Math"/>
                <w:i/>
              </w:rPr>
            </m:ctrlPr>
          </m:sSubPr>
          <m:e>
            <m:r>
              <w:rPr>
                <w:rFonts w:ascii="Cambria Math" w:hAnsi="Cambria Math"/>
              </w:rPr>
              <m:t>ν</m:t>
            </m:r>
          </m:e>
          <m:sub>
            <m:r>
              <w:rPr>
                <w:rFonts w:ascii="Cambria Math" w:hAnsi="Cambria Math"/>
              </w:rPr>
              <m:t>ih</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0,1</m:t>
                </m:r>
              </m:num>
              <m:den>
                <m:rad>
                  <m:radPr>
                    <m:degHide m:val="1"/>
                    <m:ctrlPr>
                      <w:rPr>
                        <w:rFonts w:ascii="Cambria Math" w:eastAsiaTheme="minorEastAsia" w:hAnsi="Cambria Math"/>
                        <w:i/>
                      </w:rPr>
                    </m:ctrlPr>
                  </m:radPr>
                  <m:deg/>
                  <m:e>
                    <m:r>
                      <w:rPr>
                        <w:rFonts w:ascii="Cambria Math" w:eastAsiaTheme="minorEastAsia" w:hAnsi="Cambria Math"/>
                      </w:rPr>
                      <m:t>n</m:t>
                    </m:r>
                  </m:e>
                </m:rad>
              </m:den>
            </m:f>
            <m:ctrlPr>
              <w:rPr>
                <w:rFonts w:ascii="Cambria Math" w:eastAsiaTheme="minorEastAsia" w:hAnsi="Cambria Math"/>
                <w:i/>
              </w:rPr>
            </m:ctrlPr>
          </m:e>
        </m:d>
      </m:oMath>
      <w:r>
        <w:rPr>
          <w:rFonts w:eastAsiaTheme="minorEastAsia"/>
        </w:rPr>
        <w:t xml:space="preserve">  as suggested by Golan, Judge and Perloff (1996). I do not</w:t>
      </w:r>
      <w:r w:rsidR="00B6386B">
        <w:rPr>
          <w:rFonts w:eastAsiaTheme="minorEastAsia"/>
        </w:rPr>
        <w:t xml:space="preserve"> use any prior distributions for GME logit.</w:t>
      </w:r>
      <w:r w:rsidR="007A389B">
        <w:rPr>
          <w:rFonts w:eastAsiaTheme="minorEastAsia"/>
        </w:rPr>
        <w:t xml:space="preserve"> Note that GME does not require re-parametrization of </w:t>
      </w:r>
      <m:oMath>
        <m:r>
          <w:rPr>
            <w:rFonts w:ascii="Cambria Math" w:eastAsiaTheme="minorEastAsia" w:hAnsi="Cambria Math"/>
          </w:rPr>
          <m:t>β</m:t>
        </m:r>
      </m:oMath>
      <w:r w:rsidR="007A389B">
        <w:rPr>
          <w:rFonts w:eastAsiaTheme="minorEastAsia"/>
        </w:rPr>
        <w:t xml:space="preserve"> (as is the case for GME linear regression).</w:t>
      </w:r>
    </w:p>
    <w:p w14:paraId="1AE31165" w14:textId="7B6F2DE4" w:rsidR="00337E9A" w:rsidRDefault="00337E9A" w:rsidP="00075E7F">
      <w:pPr>
        <w:pStyle w:val="Heading1"/>
        <w:spacing w:line="480" w:lineRule="auto"/>
      </w:pPr>
      <w:r>
        <w:t>Application to Real World Data</w:t>
      </w:r>
    </w:p>
    <w:p w14:paraId="3C59131F" w14:textId="6ADAB417" w:rsidR="00C661E8" w:rsidRDefault="00C661E8" w:rsidP="00B41012">
      <w:pPr>
        <w:spacing w:line="480" w:lineRule="auto"/>
      </w:pPr>
      <w:r>
        <w:t xml:space="preserve">I now apply this method to a real-world dataset. I use the data provided by LaLonde </w:t>
      </w:r>
      <w:r>
        <w:fldChar w:fldCharType="begin"/>
      </w:r>
      <w:r>
        <w:instrText xml:space="preserve"> ADDIN ZOTERO_ITEM CSL_CITATION {"citationID":"sMO5LrqZ","properties":{"formattedCitation":"(1986)","plainCitation":"(1986)","noteIndex":0},"citationItems":[{"id":945,"uris":["http://zotero.org/users/1226582/items/6H5ETP39"],"itemData":{"id":945,"type":"article-journal","abstract":"This paper compares the effect on trainee earnings of an employment program that was run as a field experiment where participants were randomly assigned to treatment and control groups with the estimates that would have been produced by an econometrician. This comparison shows that many of the econometric procedures do not replicate the experimentally determined results, and it suggests that researchers should be aware of the potential for specification errors in other nonexperimental evaluations.","container-title":"The American Economic Review","ISSN":"0002-8282","issue":"4","note":"publisher: American Economic Association","page":"604-620","source":"JSTOR","title":"Evaluating the Econometric Evaluations of Training Programs with Experimental Data","volume":"76","author":[{"family":"LaLonde","given":"Robert J."}],"issued":{"date-parts":[["1986"]]}},"label":"page","suppress-author":true}],"schema":"https://github.com/citation-style-language/schema/raw/master/csl-citation.json"} </w:instrText>
      </w:r>
      <w:r>
        <w:fldChar w:fldCharType="separate"/>
      </w:r>
      <w:r>
        <w:rPr>
          <w:noProof/>
        </w:rPr>
        <w:t>(1986)</w:t>
      </w:r>
      <w:r>
        <w:fldChar w:fldCharType="end"/>
      </w:r>
      <w:r>
        <w:t xml:space="preserve"> for his evaluation of the impact of the National Supported Work (NSW) demonstration. The data is readily available in many software packages as well as through the NBER website. The NSW program randomly assigned individuals to a treatment or control group. Those in the treatment group received “supported work” where participants were employed at construction, service or similar industries in a supportive but performance-oriented work environment. LaLonde examines the data for male and female participants separately. For the male group, the outcome of interest is the 1978 real earnings due to participation in the program (or earnings growth from baseline 1975 wages in a difference-in-differences context). Since we have data from a control group, the difference in mean 1978 earnings between the experimental and control group </w:t>
      </w:r>
      <w:proofErr w:type="gramStart"/>
      <w:r>
        <w:t>is</w:t>
      </w:r>
      <w:proofErr w:type="gramEnd"/>
      <w:r>
        <w:t xml:space="preserve"> an unbiased estimator of the treatment effect. LaLonde asks what if researchers used an alternative control group to analyze the data instead of the actual control group. He constructs several sets of control groups: one based on the Current Population Survey (CPS), one based on the Panel Study of Income Dynamics (PSID), with additional datasets further sub-setting these to match demographic and pre-treatment earnings characteristics to more closely match that of program participants. A part of LaLonde’s results is reproduced here for reference.</w:t>
      </w:r>
    </w:p>
    <w:tbl>
      <w:tblPr>
        <w:tblW w:w="0" w:type="auto"/>
        <w:tblLook w:val="04A0" w:firstRow="1" w:lastRow="0" w:firstColumn="1" w:lastColumn="0" w:noHBand="0" w:noVBand="1"/>
      </w:tblPr>
      <w:tblGrid>
        <w:gridCol w:w="1773"/>
        <w:gridCol w:w="1982"/>
        <w:gridCol w:w="1190"/>
        <w:gridCol w:w="1800"/>
        <w:gridCol w:w="2591"/>
      </w:tblGrid>
      <w:tr w:rsidR="00964120" w14:paraId="177CD116" w14:textId="77777777" w:rsidTr="00707136">
        <w:tc>
          <w:tcPr>
            <w:tcW w:w="9336" w:type="dxa"/>
            <w:gridSpan w:val="5"/>
            <w:tcBorders>
              <w:bottom w:val="single" w:sz="4" w:space="0" w:color="auto"/>
            </w:tcBorders>
          </w:tcPr>
          <w:p w14:paraId="0AB33173" w14:textId="4215E448" w:rsidR="00964120" w:rsidRDefault="00964120" w:rsidP="00075E7F">
            <w:pPr>
              <w:ind w:firstLine="0"/>
              <w:jc w:val="left"/>
            </w:pPr>
            <w:r>
              <w:t xml:space="preserve">Table 3: </w:t>
            </w:r>
            <w:r w:rsidR="00734FF2">
              <w:t xml:space="preserve">treatment effects </w:t>
            </w:r>
            <w:r w:rsidR="00424AF6">
              <w:t xml:space="preserve">for male NWS participants </w:t>
            </w:r>
            <w:r w:rsidR="00734FF2">
              <w:t xml:space="preserve">as reported in LaLonde (1986) using the </w:t>
            </w:r>
            <w:r w:rsidR="00497227">
              <w:t>actual</w:t>
            </w:r>
            <w:r w:rsidR="00734FF2">
              <w:t xml:space="preserve"> control group, and </w:t>
            </w:r>
            <w:r w:rsidR="00735E06">
              <w:t>CPS</w:t>
            </w:r>
            <w:r w:rsidR="000C734D">
              <w:t>-1</w:t>
            </w:r>
            <w:r w:rsidR="00735E06">
              <w:t xml:space="preserve"> </w:t>
            </w:r>
            <w:r w:rsidR="00FA0C18">
              <w:t>group drawn from the current population survey with similar characteristics as the treatment group</w:t>
            </w:r>
          </w:p>
        </w:tc>
      </w:tr>
      <w:tr w:rsidR="00C661E8" w14:paraId="23843440" w14:textId="77777777" w:rsidTr="00707136">
        <w:tc>
          <w:tcPr>
            <w:tcW w:w="1773" w:type="dxa"/>
            <w:tcBorders>
              <w:top w:val="single" w:sz="4" w:space="0" w:color="auto"/>
              <w:bottom w:val="single" w:sz="4" w:space="0" w:color="auto"/>
            </w:tcBorders>
          </w:tcPr>
          <w:p w14:paraId="403F69D9" w14:textId="77777777" w:rsidR="00C661E8" w:rsidRDefault="00C661E8" w:rsidP="00075E7F">
            <w:pPr>
              <w:ind w:firstLine="0"/>
            </w:pPr>
            <w:r>
              <w:t>Comparison Group</w:t>
            </w:r>
          </w:p>
        </w:tc>
        <w:tc>
          <w:tcPr>
            <w:tcW w:w="3172" w:type="dxa"/>
            <w:gridSpan w:val="2"/>
            <w:tcBorders>
              <w:top w:val="single" w:sz="4" w:space="0" w:color="auto"/>
              <w:bottom w:val="single" w:sz="4" w:space="0" w:color="auto"/>
            </w:tcBorders>
          </w:tcPr>
          <w:p w14:paraId="5BCC7EA6" w14:textId="77777777" w:rsidR="00C661E8" w:rsidRDefault="00C661E8" w:rsidP="00075E7F">
            <w:pPr>
              <w:ind w:firstLine="0"/>
              <w:jc w:val="left"/>
            </w:pPr>
            <w:r>
              <w:t>Treatment Less Comparison Group Earnings</w:t>
            </w:r>
          </w:p>
        </w:tc>
        <w:tc>
          <w:tcPr>
            <w:tcW w:w="4391" w:type="dxa"/>
            <w:gridSpan w:val="2"/>
            <w:tcBorders>
              <w:top w:val="single" w:sz="4" w:space="0" w:color="auto"/>
              <w:bottom w:val="single" w:sz="4" w:space="0" w:color="auto"/>
            </w:tcBorders>
          </w:tcPr>
          <w:p w14:paraId="4F2397D2" w14:textId="77777777" w:rsidR="00C661E8" w:rsidRDefault="00C661E8" w:rsidP="00075E7F">
            <w:pPr>
              <w:ind w:firstLine="0"/>
              <w:jc w:val="left"/>
            </w:pPr>
            <w:r>
              <w:t>Difference-in-Differences: Difference in Earnings Growth 1975-1978 Less Comparison Group</w:t>
            </w:r>
          </w:p>
        </w:tc>
      </w:tr>
      <w:tr w:rsidR="00C67732" w14:paraId="733E8F24" w14:textId="77777777" w:rsidTr="00707136">
        <w:tc>
          <w:tcPr>
            <w:tcW w:w="1773" w:type="dxa"/>
            <w:tcBorders>
              <w:top w:val="single" w:sz="4" w:space="0" w:color="auto"/>
            </w:tcBorders>
          </w:tcPr>
          <w:p w14:paraId="21D53060" w14:textId="77777777" w:rsidR="00C661E8" w:rsidRDefault="00C661E8" w:rsidP="00075E7F">
            <w:pPr>
              <w:ind w:firstLine="0"/>
            </w:pPr>
          </w:p>
        </w:tc>
        <w:tc>
          <w:tcPr>
            <w:tcW w:w="1982" w:type="dxa"/>
            <w:tcBorders>
              <w:top w:val="single" w:sz="4" w:space="0" w:color="auto"/>
              <w:bottom w:val="single" w:sz="4" w:space="0" w:color="auto"/>
            </w:tcBorders>
          </w:tcPr>
          <w:p w14:paraId="0AADA467" w14:textId="77777777" w:rsidR="00C661E8" w:rsidRDefault="00C661E8" w:rsidP="00075E7F">
            <w:pPr>
              <w:ind w:firstLine="0"/>
              <w:jc w:val="left"/>
            </w:pPr>
            <w:r>
              <w:t>Unadjusted</w:t>
            </w:r>
          </w:p>
        </w:tc>
        <w:tc>
          <w:tcPr>
            <w:tcW w:w="1190" w:type="dxa"/>
            <w:tcBorders>
              <w:top w:val="single" w:sz="4" w:space="0" w:color="auto"/>
              <w:bottom w:val="single" w:sz="4" w:space="0" w:color="auto"/>
            </w:tcBorders>
          </w:tcPr>
          <w:p w14:paraId="4288A882" w14:textId="77777777" w:rsidR="00C661E8" w:rsidRDefault="00C661E8" w:rsidP="00075E7F">
            <w:pPr>
              <w:ind w:firstLine="0"/>
            </w:pPr>
            <w:r>
              <w:t>Adjusted</w:t>
            </w:r>
            <w:r w:rsidRPr="007675D5">
              <w:rPr>
                <w:rStyle w:val="FootnoteReference"/>
              </w:rPr>
              <w:footnoteReference w:id="1"/>
            </w:r>
          </w:p>
        </w:tc>
        <w:tc>
          <w:tcPr>
            <w:tcW w:w="1800" w:type="dxa"/>
            <w:tcBorders>
              <w:top w:val="single" w:sz="4" w:space="0" w:color="auto"/>
              <w:bottom w:val="single" w:sz="4" w:space="0" w:color="auto"/>
            </w:tcBorders>
          </w:tcPr>
          <w:p w14:paraId="0FB559B2" w14:textId="77777777" w:rsidR="00C661E8" w:rsidRDefault="00C661E8" w:rsidP="00075E7F">
            <w:pPr>
              <w:ind w:firstLine="0"/>
              <w:jc w:val="left"/>
            </w:pPr>
            <w:r>
              <w:t>Without Age</w:t>
            </w:r>
          </w:p>
        </w:tc>
        <w:tc>
          <w:tcPr>
            <w:tcW w:w="2591" w:type="dxa"/>
            <w:tcBorders>
              <w:top w:val="single" w:sz="4" w:space="0" w:color="auto"/>
              <w:bottom w:val="single" w:sz="4" w:space="0" w:color="auto"/>
            </w:tcBorders>
          </w:tcPr>
          <w:p w14:paraId="3B3ECCAB" w14:textId="77777777" w:rsidR="00C661E8" w:rsidRDefault="00C661E8" w:rsidP="00075E7F">
            <w:pPr>
              <w:ind w:firstLine="0"/>
              <w:jc w:val="left"/>
            </w:pPr>
            <w:r>
              <w:t>With Age</w:t>
            </w:r>
          </w:p>
        </w:tc>
      </w:tr>
      <w:tr w:rsidR="00707136" w14:paraId="7DD8F673" w14:textId="77777777" w:rsidTr="00707136">
        <w:tc>
          <w:tcPr>
            <w:tcW w:w="1773" w:type="dxa"/>
          </w:tcPr>
          <w:p w14:paraId="42063BCF" w14:textId="101BE504" w:rsidR="00C661E8" w:rsidRDefault="00FA0C18" w:rsidP="00075E7F">
            <w:pPr>
              <w:ind w:firstLine="0"/>
            </w:pPr>
            <w:r>
              <w:t xml:space="preserve">Actual </w:t>
            </w:r>
            <w:r w:rsidR="00C661E8">
              <w:t>Controls</w:t>
            </w:r>
          </w:p>
        </w:tc>
        <w:tc>
          <w:tcPr>
            <w:tcW w:w="1982" w:type="dxa"/>
            <w:tcBorders>
              <w:top w:val="single" w:sz="4" w:space="0" w:color="auto"/>
            </w:tcBorders>
          </w:tcPr>
          <w:p w14:paraId="0431450D" w14:textId="77777777" w:rsidR="00C661E8" w:rsidRDefault="00C661E8" w:rsidP="00075E7F">
            <w:pPr>
              <w:ind w:firstLine="0"/>
            </w:pPr>
            <w:r>
              <w:t>$886</w:t>
            </w:r>
            <w:r>
              <w:br/>
              <w:t>(476)</w:t>
            </w:r>
          </w:p>
        </w:tc>
        <w:tc>
          <w:tcPr>
            <w:tcW w:w="1190" w:type="dxa"/>
            <w:tcBorders>
              <w:top w:val="single" w:sz="4" w:space="0" w:color="auto"/>
            </w:tcBorders>
          </w:tcPr>
          <w:p w14:paraId="7132B6D2" w14:textId="77777777" w:rsidR="00C661E8" w:rsidRDefault="00C661E8" w:rsidP="00075E7F">
            <w:pPr>
              <w:ind w:firstLine="0"/>
            </w:pPr>
            <w:r>
              <w:t>$798</w:t>
            </w:r>
            <w:r>
              <w:br/>
              <w:t>(472)</w:t>
            </w:r>
          </w:p>
        </w:tc>
        <w:tc>
          <w:tcPr>
            <w:tcW w:w="1800" w:type="dxa"/>
            <w:tcBorders>
              <w:top w:val="single" w:sz="4" w:space="0" w:color="auto"/>
            </w:tcBorders>
          </w:tcPr>
          <w:p w14:paraId="419C91D9" w14:textId="77777777" w:rsidR="00C661E8" w:rsidRDefault="00C661E8" w:rsidP="00075E7F">
            <w:pPr>
              <w:ind w:firstLine="0"/>
              <w:jc w:val="left"/>
            </w:pPr>
            <w:r>
              <w:t>$847</w:t>
            </w:r>
            <w:r>
              <w:br/>
              <w:t>(560)</w:t>
            </w:r>
          </w:p>
        </w:tc>
        <w:tc>
          <w:tcPr>
            <w:tcW w:w="2591" w:type="dxa"/>
            <w:tcBorders>
              <w:top w:val="single" w:sz="4" w:space="0" w:color="auto"/>
            </w:tcBorders>
          </w:tcPr>
          <w:p w14:paraId="2E93F98A" w14:textId="77777777" w:rsidR="00C661E8" w:rsidRDefault="00C661E8" w:rsidP="00075E7F">
            <w:pPr>
              <w:ind w:firstLine="0"/>
              <w:jc w:val="left"/>
            </w:pPr>
            <w:r>
              <w:t>$856</w:t>
            </w:r>
            <w:r>
              <w:br/>
              <w:t>(558)</w:t>
            </w:r>
          </w:p>
        </w:tc>
      </w:tr>
      <w:tr w:rsidR="00C661E8" w14:paraId="4F7E967E" w14:textId="77777777" w:rsidTr="00707136">
        <w:tc>
          <w:tcPr>
            <w:tcW w:w="1773" w:type="dxa"/>
          </w:tcPr>
          <w:p w14:paraId="07739962" w14:textId="77777777" w:rsidR="00C661E8" w:rsidRDefault="00C661E8" w:rsidP="00075E7F">
            <w:pPr>
              <w:ind w:firstLine="0"/>
            </w:pPr>
            <w:r>
              <w:t>CPS-1</w:t>
            </w:r>
          </w:p>
        </w:tc>
        <w:tc>
          <w:tcPr>
            <w:tcW w:w="1982" w:type="dxa"/>
          </w:tcPr>
          <w:p w14:paraId="78D004F6" w14:textId="77777777" w:rsidR="00C661E8" w:rsidRDefault="00C661E8" w:rsidP="00075E7F">
            <w:pPr>
              <w:ind w:firstLine="0"/>
            </w:pPr>
            <w:r>
              <w:t>-$8,870</w:t>
            </w:r>
            <w:r>
              <w:br/>
              <w:t>(562)</w:t>
            </w:r>
          </w:p>
        </w:tc>
        <w:tc>
          <w:tcPr>
            <w:tcW w:w="1190" w:type="dxa"/>
          </w:tcPr>
          <w:p w14:paraId="5F5B52B1" w14:textId="77777777" w:rsidR="00C661E8" w:rsidRDefault="00C661E8" w:rsidP="00075E7F">
            <w:pPr>
              <w:ind w:firstLine="0"/>
            </w:pPr>
            <w:r>
              <w:t>-$4,416</w:t>
            </w:r>
            <w:r>
              <w:br/>
              <w:t>(557)</w:t>
            </w:r>
          </w:p>
        </w:tc>
        <w:tc>
          <w:tcPr>
            <w:tcW w:w="1800" w:type="dxa"/>
          </w:tcPr>
          <w:p w14:paraId="4D803DC5" w14:textId="77777777" w:rsidR="00C661E8" w:rsidRDefault="00C661E8" w:rsidP="00075E7F">
            <w:pPr>
              <w:ind w:firstLine="0"/>
              <w:jc w:val="left"/>
            </w:pPr>
            <w:r>
              <w:t>$1,714</w:t>
            </w:r>
            <w:r>
              <w:br/>
              <w:t>(452)</w:t>
            </w:r>
          </w:p>
        </w:tc>
        <w:tc>
          <w:tcPr>
            <w:tcW w:w="2591" w:type="dxa"/>
          </w:tcPr>
          <w:p w14:paraId="4BCE96DE" w14:textId="77777777" w:rsidR="00C661E8" w:rsidRDefault="00C661E8" w:rsidP="00075E7F">
            <w:pPr>
              <w:ind w:firstLine="0"/>
              <w:jc w:val="left"/>
            </w:pPr>
            <w:r>
              <w:t>$195</w:t>
            </w:r>
            <w:r>
              <w:br/>
              <w:t>(441)</w:t>
            </w:r>
          </w:p>
        </w:tc>
      </w:tr>
    </w:tbl>
    <w:p w14:paraId="4660436E" w14:textId="77777777" w:rsidR="00C661E8" w:rsidRPr="00B6556C" w:rsidRDefault="00C661E8" w:rsidP="00075E7F">
      <w:pPr>
        <w:spacing w:line="480" w:lineRule="auto"/>
      </w:pPr>
    </w:p>
    <w:p w14:paraId="76079CC3" w14:textId="77777777" w:rsidR="00C661E8" w:rsidRDefault="00C661E8" w:rsidP="00075E7F">
      <w:pPr>
        <w:spacing w:line="480" w:lineRule="auto"/>
      </w:pPr>
      <w:r w:rsidRPr="00B6556C">
        <w:t>N</w:t>
      </w:r>
      <w:r>
        <w:t>ote that naïve difference in 1975 earnings between the CPS comparison group and the treatment group recovers a large negative impact of participating in the program. Using the experimental control group as our reference, we know participation in the program is associated with a ~$886 increase in earnings. The large negative impact obtained when using the CPS as the comparison group is likely due to differences in demographic characteristics between the treatment group and the CPS population. Column 2 attempts to adjust for some demographic characteristics such as educational attainment, race and age. However, the estimate of the program’s effect continues to be negative, likely due to uncontrolled (and unobservable) differences between the two groups. Columns 3 and 4 show the results of a Difference-in-Differences type estimation (using 1975 earnings as a baseline). Column 4 controls for age (and age squared) in the DiD estimate. The CPS group shows wildly different impact of program participation when age is controlled for (which is inconsistent with our findings for the experimental control group).</w:t>
      </w:r>
    </w:p>
    <w:p w14:paraId="745AE160" w14:textId="51719F1F" w:rsidR="005B1C7F" w:rsidRDefault="00C661E8" w:rsidP="00B41012">
      <w:pPr>
        <w:spacing w:line="480" w:lineRule="auto"/>
      </w:pPr>
      <w:r>
        <w:t xml:space="preserve">I now apply Abadie’s matching method, using the GME based first stage described earlier. I obtain standard errors through bootstrap. </w:t>
      </w:r>
      <w:r w:rsidR="00B41012">
        <w:t xml:space="preserve">Table 4 </w:t>
      </w:r>
      <w:r>
        <w:t>shows the results. Note that the estimate of the program’s effect is now much closer to one obtained from using the experimental control group. The standard error of the estimate is also similar.</w:t>
      </w:r>
    </w:p>
    <w:tbl>
      <w:tblPr>
        <w:tblW w:w="0" w:type="auto"/>
        <w:tblLook w:val="04A0" w:firstRow="1" w:lastRow="0" w:firstColumn="1" w:lastColumn="0" w:noHBand="0" w:noVBand="1"/>
      </w:tblPr>
      <w:tblGrid>
        <w:gridCol w:w="2610"/>
        <w:gridCol w:w="5040"/>
      </w:tblGrid>
      <w:tr w:rsidR="00285B4C" w14:paraId="497087B4" w14:textId="77777777" w:rsidTr="00707136">
        <w:tc>
          <w:tcPr>
            <w:tcW w:w="7650" w:type="dxa"/>
            <w:gridSpan w:val="2"/>
          </w:tcPr>
          <w:p w14:paraId="7676DFB1" w14:textId="532788BC" w:rsidR="00285B4C" w:rsidRDefault="00B5293F" w:rsidP="00075E7F">
            <w:pPr>
              <w:ind w:firstLine="0"/>
              <w:jc w:val="left"/>
            </w:pPr>
            <w:r>
              <w:t xml:space="preserve">Table 4: </w:t>
            </w:r>
            <w:r w:rsidR="006337F6">
              <w:t xml:space="preserve">Treatment effects using Abadie’s weighting scheme (with </w:t>
            </w:r>
            <w:r w:rsidR="00430722">
              <w:t>GME first step)</w:t>
            </w:r>
          </w:p>
        </w:tc>
      </w:tr>
      <w:tr w:rsidR="00C661E8" w14:paraId="40378CD0" w14:textId="77777777" w:rsidTr="00707136">
        <w:tc>
          <w:tcPr>
            <w:tcW w:w="2610" w:type="dxa"/>
          </w:tcPr>
          <w:p w14:paraId="6A7FB836" w14:textId="77777777" w:rsidR="00C661E8" w:rsidRDefault="00C661E8" w:rsidP="00075E7F">
            <w:pPr>
              <w:ind w:firstLine="0"/>
            </w:pPr>
            <w:r>
              <w:t>Comparison Group</w:t>
            </w:r>
          </w:p>
        </w:tc>
        <w:tc>
          <w:tcPr>
            <w:tcW w:w="5040" w:type="dxa"/>
          </w:tcPr>
          <w:p w14:paraId="40CAD419" w14:textId="01A601AF" w:rsidR="00C661E8" w:rsidRDefault="00C661E8" w:rsidP="00075E7F">
            <w:pPr>
              <w:ind w:firstLine="0"/>
              <w:jc w:val="left"/>
            </w:pPr>
            <w:r>
              <w:t>Difference in Earnings Growth 1975-1978 Less Comparison Group</w:t>
            </w:r>
          </w:p>
        </w:tc>
      </w:tr>
      <w:tr w:rsidR="00C661E8" w14:paraId="2B48509E" w14:textId="77777777" w:rsidTr="00707136">
        <w:tc>
          <w:tcPr>
            <w:tcW w:w="2610" w:type="dxa"/>
          </w:tcPr>
          <w:p w14:paraId="2E21D736" w14:textId="77777777" w:rsidR="00C661E8" w:rsidRDefault="00C661E8" w:rsidP="00075E7F">
            <w:pPr>
              <w:ind w:firstLine="0"/>
            </w:pPr>
          </w:p>
        </w:tc>
        <w:tc>
          <w:tcPr>
            <w:tcW w:w="5040" w:type="dxa"/>
          </w:tcPr>
          <w:p w14:paraId="634A0FAD" w14:textId="77777777" w:rsidR="00C661E8" w:rsidRDefault="00C661E8" w:rsidP="00075E7F">
            <w:pPr>
              <w:ind w:firstLine="0"/>
              <w:jc w:val="left"/>
            </w:pPr>
            <w:r>
              <w:t>Without Age</w:t>
            </w:r>
          </w:p>
        </w:tc>
      </w:tr>
      <w:tr w:rsidR="00C661E8" w14:paraId="58EFBA15" w14:textId="77777777" w:rsidTr="00707136">
        <w:tc>
          <w:tcPr>
            <w:tcW w:w="2610" w:type="dxa"/>
          </w:tcPr>
          <w:p w14:paraId="10497F0A" w14:textId="77777777" w:rsidR="00C661E8" w:rsidRDefault="00C661E8" w:rsidP="00075E7F">
            <w:pPr>
              <w:ind w:firstLine="0"/>
            </w:pPr>
            <w:r>
              <w:t>Controls</w:t>
            </w:r>
          </w:p>
        </w:tc>
        <w:tc>
          <w:tcPr>
            <w:tcW w:w="5040" w:type="dxa"/>
          </w:tcPr>
          <w:p w14:paraId="6E9B5A9A" w14:textId="77777777" w:rsidR="00C661E8" w:rsidRDefault="00C661E8" w:rsidP="00075E7F">
            <w:pPr>
              <w:ind w:firstLine="0"/>
              <w:jc w:val="left"/>
            </w:pPr>
            <w:r>
              <w:t>$847</w:t>
            </w:r>
            <w:r>
              <w:br/>
              <w:t>(560)</w:t>
            </w:r>
          </w:p>
        </w:tc>
      </w:tr>
      <w:tr w:rsidR="00C661E8" w14:paraId="6BFD59B2" w14:textId="77777777" w:rsidTr="00707136">
        <w:tc>
          <w:tcPr>
            <w:tcW w:w="2610" w:type="dxa"/>
          </w:tcPr>
          <w:p w14:paraId="7FC2A64B" w14:textId="77777777" w:rsidR="00C661E8" w:rsidRDefault="00C661E8" w:rsidP="00075E7F">
            <w:pPr>
              <w:ind w:firstLine="0"/>
              <w:jc w:val="left"/>
            </w:pPr>
            <w:r>
              <w:t>CPS-1 with Abadie’s method</w:t>
            </w:r>
          </w:p>
        </w:tc>
        <w:tc>
          <w:tcPr>
            <w:tcW w:w="5040" w:type="dxa"/>
          </w:tcPr>
          <w:p w14:paraId="69729650" w14:textId="77777777" w:rsidR="00C661E8" w:rsidRDefault="00C661E8" w:rsidP="00075E7F">
            <w:pPr>
              <w:ind w:firstLine="0"/>
              <w:jc w:val="left"/>
            </w:pPr>
            <w:r>
              <w:t>$575</w:t>
            </w:r>
            <w:r>
              <w:br/>
              <w:t>(562)</w:t>
            </w:r>
          </w:p>
        </w:tc>
      </w:tr>
    </w:tbl>
    <w:p w14:paraId="7166EB4F" w14:textId="77777777" w:rsidR="00C661E8" w:rsidRDefault="00C661E8" w:rsidP="00075E7F">
      <w:pPr>
        <w:spacing w:line="480" w:lineRule="auto"/>
      </w:pPr>
    </w:p>
    <w:p w14:paraId="145E3A40" w14:textId="2DC84D7E" w:rsidR="00C661E8" w:rsidRPr="009F7BD0" w:rsidRDefault="00430722" w:rsidP="00075E7F">
      <w:pPr>
        <w:spacing w:line="480" w:lineRule="auto"/>
      </w:pPr>
      <w:r>
        <w:t>T</w:t>
      </w:r>
      <w:r w:rsidR="00C661E8">
        <w:t>hrough simulation I show that Abadie’s matching method (especially when using GME first stage to estimate the selection equation) performs well in recovering the impact of treatment when the narrow parallel trends assumption is violated (due to selection or heterogenous treatment effects. However, the parallel trends assumption is still maintained after conditioning on treatment and covariates). The GME-based method performs especially well when there is heteroskedasticity or small sample sizes. In addition, I apply the method to a well-known dataset (once where we have an experimental control group to verify our result). I show the Difference-in-Differences with matching estimator performs much better in estimating the treatment effect than traditional DiD.</w:t>
      </w:r>
    </w:p>
    <w:p w14:paraId="0B4A0D59" w14:textId="77777777" w:rsidR="00337E9A" w:rsidRPr="00337E9A" w:rsidRDefault="00337E9A" w:rsidP="00075E7F">
      <w:pPr>
        <w:spacing w:line="480" w:lineRule="auto"/>
      </w:pPr>
    </w:p>
    <w:p w14:paraId="4FD429DD" w14:textId="77777777" w:rsidR="00594BFB" w:rsidRPr="00387A4C" w:rsidRDefault="00594BFB" w:rsidP="00075E7F">
      <w:pPr>
        <w:spacing w:line="480" w:lineRule="auto"/>
        <w:rPr>
          <w:rFonts w:eastAsiaTheme="minorEastAsia"/>
        </w:rPr>
      </w:pPr>
    </w:p>
    <w:sectPr w:rsidR="00594BFB" w:rsidRPr="00387A4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3580FF" w14:textId="77777777" w:rsidR="00C661E8" w:rsidRDefault="00C661E8" w:rsidP="00C661E8">
      <w:r>
        <w:separator/>
      </w:r>
    </w:p>
  </w:endnote>
  <w:endnote w:type="continuationSeparator" w:id="0">
    <w:p w14:paraId="4383CF75" w14:textId="77777777" w:rsidR="00C661E8" w:rsidRDefault="00C661E8" w:rsidP="00C66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New Caledonia LT Std">
    <w:altName w:val="Calibri"/>
    <w:panose1 w:val="020B0604020202020204"/>
    <w:charset w:val="00"/>
    <w:family w:val="auto"/>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Times-Roman">
    <w:altName w:val="Times New Roman"/>
    <w:panose1 w:val="020B0604020202020204"/>
    <w:charset w:val="4D"/>
    <w:family w:val="auto"/>
    <w:notTrueType/>
    <w:pitch w:val="default"/>
    <w:sig w:usb0="00000003" w:usb1="00000000" w:usb2="00000000" w:usb3="00000000" w:csb0="00000001" w:csb1="00000000"/>
  </w:font>
  <w:font w:name="TimesLTStd-Roman">
    <w:altName w:val="Times New Roman"/>
    <w:panose1 w:val="020B0604020202020204"/>
    <w:charset w:val="4D"/>
    <w:family w:val="auto"/>
    <w:notTrueType/>
    <w:pitch w:val="default"/>
    <w:sig w:usb0="00000003" w:usb1="00000000" w:usb2="00000000" w:usb3="00000000" w:csb0="00000001" w:csb1="00000000"/>
  </w:font>
  <w:font w:name="TimesLTStd-Italic">
    <w:altName w:val="Times New Roman"/>
    <w:panose1 w:val="020B0604020202020204"/>
    <w:charset w:val="4D"/>
    <w:family w:val="auto"/>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NewCaledoniaLTStd">
    <w:altName w:val="Calibri"/>
    <w:panose1 w:val="020B0604020202020204"/>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F748D" w14:textId="77777777" w:rsidR="00E7570E" w:rsidRDefault="00E7570E">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6D83977E" w14:textId="77777777" w:rsidR="00E7570E" w:rsidRDefault="00E757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4BF526" w14:textId="77777777" w:rsidR="00C661E8" w:rsidRDefault="00C661E8" w:rsidP="00C661E8">
      <w:r>
        <w:separator/>
      </w:r>
    </w:p>
  </w:footnote>
  <w:footnote w:type="continuationSeparator" w:id="0">
    <w:p w14:paraId="62F6057C" w14:textId="77777777" w:rsidR="00C661E8" w:rsidRDefault="00C661E8" w:rsidP="00C661E8">
      <w:r>
        <w:continuationSeparator/>
      </w:r>
    </w:p>
  </w:footnote>
  <w:footnote w:id="1">
    <w:p w14:paraId="7DED6929" w14:textId="77777777" w:rsidR="00C661E8" w:rsidRDefault="00C661E8" w:rsidP="00C661E8">
      <w:pPr>
        <w:pStyle w:val="FootnoteText"/>
      </w:pPr>
      <w:r w:rsidRPr="007675D5">
        <w:rPr>
          <w:rStyle w:val="FootnoteReference"/>
        </w:rPr>
        <w:footnoteRef/>
      </w:r>
      <w:r>
        <w:t xml:space="preserve"> The exogenous variables used in the regression adjusted equations are age, age squared, years of schooling, high school dropout status and race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3ADC8E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5FE49F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8064B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9840BF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BDE333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76ADA3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A40BF7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788D71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9867A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CFA3A42"/>
    <w:lvl w:ilvl="0">
      <w:start w:val="1"/>
      <w:numFmt w:val="lowerRoman"/>
      <w:lvlText w:val="(%1)"/>
      <w:lvlJc w:val="right"/>
      <w:pPr>
        <w:ind w:left="835" w:hanging="360"/>
      </w:pPr>
      <w:rPr>
        <w:rFonts w:hint="default"/>
      </w:rPr>
    </w:lvl>
  </w:abstractNum>
  <w:abstractNum w:abstractNumId="10" w15:restartNumberingAfterBreak="0">
    <w:nsid w:val="FFFFFF89"/>
    <w:multiLevelType w:val="singleLevel"/>
    <w:tmpl w:val="F0C0AC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761B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96D7F6C"/>
    <w:multiLevelType w:val="hybridMultilevel"/>
    <w:tmpl w:val="42704DBE"/>
    <w:lvl w:ilvl="0" w:tplc="F5D20E9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4426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FB36D8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3F67049"/>
    <w:multiLevelType w:val="hybridMultilevel"/>
    <w:tmpl w:val="19F2DFCA"/>
    <w:lvl w:ilvl="0" w:tplc="3918BB4E">
      <w:start w:val="1"/>
      <w:numFmt w:val="lowerRoman"/>
      <w:pStyle w:val="ListNumber"/>
      <w:lvlText w:val="(%1)"/>
      <w:lvlJc w:val="left"/>
      <w:pPr>
        <w:tabs>
          <w:tab w:val="num" w:pos="1195"/>
        </w:tabs>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16" w15:restartNumberingAfterBreak="0">
    <w:nsid w:val="4A2A7E38"/>
    <w:multiLevelType w:val="multilevel"/>
    <w:tmpl w:val="41C8085E"/>
    <w:lvl w:ilvl="0">
      <w:start w:val="1"/>
      <w:numFmt w:val="decimal"/>
      <w:lvlText w:val="%1"/>
      <w:lvlJc w:val="left"/>
      <w:pPr>
        <w:ind w:left="720" w:hanging="720"/>
      </w:pPr>
      <w:rPr>
        <w:rFonts w:hint="default"/>
        <w:i/>
      </w:rPr>
    </w:lvl>
    <w:lvl w:ilvl="1">
      <w:start w:val="1"/>
      <w:numFmt w:val="decimal"/>
      <w:lvlText w:val="%1.%2"/>
      <w:lvlJc w:val="left"/>
      <w:pPr>
        <w:ind w:left="720" w:hanging="72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080" w:hanging="108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440" w:hanging="1440"/>
      </w:pPr>
      <w:rPr>
        <w:rFonts w:hint="default"/>
        <w:i/>
      </w:rPr>
    </w:lvl>
  </w:abstractNum>
  <w:abstractNum w:abstractNumId="17" w15:restartNumberingAfterBreak="0">
    <w:nsid w:val="59C05D32"/>
    <w:multiLevelType w:val="hybridMultilevel"/>
    <w:tmpl w:val="D4486B8E"/>
    <w:lvl w:ilvl="0" w:tplc="D4509454">
      <w:start w:val="1"/>
      <w:numFmt w:val="bullet"/>
      <w:pStyle w:val="List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Wingdings"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Wingdings"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Wingdings" w:hint="default"/>
      </w:rPr>
    </w:lvl>
    <w:lvl w:ilvl="8" w:tplc="04090005" w:tentative="1">
      <w:start w:val="1"/>
      <w:numFmt w:val="bullet"/>
      <w:lvlText w:val=""/>
      <w:lvlJc w:val="left"/>
      <w:pPr>
        <w:ind w:left="6883" w:hanging="360"/>
      </w:pPr>
      <w:rPr>
        <w:rFonts w:ascii="Wingdings" w:hAnsi="Wingdings" w:hint="default"/>
      </w:rPr>
    </w:lvl>
  </w:abstractNum>
  <w:abstractNum w:abstractNumId="18" w15:restartNumberingAfterBreak="0">
    <w:nsid w:val="5A3978EB"/>
    <w:multiLevelType w:val="multilevel"/>
    <w:tmpl w:val="0DD2A90E"/>
    <w:lvl w:ilvl="0">
      <w:start w:val="1"/>
      <w:numFmt w:val="lowerRoman"/>
      <w:lvlText w:val="(%1)"/>
      <w:lvlJc w:val="left"/>
      <w:pPr>
        <w:ind w:left="1195" w:hanging="360"/>
      </w:pPr>
      <w:rPr>
        <w:rFonts w:hint="default"/>
      </w:rPr>
    </w:lvl>
    <w:lvl w:ilvl="1">
      <w:start w:val="1"/>
      <w:numFmt w:val="lowerLetter"/>
      <w:lvlText w:val="%2."/>
      <w:lvlJc w:val="left"/>
      <w:pPr>
        <w:ind w:left="1915" w:hanging="360"/>
      </w:pPr>
    </w:lvl>
    <w:lvl w:ilvl="2">
      <w:start w:val="1"/>
      <w:numFmt w:val="lowerRoman"/>
      <w:lvlText w:val="%3."/>
      <w:lvlJc w:val="right"/>
      <w:pPr>
        <w:ind w:left="2635" w:hanging="180"/>
      </w:pPr>
    </w:lvl>
    <w:lvl w:ilvl="3">
      <w:start w:val="1"/>
      <w:numFmt w:val="decimal"/>
      <w:lvlText w:val="%4."/>
      <w:lvlJc w:val="left"/>
      <w:pPr>
        <w:ind w:left="3355" w:hanging="360"/>
      </w:pPr>
    </w:lvl>
    <w:lvl w:ilvl="4">
      <w:start w:val="1"/>
      <w:numFmt w:val="lowerLetter"/>
      <w:lvlText w:val="%5."/>
      <w:lvlJc w:val="left"/>
      <w:pPr>
        <w:ind w:left="4075" w:hanging="360"/>
      </w:pPr>
    </w:lvl>
    <w:lvl w:ilvl="5">
      <w:start w:val="1"/>
      <w:numFmt w:val="lowerRoman"/>
      <w:lvlText w:val="%6."/>
      <w:lvlJc w:val="right"/>
      <w:pPr>
        <w:ind w:left="4795" w:hanging="180"/>
      </w:pPr>
    </w:lvl>
    <w:lvl w:ilvl="6">
      <w:start w:val="1"/>
      <w:numFmt w:val="decimal"/>
      <w:lvlText w:val="%7."/>
      <w:lvlJc w:val="left"/>
      <w:pPr>
        <w:ind w:left="5515" w:hanging="360"/>
      </w:pPr>
    </w:lvl>
    <w:lvl w:ilvl="7">
      <w:start w:val="1"/>
      <w:numFmt w:val="lowerLetter"/>
      <w:lvlText w:val="%8."/>
      <w:lvlJc w:val="left"/>
      <w:pPr>
        <w:ind w:left="6235" w:hanging="360"/>
      </w:pPr>
    </w:lvl>
    <w:lvl w:ilvl="8">
      <w:start w:val="1"/>
      <w:numFmt w:val="lowerRoman"/>
      <w:lvlText w:val="%9."/>
      <w:lvlJc w:val="right"/>
      <w:pPr>
        <w:ind w:left="6955" w:hanging="180"/>
      </w:pPr>
    </w:lvl>
  </w:abstractNum>
  <w:abstractNum w:abstractNumId="19" w15:restartNumberingAfterBreak="0">
    <w:nsid w:val="5B4245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054DAC"/>
    <w:multiLevelType w:val="hybridMultilevel"/>
    <w:tmpl w:val="B6AC5DB4"/>
    <w:lvl w:ilvl="0" w:tplc="3A78685A">
      <w:start w:val="1"/>
      <w:numFmt w:val="bullet"/>
      <w:lvlText w:val=""/>
      <w:lvlJc w:val="left"/>
      <w:pPr>
        <w:tabs>
          <w:tab w:val="num" w:pos="202"/>
        </w:tabs>
        <w:ind w:left="202" w:hanging="20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2625739">
    <w:abstractNumId w:val="20"/>
  </w:num>
  <w:num w:numId="2" w16cid:durableId="191461791">
    <w:abstractNumId w:val="12"/>
  </w:num>
  <w:num w:numId="3" w16cid:durableId="241960802">
    <w:abstractNumId w:val="10"/>
  </w:num>
  <w:num w:numId="4" w16cid:durableId="1563901992">
    <w:abstractNumId w:val="7"/>
  </w:num>
  <w:num w:numId="5" w16cid:durableId="227805050">
    <w:abstractNumId w:val="8"/>
  </w:num>
  <w:num w:numId="6" w16cid:durableId="353920062">
    <w:abstractNumId w:val="6"/>
  </w:num>
  <w:num w:numId="7" w16cid:durableId="1770421388">
    <w:abstractNumId w:val="5"/>
  </w:num>
  <w:num w:numId="8" w16cid:durableId="1279331614">
    <w:abstractNumId w:val="4"/>
  </w:num>
  <w:num w:numId="9" w16cid:durableId="1615863720">
    <w:abstractNumId w:val="3"/>
  </w:num>
  <w:num w:numId="10" w16cid:durableId="558367572">
    <w:abstractNumId w:val="2"/>
  </w:num>
  <w:num w:numId="11" w16cid:durableId="1485318993">
    <w:abstractNumId w:val="1"/>
  </w:num>
  <w:num w:numId="12" w16cid:durableId="2132507689">
    <w:abstractNumId w:val="9"/>
  </w:num>
  <w:num w:numId="13" w16cid:durableId="95904257">
    <w:abstractNumId w:val="0"/>
  </w:num>
  <w:num w:numId="14" w16cid:durableId="314266782">
    <w:abstractNumId w:val="19"/>
  </w:num>
  <w:num w:numId="15" w16cid:durableId="1955092021">
    <w:abstractNumId w:val="13"/>
  </w:num>
  <w:num w:numId="16" w16cid:durableId="149172680">
    <w:abstractNumId w:val="14"/>
  </w:num>
  <w:num w:numId="17" w16cid:durableId="144473483">
    <w:abstractNumId w:val="17"/>
  </w:num>
  <w:num w:numId="18" w16cid:durableId="405689930">
    <w:abstractNumId w:val="15"/>
  </w:num>
  <w:num w:numId="19" w16cid:durableId="229845937">
    <w:abstractNumId w:val="11"/>
  </w:num>
  <w:num w:numId="20" w16cid:durableId="1366633248">
    <w:abstractNumId w:val="18"/>
  </w:num>
  <w:num w:numId="21" w16cid:durableId="8410414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8E1"/>
    <w:rsid w:val="000021E2"/>
    <w:rsid w:val="00005518"/>
    <w:rsid w:val="00017C39"/>
    <w:rsid w:val="0002121A"/>
    <w:rsid w:val="000257B5"/>
    <w:rsid w:val="00030710"/>
    <w:rsid w:val="00034459"/>
    <w:rsid w:val="00036376"/>
    <w:rsid w:val="00041A9E"/>
    <w:rsid w:val="000501DB"/>
    <w:rsid w:val="00051D81"/>
    <w:rsid w:val="00064CA5"/>
    <w:rsid w:val="00075E7F"/>
    <w:rsid w:val="000811B5"/>
    <w:rsid w:val="00084992"/>
    <w:rsid w:val="0008598A"/>
    <w:rsid w:val="0008794E"/>
    <w:rsid w:val="00096C30"/>
    <w:rsid w:val="000A4B1B"/>
    <w:rsid w:val="000C734D"/>
    <w:rsid w:val="000E17B7"/>
    <w:rsid w:val="000E2A2B"/>
    <w:rsid w:val="000E301D"/>
    <w:rsid w:val="000F28CB"/>
    <w:rsid w:val="000F2970"/>
    <w:rsid w:val="000F6E5C"/>
    <w:rsid w:val="00110B23"/>
    <w:rsid w:val="00113A25"/>
    <w:rsid w:val="00117FC8"/>
    <w:rsid w:val="00126B26"/>
    <w:rsid w:val="0013107B"/>
    <w:rsid w:val="00143D2F"/>
    <w:rsid w:val="00146863"/>
    <w:rsid w:val="00166ADE"/>
    <w:rsid w:val="001675DE"/>
    <w:rsid w:val="0017237D"/>
    <w:rsid w:val="00184718"/>
    <w:rsid w:val="001A7FFA"/>
    <w:rsid w:val="001B3653"/>
    <w:rsid w:val="001B490E"/>
    <w:rsid w:val="001B71F5"/>
    <w:rsid w:val="001C03A7"/>
    <w:rsid w:val="001D1119"/>
    <w:rsid w:val="001D3315"/>
    <w:rsid w:val="001D6E4E"/>
    <w:rsid w:val="001E3625"/>
    <w:rsid w:val="001E53DB"/>
    <w:rsid w:val="001F38AD"/>
    <w:rsid w:val="001F4568"/>
    <w:rsid w:val="001F6245"/>
    <w:rsid w:val="00216089"/>
    <w:rsid w:val="00225B25"/>
    <w:rsid w:val="0023009D"/>
    <w:rsid w:val="002379FA"/>
    <w:rsid w:val="00241574"/>
    <w:rsid w:val="002433A9"/>
    <w:rsid w:val="002753F1"/>
    <w:rsid w:val="00282CCA"/>
    <w:rsid w:val="002848E3"/>
    <w:rsid w:val="00285B4C"/>
    <w:rsid w:val="00287A2B"/>
    <w:rsid w:val="002A5C56"/>
    <w:rsid w:val="002A7AF3"/>
    <w:rsid w:val="002B58A9"/>
    <w:rsid w:val="002C243D"/>
    <w:rsid w:val="002E0E1B"/>
    <w:rsid w:val="002E57E0"/>
    <w:rsid w:val="002E6207"/>
    <w:rsid w:val="002E74FC"/>
    <w:rsid w:val="00306B76"/>
    <w:rsid w:val="00332175"/>
    <w:rsid w:val="003358EA"/>
    <w:rsid w:val="00337E9A"/>
    <w:rsid w:val="003762FC"/>
    <w:rsid w:val="00387A4C"/>
    <w:rsid w:val="003A493E"/>
    <w:rsid w:val="003B53D7"/>
    <w:rsid w:val="003C0F0F"/>
    <w:rsid w:val="003C1FE8"/>
    <w:rsid w:val="003C28F6"/>
    <w:rsid w:val="003D0435"/>
    <w:rsid w:val="003D1341"/>
    <w:rsid w:val="003D1958"/>
    <w:rsid w:val="003E1C08"/>
    <w:rsid w:val="003E3FF3"/>
    <w:rsid w:val="003F5F3F"/>
    <w:rsid w:val="003F74B8"/>
    <w:rsid w:val="004044E0"/>
    <w:rsid w:val="0041068E"/>
    <w:rsid w:val="004124F6"/>
    <w:rsid w:val="00424AF6"/>
    <w:rsid w:val="00430722"/>
    <w:rsid w:val="00443B5C"/>
    <w:rsid w:val="00447D0E"/>
    <w:rsid w:val="004573CC"/>
    <w:rsid w:val="0046322F"/>
    <w:rsid w:val="0046663D"/>
    <w:rsid w:val="00471F0D"/>
    <w:rsid w:val="00497227"/>
    <w:rsid w:val="004B7A59"/>
    <w:rsid w:val="004C0934"/>
    <w:rsid w:val="004C1AA4"/>
    <w:rsid w:val="004C71F6"/>
    <w:rsid w:val="004E3064"/>
    <w:rsid w:val="004E4C54"/>
    <w:rsid w:val="004E72D7"/>
    <w:rsid w:val="004F240A"/>
    <w:rsid w:val="005032B7"/>
    <w:rsid w:val="00510660"/>
    <w:rsid w:val="00511C29"/>
    <w:rsid w:val="0051711F"/>
    <w:rsid w:val="005171BC"/>
    <w:rsid w:val="005175E2"/>
    <w:rsid w:val="00522884"/>
    <w:rsid w:val="00522CA6"/>
    <w:rsid w:val="00544C86"/>
    <w:rsid w:val="00550DCE"/>
    <w:rsid w:val="005527FD"/>
    <w:rsid w:val="00570768"/>
    <w:rsid w:val="00574C6D"/>
    <w:rsid w:val="0057786C"/>
    <w:rsid w:val="005823CD"/>
    <w:rsid w:val="00582B3D"/>
    <w:rsid w:val="00591230"/>
    <w:rsid w:val="00594BFB"/>
    <w:rsid w:val="00595C5B"/>
    <w:rsid w:val="005B1C7F"/>
    <w:rsid w:val="005C3165"/>
    <w:rsid w:val="005C40CC"/>
    <w:rsid w:val="005C63CE"/>
    <w:rsid w:val="005D78B6"/>
    <w:rsid w:val="00621947"/>
    <w:rsid w:val="00631AEC"/>
    <w:rsid w:val="006323E5"/>
    <w:rsid w:val="006337F6"/>
    <w:rsid w:val="00634C12"/>
    <w:rsid w:val="00642573"/>
    <w:rsid w:val="00643423"/>
    <w:rsid w:val="00647ADF"/>
    <w:rsid w:val="00652995"/>
    <w:rsid w:val="00654998"/>
    <w:rsid w:val="006552F8"/>
    <w:rsid w:val="00655825"/>
    <w:rsid w:val="00663D2F"/>
    <w:rsid w:val="00685309"/>
    <w:rsid w:val="00685885"/>
    <w:rsid w:val="006948E1"/>
    <w:rsid w:val="00696F4E"/>
    <w:rsid w:val="006975E2"/>
    <w:rsid w:val="006D579F"/>
    <w:rsid w:val="006D6824"/>
    <w:rsid w:val="006E0FA7"/>
    <w:rsid w:val="00700179"/>
    <w:rsid w:val="007053DA"/>
    <w:rsid w:val="00707136"/>
    <w:rsid w:val="0071184F"/>
    <w:rsid w:val="0072379A"/>
    <w:rsid w:val="00734FF2"/>
    <w:rsid w:val="00735E06"/>
    <w:rsid w:val="00740DE9"/>
    <w:rsid w:val="007422A0"/>
    <w:rsid w:val="00743116"/>
    <w:rsid w:val="007443E2"/>
    <w:rsid w:val="00751E4C"/>
    <w:rsid w:val="007554F3"/>
    <w:rsid w:val="0077201D"/>
    <w:rsid w:val="00776A06"/>
    <w:rsid w:val="0077735E"/>
    <w:rsid w:val="007775E4"/>
    <w:rsid w:val="00785C1D"/>
    <w:rsid w:val="00790971"/>
    <w:rsid w:val="00793C28"/>
    <w:rsid w:val="00794FE9"/>
    <w:rsid w:val="007A32CA"/>
    <w:rsid w:val="007A389B"/>
    <w:rsid w:val="007B3577"/>
    <w:rsid w:val="007C6A5B"/>
    <w:rsid w:val="007D1B10"/>
    <w:rsid w:val="00807E11"/>
    <w:rsid w:val="0081347F"/>
    <w:rsid w:val="00824677"/>
    <w:rsid w:val="00831779"/>
    <w:rsid w:val="00843650"/>
    <w:rsid w:val="008707BC"/>
    <w:rsid w:val="008839F6"/>
    <w:rsid w:val="00883D8E"/>
    <w:rsid w:val="00887080"/>
    <w:rsid w:val="00892838"/>
    <w:rsid w:val="00894202"/>
    <w:rsid w:val="008974F9"/>
    <w:rsid w:val="008B12BC"/>
    <w:rsid w:val="008B55A8"/>
    <w:rsid w:val="008C1075"/>
    <w:rsid w:val="008C1E99"/>
    <w:rsid w:val="008C2A10"/>
    <w:rsid w:val="008D003C"/>
    <w:rsid w:val="008E611D"/>
    <w:rsid w:val="008F6706"/>
    <w:rsid w:val="00906909"/>
    <w:rsid w:val="00925FED"/>
    <w:rsid w:val="009279DF"/>
    <w:rsid w:val="00932C6C"/>
    <w:rsid w:val="009374FB"/>
    <w:rsid w:val="009414EE"/>
    <w:rsid w:val="0094403C"/>
    <w:rsid w:val="009514B4"/>
    <w:rsid w:val="00952E04"/>
    <w:rsid w:val="00964120"/>
    <w:rsid w:val="00964ADD"/>
    <w:rsid w:val="00973CEE"/>
    <w:rsid w:val="00975B79"/>
    <w:rsid w:val="0098692E"/>
    <w:rsid w:val="00986BFB"/>
    <w:rsid w:val="00991D62"/>
    <w:rsid w:val="00994219"/>
    <w:rsid w:val="0099479B"/>
    <w:rsid w:val="009B0B1E"/>
    <w:rsid w:val="009B1E57"/>
    <w:rsid w:val="009B2D60"/>
    <w:rsid w:val="009D73B7"/>
    <w:rsid w:val="009E5DD2"/>
    <w:rsid w:val="009E6C2B"/>
    <w:rsid w:val="009F22A1"/>
    <w:rsid w:val="00A02648"/>
    <w:rsid w:val="00A06482"/>
    <w:rsid w:val="00A14793"/>
    <w:rsid w:val="00A14AE6"/>
    <w:rsid w:val="00A14C1D"/>
    <w:rsid w:val="00A158D7"/>
    <w:rsid w:val="00A36D5D"/>
    <w:rsid w:val="00A40C04"/>
    <w:rsid w:val="00A42278"/>
    <w:rsid w:val="00A5040C"/>
    <w:rsid w:val="00A637E0"/>
    <w:rsid w:val="00A7704A"/>
    <w:rsid w:val="00A85D03"/>
    <w:rsid w:val="00AA44D1"/>
    <w:rsid w:val="00AB1007"/>
    <w:rsid w:val="00AC5C17"/>
    <w:rsid w:val="00AC7764"/>
    <w:rsid w:val="00AD3059"/>
    <w:rsid w:val="00AD64E3"/>
    <w:rsid w:val="00AE2FD0"/>
    <w:rsid w:val="00AE486E"/>
    <w:rsid w:val="00B03627"/>
    <w:rsid w:val="00B1094D"/>
    <w:rsid w:val="00B1502D"/>
    <w:rsid w:val="00B16FC2"/>
    <w:rsid w:val="00B22086"/>
    <w:rsid w:val="00B27671"/>
    <w:rsid w:val="00B41012"/>
    <w:rsid w:val="00B427BF"/>
    <w:rsid w:val="00B46A08"/>
    <w:rsid w:val="00B52400"/>
    <w:rsid w:val="00B5293F"/>
    <w:rsid w:val="00B6386B"/>
    <w:rsid w:val="00B65C08"/>
    <w:rsid w:val="00B71DF9"/>
    <w:rsid w:val="00B801BD"/>
    <w:rsid w:val="00B82302"/>
    <w:rsid w:val="00B96D29"/>
    <w:rsid w:val="00BA0BDD"/>
    <w:rsid w:val="00BA6596"/>
    <w:rsid w:val="00BA727A"/>
    <w:rsid w:val="00BB2942"/>
    <w:rsid w:val="00BB33A8"/>
    <w:rsid w:val="00BC5169"/>
    <w:rsid w:val="00BC686E"/>
    <w:rsid w:val="00BD36D0"/>
    <w:rsid w:val="00BD75CF"/>
    <w:rsid w:val="00BE0C5D"/>
    <w:rsid w:val="00BF039B"/>
    <w:rsid w:val="00C008DB"/>
    <w:rsid w:val="00C02B0A"/>
    <w:rsid w:val="00C06A31"/>
    <w:rsid w:val="00C11DA7"/>
    <w:rsid w:val="00C1213B"/>
    <w:rsid w:val="00C14FD7"/>
    <w:rsid w:val="00C339E5"/>
    <w:rsid w:val="00C33B8B"/>
    <w:rsid w:val="00C36D3D"/>
    <w:rsid w:val="00C509FB"/>
    <w:rsid w:val="00C5285F"/>
    <w:rsid w:val="00C56DAE"/>
    <w:rsid w:val="00C62F92"/>
    <w:rsid w:val="00C63D17"/>
    <w:rsid w:val="00C65385"/>
    <w:rsid w:val="00C661E8"/>
    <w:rsid w:val="00C67732"/>
    <w:rsid w:val="00C71D81"/>
    <w:rsid w:val="00C8730F"/>
    <w:rsid w:val="00CA1286"/>
    <w:rsid w:val="00CA6705"/>
    <w:rsid w:val="00CB22FB"/>
    <w:rsid w:val="00CC1A15"/>
    <w:rsid w:val="00CD1A75"/>
    <w:rsid w:val="00CD1D7F"/>
    <w:rsid w:val="00CD75E3"/>
    <w:rsid w:val="00CE41AF"/>
    <w:rsid w:val="00CE5899"/>
    <w:rsid w:val="00CE6DF6"/>
    <w:rsid w:val="00CE7019"/>
    <w:rsid w:val="00D017B7"/>
    <w:rsid w:val="00D0448B"/>
    <w:rsid w:val="00D138DA"/>
    <w:rsid w:val="00D167AC"/>
    <w:rsid w:val="00D17E29"/>
    <w:rsid w:val="00D332FF"/>
    <w:rsid w:val="00D3511F"/>
    <w:rsid w:val="00D430D3"/>
    <w:rsid w:val="00D478C0"/>
    <w:rsid w:val="00D50F5D"/>
    <w:rsid w:val="00D55D5A"/>
    <w:rsid w:val="00D73F5E"/>
    <w:rsid w:val="00D74559"/>
    <w:rsid w:val="00D9144D"/>
    <w:rsid w:val="00D94AAF"/>
    <w:rsid w:val="00D96616"/>
    <w:rsid w:val="00DA34B4"/>
    <w:rsid w:val="00DB7A43"/>
    <w:rsid w:val="00DC0509"/>
    <w:rsid w:val="00DC5842"/>
    <w:rsid w:val="00DC7C5B"/>
    <w:rsid w:val="00DC7EED"/>
    <w:rsid w:val="00DD3978"/>
    <w:rsid w:val="00DD7A9C"/>
    <w:rsid w:val="00DE66DA"/>
    <w:rsid w:val="00DF2105"/>
    <w:rsid w:val="00DF2A7C"/>
    <w:rsid w:val="00E10226"/>
    <w:rsid w:val="00E12213"/>
    <w:rsid w:val="00E159AB"/>
    <w:rsid w:val="00E26151"/>
    <w:rsid w:val="00E261BB"/>
    <w:rsid w:val="00E3514B"/>
    <w:rsid w:val="00E3530B"/>
    <w:rsid w:val="00E35CFA"/>
    <w:rsid w:val="00E3733D"/>
    <w:rsid w:val="00E37643"/>
    <w:rsid w:val="00E410E1"/>
    <w:rsid w:val="00E55E70"/>
    <w:rsid w:val="00E64A9B"/>
    <w:rsid w:val="00E65514"/>
    <w:rsid w:val="00E72B7F"/>
    <w:rsid w:val="00E730EE"/>
    <w:rsid w:val="00E7570E"/>
    <w:rsid w:val="00E80390"/>
    <w:rsid w:val="00E80530"/>
    <w:rsid w:val="00E97CD1"/>
    <w:rsid w:val="00EB4BCE"/>
    <w:rsid w:val="00EB5C84"/>
    <w:rsid w:val="00EC4EB9"/>
    <w:rsid w:val="00ED2771"/>
    <w:rsid w:val="00EE1C78"/>
    <w:rsid w:val="00EE5E1B"/>
    <w:rsid w:val="00EF18AA"/>
    <w:rsid w:val="00EF3798"/>
    <w:rsid w:val="00EF4581"/>
    <w:rsid w:val="00EF7D24"/>
    <w:rsid w:val="00F10A72"/>
    <w:rsid w:val="00F116C7"/>
    <w:rsid w:val="00F1443A"/>
    <w:rsid w:val="00F20750"/>
    <w:rsid w:val="00F5674F"/>
    <w:rsid w:val="00F616C1"/>
    <w:rsid w:val="00F67B98"/>
    <w:rsid w:val="00F80FBE"/>
    <w:rsid w:val="00F93A60"/>
    <w:rsid w:val="00FA0C18"/>
    <w:rsid w:val="00FA37DD"/>
    <w:rsid w:val="00FA40DA"/>
    <w:rsid w:val="00FB1D23"/>
    <w:rsid w:val="00FB26D8"/>
    <w:rsid w:val="00FC39DA"/>
    <w:rsid w:val="00FC3E89"/>
    <w:rsid w:val="00FC4156"/>
    <w:rsid w:val="00FE1AFE"/>
    <w:rsid w:val="00FF29DC"/>
    <w:rsid w:val="00FF3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3C065"/>
  <w15:chartTrackingRefBased/>
  <w15:docId w15:val="{6381DF7F-9344-1C49-8C95-6056BB5C7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732"/>
    <w:pPr>
      <w:spacing w:after="0" w:line="240" w:lineRule="auto"/>
      <w:ind w:firstLine="202"/>
      <w:jc w:val="both"/>
    </w:pPr>
    <w:rPr>
      <w:rFonts w:ascii="New Caledonia LT Std" w:eastAsia="Calisto MT" w:hAnsi="New Caledonia LT Std" w:cs="Times New Roman"/>
      <w:kern w:val="0"/>
      <w:sz w:val="21"/>
      <w14:ligatures w14:val="none"/>
    </w:rPr>
  </w:style>
  <w:style w:type="paragraph" w:styleId="Heading1">
    <w:name w:val="heading 1"/>
    <w:next w:val="Normal"/>
    <w:link w:val="Heading1Char"/>
    <w:qFormat/>
    <w:rsid w:val="00C67732"/>
    <w:pPr>
      <w:keepNext/>
      <w:keepLines/>
      <w:spacing w:before="360" w:after="120" w:line="360" w:lineRule="auto"/>
      <w:contextualSpacing/>
      <w:jc w:val="center"/>
      <w:outlineLvl w:val="0"/>
    </w:pPr>
    <w:rPr>
      <w:rFonts w:ascii="New Caledonia LT Std" w:eastAsia="Times New Roman" w:hAnsi="New Caledonia LT Std" w:cs="Times New Roman"/>
      <w:bCs/>
      <w:i/>
      <w:color w:val="000000"/>
      <w:kern w:val="0"/>
      <w:sz w:val="20"/>
      <w:szCs w:val="32"/>
      <w14:ligatures w14:val="none"/>
    </w:rPr>
  </w:style>
  <w:style w:type="paragraph" w:styleId="Heading2">
    <w:name w:val="heading 2"/>
    <w:next w:val="Normal"/>
    <w:link w:val="Heading2Char"/>
    <w:qFormat/>
    <w:rsid w:val="00C67732"/>
    <w:pPr>
      <w:keepNext/>
      <w:keepLines/>
      <w:spacing w:before="120" w:after="120" w:line="360" w:lineRule="auto"/>
      <w:contextualSpacing/>
      <w:outlineLvl w:val="1"/>
    </w:pPr>
    <w:rPr>
      <w:rFonts w:ascii="New Caledonia LT Std" w:eastAsia="Times New Roman" w:hAnsi="New Caledonia LT Std" w:cs="Times New Roman"/>
      <w:bCs/>
      <w:i/>
      <w:color w:val="000000"/>
      <w:kern w:val="0"/>
      <w:sz w:val="21"/>
      <w:szCs w:val="26"/>
      <w14:ligatures w14:val="none"/>
    </w:rPr>
  </w:style>
  <w:style w:type="paragraph" w:styleId="Heading3">
    <w:name w:val="heading 3"/>
    <w:basedOn w:val="Normal"/>
    <w:next w:val="Normal"/>
    <w:link w:val="Heading3Char"/>
    <w:qFormat/>
    <w:rsid w:val="00C67732"/>
    <w:pPr>
      <w:spacing w:before="120" w:after="120"/>
      <w:ind w:firstLine="0"/>
      <w:outlineLvl w:val="2"/>
    </w:pPr>
    <w:rPr>
      <w:rFonts w:eastAsia="Times New Roman"/>
      <w:bCs/>
    </w:rPr>
  </w:style>
  <w:style w:type="paragraph" w:styleId="Heading4">
    <w:name w:val="heading 4"/>
    <w:basedOn w:val="Normal"/>
    <w:next w:val="Normal"/>
    <w:link w:val="Heading4Char"/>
    <w:uiPriority w:val="99"/>
    <w:qFormat/>
    <w:rsid w:val="00C67732"/>
    <w:pPr>
      <w:spacing w:before="260"/>
      <w:ind w:firstLine="0"/>
      <w:outlineLvl w:val="3"/>
    </w:pPr>
    <w:rPr>
      <w:rFonts w:eastAsia="Times New Roman"/>
      <w:bCs/>
      <w:iCs/>
    </w:rPr>
  </w:style>
  <w:style w:type="paragraph" w:styleId="Heading5">
    <w:name w:val="heading 5"/>
    <w:basedOn w:val="Normal"/>
    <w:next w:val="Normal"/>
    <w:link w:val="Heading5Char"/>
    <w:uiPriority w:val="9"/>
    <w:semiHidden/>
    <w:unhideWhenUsed/>
    <w:qFormat/>
    <w:rsid w:val="006948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48E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48E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48E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48E1"/>
    <w:pPr>
      <w:keepNext/>
      <w:keepLines/>
      <w:outlineLvl w:val="8"/>
    </w:pPr>
    <w:rPr>
      <w:rFonts w:eastAsiaTheme="majorEastAsia" w:cstheme="majorBidi"/>
      <w:color w:val="272727" w:themeColor="text1" w:themeTint="D8"/>
    </w:rPr>
  </w:style>
  <w:style w:type="character" w:default="1" w:styleId="DefaultParagraphFont">
    <w:name w:val="Default Paragraph Font"/>
    <w:semiHidden/>
    <w:unhideWhenUsed/>
    <w:rsid w:val="00C67732"/>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semiHidden/>
    <w:unhideWhenUsed/>
    <w:rsid w:val="00C67732"/>
  </w:style>
  <w:style w:type="character" w:customStyle="1" w:styleId="Heading1Char">
    <w:name w:val="Heading 1 Char"/>
    <w:basedOn w:val="DefaultParagraphFont"/>
    <w:link w:val="Heading1"/>
    <w:rsid w:val="00C67732"/>
    <w:rPr>
      <w:rFonts w:ascii="New Caledonia LT Std" w:eastAsia="Times New Roman" w:hAnsi="New Caledonia LT Std" w:cs="Times New Roman"/>
      <w:bCs/>
      <w:i/>
      <w:color w:val="000000"/>
      <w:kern w:val="0"/>
      <w:sz w:val="20"/>
      <w:szCs w:val="32"/>
      <w14:ligatures w14:val="none"/>
    </w:rPr>
  </w:style>
  <w:style w:type="character" w:customStyle="1" w:styleId="Heading2Char">
    <w:name w:val="Heading 2 Char"/>
    <w:basedOn w:val="DefaultParagraphFont"/>
    <w:link w:val="Heading2"/>
    <w:rsid w:val="00C67732"/>
    <w:rPr>
      <w:rFonts w:ascii="New Caledonia LT Std" w:eastAsia="Times New Roman" w:hAnsi="New Caledonia LT Std" w:cs="Times New Roman"/>
      <w:bCs/>
      <w:i/>
      <w:color w:val="000000"/>
      <w:kern w:val="0"/>
      <w:sz w:val="21"/>
      <w:szCs w:val="26"/>
      <w14:ligatures w14:val="none"/>
    </w:rPr>
  </w:style>
  <w:style w:type="character" w:customStyle="1" w:styleId="Heading3Char">
    <w:name w:val="Heading 3 Char"/>
    <w:basedOn w:val="DefaultParagraphFont"/>
    <w:link w:val="Heading3"/>
    <w:rsid w:val="00C67732"/>
    <w:rPr>
      <w:rFonts w:ascii="New Caledonia LT Std" w:eastAsia="Times New Roman" w:hAnsi="New Caledonia LT Std" w:cs="Times New Roman"/>
      <w:bCs/>
      <w:kern w:val="0"/>
      <w:sz w:val="21"/>
      <w14:ligatures w14:val="none"/>
    </w:rPr>
  </w:style>
  <w:style w:type="character" w:customStyle="1" w:styleId="Heading4Char">
    <w:name w:val="Heading 4 Char"/>
    <w:basedOn w:val="DefaultParagraphFont"/>
    <w:link w:val="Heading4"/>
    <w:uiPriority w:val="99"/>
    <w:rsid w:val="00C67732"/>
    <w:rPr>
      <w:rFonts w:ascii="New Caledonia LT Std" w:eastAsia="Times New Roman" w:hAnsi="New Caledonia LT Std" w:cs="Times New Roman"/>
      <w:bCs/>
      <w:iCs/>
      <w:kern w:val="0"/>
      <w:sz w:val="21"/>
      <w14:ligatures w14:val="none"/>
    </w:rPr>
  </w:style>
  <w:style w:type="character" w:customStyle="1" w:styleId="Heading5Char">
    <w:name w:val="Heading 5 Char"/>
    <w:basedOn w:val="DefaultParagraphFont"/>
    <w:link w:val="Heading5"/>
    <w:uiPriority w:val="9"/>
    <w:semiHidden/>
    <w:rsid w:val="006948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48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48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48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48E1"/>
    <w:rPr>
      <w:rFonts w:eastAsiaTheme="majorEastAsia" w:cstheme="majorBidi"/>
      <w:color w:val="272727" w:themeColor="text1" w:themeTint="D8"/>
    </w:rPr>
  </w:style>
  <w:style w:type="paragraph" w:styleId="Title">
    <w:name w:val="Title"/>
    <w:next w:val="Author"/>
    <w:link w:val="TitleChar"/>
    <w:qFormat/>
    <w:rsid w:val="00C67732"/>
    <w:pPr>
      <w:spacing w:after="540" w:line="480" w:lineRule="exact"/>
      <w:contextualSpacing/>
      <w:jc w:val="center"/>
    </w:pPr>
    <w:rPr>
      <w:rFonts w:ascii="New Caledonia LT Std" w:eastAsia="Times New Roman" w:hAnsi="New Caledonia LT Std" w:cs="Times New Roman"/>
      <w:color w:val="000000"/>
      <w:kern w:val="28"/>
      <w:sz w:val="48"/>
      <w:szCs w:val="52"/>
      <w14:ligatures w14:val="none"/>
    </w:rPr>
  </w:style>
  <w:style w:type="character" w:customStyle="1" w:styleId="TitleChar">
    <w:name w:val="Title Char"/>
    <w:basedOn w:val="DefaultParagraphFont"/>
    <w:link w:val="Title"/>
    <w:rsid w:val="00C67732"/>
    <w:rPr>
      <w:rFonts w:ascii="New Caledonia LT Std" w:eastAsia="Times New Roman" w:hAnsi="New Caledonia LT Std" w:cs="Times New Roman"/>
      <w:color w:val="000000"/>
      <w:kern w:val="28"/>
      <w:sz w:val="48"/>
      <w:szCs w:val="52"/>
      <w14:ligatures w14:val="none"/>
    </w:rPr>
  </w:style>
  <w:style w:type="paragraph" w:styleId="Subtitle">
    <w:name w:val="Subtitle"/>
    <w:basedOn w:val="Normal"/>
    <w:next w:val="Normal"/>
    <w:link w:val="SubtitleChar"/>
    <w:uiPriority w:val="11"/>
    <w:qFormat/>
    <w:rsid w:val="006948E1"/>
    <w:pPr>
      <w:numPr>
        <w:ilvl w:val="1"/>
      </w:numPr>
      <w:ind w:firstLine="202"/>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48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48E1"/>
    <w:pPr>
      <w:spacing w:before="160"/>
      <w:jc w:val="center"/>
    </w:pPr>
    <w:rPr>
      <w:i/>
      <w:iCs/>
      <w:color w:val="404040" w:themeColor="text1" w:themeTint="BF"/>
    </w:rPr>
  </w:style>
  <w:style w:type="character" w:customStyle="1" w:styleId="QuoteChar">
    <w:name w:val="Quote Char"/>
    <w:basedOn w:val="DefaultParagraphFont"/>
    <w:link w:val="Quote"/>
    <w:uiPriority w:val="29"/>
    <w:rsid w:val="006948E1"/>
    <w:rPr>
      <w:i/>
      <w:iCs/>
      <w:color w:val="404040" w:themeColor="text1" w:themeTint="BF"/>
    </w:rPr>
  </w:style>
  <w:style w:type="paragraph" w:styleId="ListParagraph">
    <w:name w:val="List Paragraph"/>
    <w:basedOn w:val="Normal"/>
    <w:uiPriority w:val="34"/>
    <w:qFormat/>
    <w:rsid w:val="006948E1"/>
    <w:pPr>
      <w:ind w:left="720"/>
      <w:contextualSpacing/>
    </w:pPr>
  </w:style>
  <w:style w:type="character" w:styleId="IntenseEmphasis">
    <w:name w:val="Intense Emphasis"/>
    <w:basedOn w:val="DefaultParagraphFont"/>
    <w:uiPriority w:val="21"/>
    <w:qFormat/>
    <w:rsid w:val="006948E1"/>
    <w:rPr>
      <w:i/>
      <w:iCs/>
      <w:color w:val="0F4761" w:themeColor="accent1" w:themeShade="BF"/>
    </w:rPr>
  </w:style>
  <w:style w:type="paragraph" w:styleId="IntenseQuote">
    <w:name w:val="Intense Quote"/>
    <w:basedOn w:val="Normal"/>
    <w:next w:val="Normal"/>
    <w:link w:val="IntenseQuoteChar"/>
    <w:uiPriority w:val="30"/>
    <w:qFormat/>
    <w:rsid w:val="006948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48E1"/>
    <w:rPr>
      <w:i/>
      <w:iCs/>
      <w:color w:val="0F4761" w:themeColor="accent1" w:themeShade="BF"/>
    </w:rPr>
  </w:style>
  <w:style w:type="character" w:styleId="IntenseReference">
    <w:name w:val="Intense Reference"/>
    <w:basedOn w:val="DefaultParagraphFont"/>
    <w:uiPriority w:val="32"/>
    <w:qFormat/>
    <w:rsid w:val="006948E1"/>
    <w:rPr>
      <w:b/>
      <w:bCs/>
      <w:smallCaps/>
      <w:color w:val="0F4761" w:themeColor="accent1" w:themeShade="BF"/>
      <w:spacing w:val="5"/>
    </w:rPr>
  </w:style>
  <w:style w:type="character" w:styleId="PlaceholderText">
    <w:name w:val="Placeholder Text"/>
    <w:basedOn w:val="DefaultParagraphFont"/>
    <w:uiPriority w:val="99"/>
    <w:semiHidden/>
    <w:rsid w:val="00CD1D7F"/>
    <w:rPr>
      <w:color w:val="666666"/>
    </w:rPr>
  </w:style>
  <w:style w:type="paragraph" w:styleId="FootnoteText">
    <w:name w:val="footnote text"/>
    <w:basedOn w:val="Normal"/>
    <w:link w:val="FootnoteTextChar"/>
    <w:rsid w:val="00C67732"/>
    <w:pPr>
      <w:spacing w:line="180" w:lineRule="atLeast"/>
    </w:pPr>
    <w:rPr>
      <w:sz w:val="16"/>
    </w:rPr>
  </w:style>
  <w:style w:type="character" w:customStyle="1" w:styleId="FootnoteTextChar">
    <w:name w:val="Footnote Text Char"/>
    <w:basedOn w:val="DefaultParagraphFont"/>
    <w:link w:val="FootnoteText"/>
    <w:rsid w:val="00C67732"/>
    <w:rPr>
      <w:rFonts w:ascii="New Caledonia LT Std" w:eastAsia="Calisto MT" w:hAnsi="New Caledonia LT Std" w:cs="Times New Roman"/>
      <w:kern w:val="0"/>
      <w:sz w:val="16"/>
      <w14:ligatures w14:val="none"/>
    </w:rPr>
  </w:style>
  <w:style w:type="character" w:styleId="FootnoteReference">
    <w:name w:val="footnote reference"/>
    <w:basedOn w:val="DefaultParagraphFont"/>
    <w:rsid w:val="00C67732"/>
    <w:rPr>
      <w:rFonts w:ascii="Times New Roman" w:hAnsi="Times New Roman"/>
      <w:sz w:val="24"/>
      <w:bdr w:val="none" w:sz="0" w:space="0" w:color="auto"/>
      <w:vertAlign w:val="superscript"/>
    </w:rPr>
  </w:style>
  <w:style w:type="paragraph" w:styleId="Caption">
    <w:name w:val="caption"/>
    <w:basedOn w:val="Normal"/>
    <w:next w:val="Normal"/>
    <w:uiPriority w:val="35"/>
    <w:unhideWhenUsed/>
    <w:rsid w:val="00C661E8"/>
    <w:pPr>
      <w:spacing w:after="200" w:line="360" w:lineRule="auto"/>
    </w:pPr>
    <w:rPr>
      <w:rFonts w:ascii="Times New Roman" w:hAnsi="Times New Roman"/>
      <w:i/>
      <w:iCs/>
      <w:color w:val="0E2841" w:themeColor="text2"/>
      <w:sz w:val="18"/>
      <w:szCs w:val="22"/>
    </w:rPr>
  </w:style>
  <w:style w:type="table" w:styleId="TableGridLight">
    <w:name w:val="Grid Table Light"/>
    <w:basedOn w:val="TableNormal"/>
    <w:uiPriority w:val="40"/>
    <w:rsid w:val="00C661E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AC7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C67732"/>
    <w:pPr>
      <w:widowControl w:val="0"/>
      <w:autoSpaceDE w:val="0"/>
      <w:autoSpaceDN w:val="0"/>
      <w:adjustRightInd w:val="0"/>
      <w:spacing w:after="0" w:line="288" w:lineRule="auto"/>
      <w:textAlignment w:val="center"/>
    </w:pPr>
    <w:rPr>
      <w:rFonts w:ascii="Times-Roman" w:eastAsia="Calisto MT" w:hAnsi="Times-Roman" w:cs="Times-Roman"/>
      <w:color w:val="000000"/>
      <w:kern w:val="0"/>
      <w14:ligatures w14:val="none"/>
    </w:rPr>
  </w:style>
  <w:style w:type="paragraph" w:customStyle="1" w:styleId="Author">
    <w:name w:val="Author"/>
    <w:next w:val="Normal"/>
    <w:rsid w:val="00C67732"/>
    <w:pPr>
      <w:suppressAutoHyphens/>
      <w:spacing w:after="540" w:line="280" w:lineRule="exact"/>
      <w:jc w:val="center"/>
    </w:pPr>
    <w:rPr>
      <w:rFonts w:ascii="New Caledonia LT Std" w:eastAsia="Calisto MT" w:hAnsi="New Caledonia LT Std" w:cs="TimesLTStd-Roman"/>
      <w:smallCaps/>
      <w:color w:val="000000"/>
      <w:kern w:val="0"/>
      <w:szCs w:val="22"/>
      <w14:ligatures w14:val="none"/>
    </w:rPr>
  </w:style>
  <w:style w:type="paragraph" w:customStyle="1" w:styleId="Abstract">
    <w:name w:val="Abstract"/>
    <w:next w:val="Normal"/>
    <w:rsid w:val="00C67732"/>
    <w:pPr>
      <w:spacing w:before="100" w:after="600" w:line="240" w:lineRule="auto"/>
      <w:ind w:left="662" w:right="662"/>
      <w:jc w:val="both"/>
    </w:pPr>
    <w:rPr>
      <w:rFonts w:ascii="New Caledonia LT Std" w:eastAsia="Calisto MT" w:hAnsi="New Caledonia LT Std" w:cs="TimesLTStd-Italic"/>
      <w:i/>
      <w:iCs/>
      <w:color w:val="000000"/>
      <w:kern w:val="0"/>
      <w:sz w:val="21"/>
      <w:szCs w:val="22"/>
      <w14:ligatures w14:val="none"/>
    </w:rPr>
  </w:style>
  <w:style w:type="paragraph" w:customStyle="1" w:styleId="Equation">
    <w:name w:val="Equation"/>
    <w:next w:val="Normal"/>
    <w:rsid w:val="00C67732"/>
    <w:pPr>
      <w:tabs>
        <w:tab w:val="center" w:pos="3960"/>
      </w:tabs>
      <w:suppressAutoHyphens/>
      <w:spacing w:before="260" w:after="0" w:line="360" w:lineRule="auto"/>
    </w:pPr>
    <w:rPr>
      <w:rFonts w:ascii="New Caledonia LT Std" w:eastAsia="Calisto MT" w:hAnsi="New Caledonia LT Std" w:cs="TimesLTStd-Roman"/>
      <w:color w:val="000000"/>
      <w:kern w:val="0"/>
      <w:sz w:val="20"/>
      <w:szCs w:val="20"/>
      <w14:ligatures w14:val="none"/>
    </w:rPr>
  </w:style>
  <w:style w:type="paragraph" w:customStyle="1" w:styleId="NormalNoIndent">
    <w:name w:val="Normal No Indent"/>
    <w:basedOn w:val="Normal"/>
    <w:next w:val="Normal"/>
    <w:rsid w:val="00C67732"/>
    <w:pPr>
      <w:ind w:firstLine="0"/>
    </w:pPr>
  </w:style>
  <w:style w:type="paragraph" w:customStyle="1" w:styleId="Contact">
    <w:name w:val="Contact"/>
    <w:next w:val="Normal"/>
    <w:rsid w:val="00C67732"/>
    <w:pPr>
      <w:spacing w:after="200" w:line="240" w:lineRule="auto"/>
    </w:pPr>
    <w:rPr>
      <w:rFonts w:ascii="New Caledonia LT Std" w:eastAsia="Calisto MT" w:hAnsi="New Caledonia LT Std" w:cs="TimesLTStd-Roman"/>
      <w:color w:val="000000"/>
      <w:kern w:val="0"/>
      <w:sz w:val="16"/>
      <w:szCs w:val="16"/>
      <w14:ligatures w14:val="none"/>
    </w:rPr>
  </w:style>
  <w:style w:type="paragraph" w:customStyle="1" w:styleId="ReferenceHeading">
    <w:name w:val="Reference Heading"/>
    <w:basedOn w:val="Normal"/>
    <w:next w:val="References"/>
    <w:rsid w:val="00C67732"/>
    <w:pPr>
      <w:keepNext/>
      <w:widowControl w:val="0"/>
      <w:autoSpaceDE w:val="0"/>
      <w:autoSpaceDN w:val="0"/>
      <w:adjustRightInd w:val="0"/>
      <w:spacing w:before="260" w:after="260"/>
      <w:ind w:firstLine="0"/>
      <w:jc w:val="center"/>
      <w:textAlignment w:val="center"/>
    </w:pPr>
    <w:rPr>
      <w:rFonts w:cs="TimesLTStd-Roman"/>
      <w:caps/>
      <w:szCs w:val="20"/>
    </w:rPr>
  </w:style>
  <w:style w:type="paragraph" w:customStyle="1" w:styleId="References">
    <w:name w:val="References"/>
    <w:basedOn w:val="Normal"/>
    <w:rsid w:val="00C67732"/>
    <w:pPr>
      <w:widowControl w:val="0"/>
      <w:autoSpaceDE w:val="0"/>
      <w:autoSpaceDN w:val="0"/>
      <w:adjustRightInd w:val="0"/>
      <w:ind w:left="160" w:hanging="160"/>
      <w:textAlignment w:val="center"/>
    </w:pPr>
    <w:rPr>
      <w:rFonts w:cs="TimesLTStd-Roman"/>
      <w:sz w:val="16"/>
      <w:szCs w:val="20"/>
    </w:rPr>
  </w:style>
  <w:style w:type="paragraph" w:customStyle="1" w:styleId="Extract">
    <w:name w:val="Extract"/>
    <w:next w:val="Normal"/>
    <w:uiPriority w:val="99"/>
    <w:semiHidden/>
    <w:rsid w:val="00C67732"/>
    <w:pPr>
      <w:spacing w:before="240" w:after="0" w:line="360" w:lineRule="auto"/>
      <w:ind w:left="720" w:right="720"/>
      <w:jc w:val="both"/>
    </w:pPr>
    <w:rPr>
      <w:rFonts w:ascii="New Caledonia LT Std" w:eastAsia="Calisto MT" w:hAnsi="New Caledonia LT Std" w:cs="TimesLTStd-Italic"/>
      <w:i/>
      <w:iCs/>
      <w:color w:val="000000"/>
      <w:kern w:val="0"/>
      <w:sz w:val="21"/>
      <w:szCs w:val="20"/>
      <w14:ligatures w14:val="none"/>
    </w:rPr>
  </w:style>
  <w:style w:type="paragraph" w:customStyle="1" w:styleId="Tagline">
    <w:name w:val="Tagline"/>
    <w:basedOn w:val="Normal"/>
    <w:next w:val="Normal"/>
    <w:uiPriority w:val="99"/>
    <w:semiHidden/>
    <w:qFormat/>
    <w:rsid w:val="00C67732"/>
    <w:pPr>
      <w:spacing w:after="120"/>
      <w:ind w:left="720" w:right="720" w:firstLine="0"/>
      <w:jc w:val="right"/>
    </w:pPr>
  </w:style>
  <w:style w:type="paragraph" w:customStyle="1" w:styleId="FigureTitle">
    <w:name w:val="Figure Title"/>
    <w:next w:val="Normal"/>
    <w:rsid w:val="00C67732"/>
    <w:pPr>
      <w:keepLines/>
      <w:suppressAutoHyphens/>
      <w:spacing w:after="80" w:line="180" w:lineRule="atLeast"/>
      <w:jc w:val="center"/>
    </w:pPr>
    <w:rPr>
      <w:rFonts w:ascii="New Caledonia LT Std" w:eastAsia="Calisto MT" w:hAnsi="New Caledonia LT Std" w:cs="TimesLTStd-Roman"/>
      <w:smallCaps/>
      <w:color w:val="000000"/>
      <w:spacing w:val="-1"/>
      <w:kern w:val="0"/>
      <w:sz w:val="18"/>
      <w:szCs w:val="16"/>
      <w14:ligatures w14:val="none"/>
    </w:rPr>
  </w:style>
  <w:style w:type="paragraph" w:customStyle="1" w:styleId="FigureNotes">
    <w:name w:val="Figure Notes"/>
    <w:next w:val="Normal"/>
    <w:rsid w:val="00C67732"/>
    <w:pPr>
      <w:tabs>
        <w:tab w:val="right" w:pos="440"/>
        <w:tab w:val="left" w:pos="480"/>
      </w:tabs>
      <w:spacing w:before="120" w:after="120" w:line="180" w:lineRule="atLeast"/>
      <w:jc w:val="both"/>
    </w:pPr>
    <w:rPr>
      <w:rFonts w:ascii="New Caledonia LT Std" w:eastAsia="Calisto MT" w:hAnsi="New Caledonia LT Std" w:cs="TimesLTStd-Roman"/>
      <w:color w:val="000000"/>
      <w:kern w:val="0"/>
      <w:sz w:val="17"/>
      <w:szCs w:val="16"/>
      <w14:ligatures w14:val="none"/>
    </w:rPr>
  </w:style>
  <w:style w:type="paragraph" w:customStyle="1" w:styleId="TableTitle">
    <w:name w:val="Table Title"/>
    <w:rsid w:val="00C67732"/>
    <w:pPr>
      <w:pBdr>
        <w:bottom w:val="double" w:sz="2" w:space="1" w:color="auto"/>
      </w:pBdr>
      <w:suppressAutoHyphens/>
      <w:spacing w:line="180" w:lineRule="atLeast"/>
      <w:ind w:right="720"/>
      <w:jc w:val="center"/>
    </w:pPr>
    <w:rPr>
      <w:rFonts w:ascii="New Caledonia LT Std" w:eastAsia="Calisto MT" w:hAnsi="New Caledonia LT Std" w:cs="TimesLTStd-Roman"/>
      <w:smallCaps/>
      <w:color w:val="000000"/>
      <w:spacing w:val="-1"/>
      <w:w w:val="97"/>
      <w:kern w:val="0"/>
      <w:sz w:val="16"/>
      <w:szCs w:val="16"/>
      <w14:ligatures w14:val="none"/>
    </w:rPr>
  </w:style>
  <w:style w:type="paragraph" w:customStyle="1" w:styleId="TableNotes">
    <w:name w:val="Table Notes"/>
    <w:rsid w:val="00C67732"/>
    <w:pPr>
      <w:spacing w:before="120" w:after="0" w:line="180" w:lineRule="atLeast"/>
      <w:ind w:right="720"/>
      <w:jc w:val="both"/>
    </w:pPr>
    <w:rPr>
      <w:rFonts w:ascii="New Caledonia LT Std" w:eastAsia="Calisto MT" w:hAnsi="New Caledonia LT Std" w:cs="TimesLTStd-Roman"/>
      <w:color w:val="000000"/>
      <w:kern w:val="0"/>
      <w:sz w:val="16"/>
      <w:szCs w:val="16"/>
      <w14:ligatures w14:val="none"/>
    </w:rPr>
  </w:style>
  <w:style w:type="paragraph" w:customStyle="1" w:styleId="TableText">
    <w:name w:val="Table Text"/>
    <w:rsid w:val="00C67732"/>
    <w:pPr>
      <w:spacing w:after="0" w:line="180" w:lineRule="atLeast"/>
      <w:jc w:val="center"/>
    </w:pPr>
    <w:rPr>
      <w:rFonts w:ascii="New Caledonia LT Std" w:eastAsia="Calisto MT" w:hAnsi="New Caledonia LT Std" w:cs="TimesLTStd-Roman"/>
      <w:color w:val="000000"/>
      <w:kern w:val="0"/>
      <w:sz w:val="16"/>
      <w:szCs w:val="16"/>
      <w14:ligatures w14:val="none"/>
    </w:rPr>
  </w:style>
  <w:style w:type="paragraph" w:styleId="ListBullet">
    <w:name w:val="List Bullet"/>
    <w:basedOn w:val="Normal"/>
    <w:next w:val="Normal"/>
    <w:rsid w:val="00C67732"/>
    <w:pPr>
      <w:numPr>
        <w:numId w:val="17"/>
      </w:numPr>
      <w:contextualSpacing/>
    </w:pPr>
  </w:style>
  <w:style w:type="paragraph" w:styleId="ListNumber">
    <w:name w:val="List Number"/>
    <w:basedOn w:val="Normal"/>
    <w:next w:val="Normal"/>
    <w:rsid w:val="00C67732"/>
    <w:pPr>
      <w:numPr>
        <w:numId w:val="18"/>
      </w:numPr>
      <w:tabs>
        <w:tab w:val="clear" w:pos="1195"/>
      </w:tabs>
      <w:spacing w:after="260"/>
      <w:ind w:left="1555" w:hanging="720"/>
    </w:pPr>
  </w:style>
  <w:style w:type="paragraph" w:customStyle="1" w:styleId="FigurePlaceholder">
    <w:name w:val="Figure Placeholder"/>
    <w:basedOn w:val="Normal"/>
    <w:next w:val="Normal"/>
    <w:qFormat/>
    <w:rsid w:val="00C67732"/>
    <w:pPr>
      <w:spacing w:before="260" w:after="260"/>
      <w:jc w:val="center"/>
    </w:pPr>
  </w:style>
  <w:style w:type="character" w:customStyle="1" w:styleId="TableFootLetter">
    <w:name w:val="Table FootLetter"/>
    <w:basedOn w:val="DefaultParagraphFont"/>
    <w:rsid w:val="00C67732"/>
    <w:rPr>
      <w:rFonts w:ascii="Times New Roman" w:hAnsi="Times New Roman"/>
      <w:sz w:val="16"/>
      <w:bdr w:val="none" w:sz="0" w:space="0" w:color="auto"/>
      <w:vertAlign w:val="superscript"/>
    </w:rPr>
  </w:style>
  <w:style w:type="paragraph" w:customStyle="1" w:styleId="TableFootnote">
    <w:name w:val="Table Footnote"/>
    <w:basedOn w:val="TableNotes"/>
    <w:next w:val="TableNotes"/>
    <w:qFormat/>
    <w:rsid w:val="00C67732"/>
  </w:style>
  <w:style w:type="paragraph" w:customStyle="1" w:styleId="TablePlaceholder">
    <w:name w:val="Table Placeholder"/>
    <w:basedOn w:val="FigurePlaceholder"/>
    <w:next w:val="NoParagraphStyle"/>
    <w:qFormat/>
    <w:rsid w:val="00C67732"/>
  </w:style>
  <w:style w:type="character" w:styleId="CommentReference">
    <w:name w:val="annotation reference"/>
    <w:basedOn w:val="DefaultParagraphFont"/>
    <w:uiPriority w:val="99"/>
    <w:semiHidden/>
    <w:rsid w:val="00C67732"/>
    <w:rPr>
      <w:sz w:val="18"/>
      <w:szCs w:val="18"/>
    </w:rPr>
  </w:style>
  <w:style w:type="paragraph" w:styleId="CommentText">
    <w:name w:val="annotation text"/>
    <w:basedOn w:val="Normal"/>
    <w:link w:val="CommentTextChar"/>
    <w:uiPriority w:val="99"/>
    <w:semiHidden/>
    <w:rsid w:val="00C67732"/>
  </w:style>
  <w:style w:type="character" w:customStyle="1" w:styleId="CommentTextChar">
    <w:name w:val="Comment Text Char"/>
    <w:basedOn w:val="DefaultParagraphFont"/>
    <w:link w:val="CommentText"/>
    <w:uiPriority w:val="99"/>
    <w:semiHidden/>
    <w:rsid w:val="00C67732"/>
    <w:rPr>
      <w:rFonts w:ascii="New Caledonia LT Std" w:eastAsia="Calisto MT" w:hAnsi="New Caledonia LT Std" w:cs="Times New Roman"/>
      <w:kern w:val="0"/>
      <w:sz w:val="21"/>
      <w14:ligatures w14:val="none"/>
    </w:rPr>
  </w:style>
  <w:style w:type="paragraph" w:styleId="CommentSubject">
    <w:name w:val="annotation subject"/>
    <w:basedOn w:val="CommentText"/>
    <w:next w:val="CommentText"/>
    <w:link w:val="CommentSubjectChar"/>
    <w:uiPriority w:val="99"/>
    <w:semiHidden/>
    <w:rsid w:val="00C67732"/>
    <w:rPr>
      <w:b/>
      <w:bCs/>
      <w:sz w:val="20"/>
      <w:szCs w:val="20"/>
    </w:rPr>
  </w:style>
  <w:style w:type="character" w:customStyle="1" w:styleId="CommentSubjectChar">
    <w:name w:val="Comment Subject Char"/>
    <w:basedOn w:val="CommentTextChar"/>
    <w:link w:val="CommentSubject"/>
    <w:uiPriority w:val="99"/>
    <w:semiHidden/>
    <w:rsid w:val="00C67732"/>
    <w:rPr>
      <w:rFonts w:ascii="New Caledonia LT Std" w:eastAsia="Calisto MT" w:hAnsi="New Caledonia LT Std" w:cs="Times New Roman"/>
      <w:b/>
      <w:bCs/>
      <w:kern w:val="0"/>
      <w:sz w:val="20"/>
      <w:szCs w:val="20"/>
      <w14:ligatures w14:val="none"/>
    </w:rPr>
  </w:style>
  <w:style w:type="paragraph" w:styleId="BalloonText">
    <w:name w:val="Balloon Text"/>
    <w:basedOn w:val="Normal"/>
    <w:link w:val="BalloonTextChar"/>
    <w:uiPriority w:val="99"/>
    <w:semiHidden/>
    <w:rsid w:val="00C67732"/>
    <w:rPr>
      <w:rFonts w:ascii="Lucida Grande" w:hAnsi="Lucida Grande"/>
      <w:sz w:val="18"/>
      <w:szCs w:val="18"/>
    </w:rPr>
  </w:style>
  <w:style w:type="character" w:customStyle="1" w:styleId="BalloonTextChar">
    <w:name w:val="Balloon Text Char"/>
    <w:basedOn w:val="DefaultParagraphFont"/>
    <w:link w:val="BalloonText"/>
    <w:uiPriority w:val="99"/>
    <w:semiHidden/>
    <w:rsid w:val="00C67732"/>
    <w:rPr>
      <w:rFonts w:ascii="Lucida Grande" w:eastAsia="Calisto MT" w:hAnsi="Lucida Grande" w:cs="Times New Roman"/>
      <w:kern w:val="0"/>
      <w:sz w:val="18"/>
      <w:szCs w:val="18"/>
      <w14:ligatures w14:val="none"/>
    </w:rPr>
  </w:style>
  <w:style w:type="paragraph" w:styleId="DocumentMap">
    <w:name w:val="Document Map"/>
    <w:basedOn w:val="Normal"/>
    <w:link w:val="DocumentMapChar"/>
    <w:uiPriority w:val="99"/>
    <w:semiHidden/>
    <w:rsid w:val="00C67732"/>
    <w:rPr>
      <w:rFonts w:ascii="Lucida Grande" w:hAnsi="Lucida Grande"/>
    </w:rPr>
  </w:style>
  <w:style w:type="character" w:customStyle="1" w:styleId="DocumentMapChar">
    <w:name w:val="Document Map Char"/>
    <w:basedOn w:val="DefaultParagraphFont"/>
    <w:link w:val="DocumentMap"/>
    <w:uiPriority w:val="99"/>
    <w:semiHidden/>
    <w:rsid w:val="00C67732"/>
    <w:rPr>
      <w:rFonts w:ascii="Lucida Grande" w:eastAsia="Calisto MT" w:hAnsi="Lucida Grande" w:cs="Times New Roman"/>
      <w:kern w:val="0"/>
      <w:sz w:val="21"/>
      <w14:ligatures w14:val="none"/>
    </w:rPr>
  </w:style>
  <w:style w:type="paragraph" w:customStyle="1" w:styleId="01ArticleTitlewithAbstract">
    <w:name w:val="01 Article Title with Abstract"/>
    <w:basedOn w:val="NoParagraphStyle"/>
    <w:next w:val="Normal"/>
    <w:uiPriority w:val="99"/>
    <w:semiHidden/>
    <w:rsid w:val="00C67732"/>
    <w:pPr>
      <w:suppressAutoHyphens/>
      <w:spacing w:after="540" w:line="480" w:lineRule="atLeast"/>
      <w:jc w:val="center"/>
    </w:pPr>
    <w:rPr>
      <w:rFonts w:ascii="NewCaledoniaLTStd" w:hAnsi="NewCaledoniaLTStd" w:cs="NewCaledoniaLTStd"/>
      <w:sz w:val="48"/>
      <w:szCs w:val="48"/>
    </w:rPr>
  </w:style>
  <w:style w:type="paragraph" w:styleId="Header">
    <w:name w:val="header"/>
    <w:basedOn w:val="Normal"/>
    <w:link w:val="HeaderChar"/>
    <w:uiPriority w:val="99"/>
    <w:unhideWhenUsed/>
    <w:rsid w:val="00E7570E"/>
    <w:pPr>
      <w:tabs>
        <w:tab w:val="center" w:pos="4680"/>
        <w:tab w:val="right" w:pos="9360"/>
      </w:tabs>
    </w:pPr>
  </w:style>
  <w:style w:type="character" w:customStyle="1" w:styleId="HeaderChar">
    <w:name w:val="Header Char"/>
    <w:basedOn w:val="DefaultParagraphFont"/>
    <w:link w:val="Header"/>
    <w:uiPriority w:val="99"/>
    <w:rsid w:val="00E7570E"/>
    <w:rPr>
      <w:rFonts w:ascii="New Caledonia LT Std" w:eastAsia="Calisto MT" w:hAnsi="New Caledonia LT Std" w:cs="Times New Roman"/>
      <w:kern w:val="0"/>
      <w:sz w:val="21"/>
      <w14:ligatures w14:val="none"/>
    </w:rPr>
  </w:style>
  <w:style w:type="paragraph" w:styleId="Footer">
    <w:name w:val="footer"/>
    <w:basedOn w:val="Normal"/>
    <w:link w:val="FooterChar"/>
    <w:uiPriority w:val="99"/>
    <w:unhideWhenUsed/>
    <w:rsid w:val="00E7570E"/>
    <w:pPr>
      <w:tabs>
        <w:tab w:val="center" w:pos="4680"/>
        <w:tab w:val="right" w:pos="9360"/>
      </w:tabs>
    </w:pPr>
  </w:style>
  <w:style w:type="character" w:customStyle="1" w:styleId="FooterChar">
    <w:name w:val="Footer Char"/>
    <w:basedOn w:val="DefaultParagraphFont"/>
    <w:link w:val="Footer"/>
    <w:uiPriority w:val="99"/>
    <w:rsid w:val="00E7570E"/>
    <w:rPr>
      <w:rFonts w:ascii="New Caledonia LT Std" w:eastAsia="Calisto MT" w:hAnsi="New Caledonia LT Std" w:cs="Times New Roman"/>
      <w:kern w:val="0"/>
      <w:sz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9942">
      <w:bodyDiv w:val="1"/>
      <w:marLeft w:val="0"/>
      <w:marRight w:val="0"/>
      <w:marTop w:val="0"/>
      <w:marBottom w:val="0"/>
      <w:divBdr>
        <w:top w:val="none" w:sz="0" w:space="0" w:color="auto"/>
        <w:left w:val="none" w:sz="0" w:space="0" w:color="auto"/>
        <w:bottom w:val="none" w:sz="0" w:space="0" w:color="auto"/>
        <w:right w:val="none" w:sz="0" w:space="0" w:color="auto"/>
      </w:divBdr>
    </w:div>
    <w:div w:id="47922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nobalam/Downloads/word_templates/JEL_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JEL_WordTemplate.dot</Template>
  <TotalTime>404</TotalTime>
  <Pages>13</Pages>
  <Words>4688</Words>
  <Characters>26726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Arnob Alam</dc:creator>
  <cp:keywords/>
  <dc:description/>
  <cp:lastModifiedBy>Arnob Alam</cp:lastModifiedBy>
  <cp:revision>342</cp:revision>
  <dcterms:created xsi:type="dcterms:W3CDTF">2025-05-27T14:47:00Z</dcterms:created>
  <dcterms:modified xsi:type="dcterms:W3CDTF">2025-06-03T23:22:00Z</dcterms:modified>
</cp:coreProperties>
</file>