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9561B4">
      <w:pPr>
        <w:pStyle w:val="Heading1"/>
        <w:numPr>
          <w:ilvl w:val="0"/>
          <w:numId w:val="33"/>
        </w:numPr>
      </w:pPr>
      <w:r>
        <w:t>Introduction</w:t>
      </w:r>
    </w:p>
    <w:p w14:paraId="797D49B7" w14:textId="2258D602"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w:t>
      </w:r>
      <w:r w:rsidR="00700348">
        <w:t xml:space="preserve"> (CCP)</w:t>
      </w:r>
      <w:r w:rsidRPr="00246F90">
        <w:t>.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7C7C3970"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w:t>
      </w:r>
      <w:r w:rsidR="00AC06CC">
        <w:t xml:space="preserve">plausibly </w:t>
      </w:r>
      <w:r w:rsidRPr="000A41CF">
        <w:t xml:space="preserve">identifies the causal impact of the regulation on pricing, </w:t>
      </w:r>
      <w:r w:rsidR="00A81AE5">
        <w:t xml:space="preserve">liquidity and </w:t>
      </w:r>
      <w:r w:rsidRPr="000A41CF">
        <w:t>price volatility in the IR swaps market.</w:t>
      </w:r>
    </w:p>
    <w:p w14:paraId="76BA511D" w14:textId="0D52249C" w:rsidR="005F6B4A" w:rsidRDefault="006875A1" w:rsidP="00031822">
      <w:r w:rsidRPr="006875A1">
        <w:t xml:space="preserve">The paper is organized as follows: </w:t>
      </w:r>
      <w:r w:rsidR="009C0453">
        <w:t>s</w:t>
      </w:r>
      <w:r w:rsidRPr="006875A1">
        <w:t xml:space="preserve">ection </w:t>
      </w:r>
      <w:r w:rsidR="009C0453">
        <w:fldChar w:fldCharType="begin"/>
      </w:r>
      <w:r w:rsidR="009C0453">
        <w:instrText xml:space="preserve"> REF _Ref157718856 \r \h </w:instrText>
      </w:r>
      <w:r w:rsidR="009C0453">
        <w:fldChar w:fldCharType="separate"/>
      </w:r>
      <w:r w:rsidR="009C0453">
        <w:t>2</w:t>
      </w:r>
      <w:r w:rsidR="009C0453">
        <w:fldChar w:fldCharType="end"/>
      </w:r>
      <w:r w:rsidRPr="006875A1">
        <w:t xml:space="preserve"> provides background on the IR swaps market, the financial crisis, and the clearing mandate's role in post-crisis market reforms</w:t>
      </w:r>
      <w:r w:rsidR="004776E9">
        <w:t>; s</w:t>
      </w:r>
      <w:r w:rsidRPr="006875A1">
        <w:t xml:space="preserve">ection </w:t>
      </w:r>
      <w:r w:rsidR="00CC1AF2">
        <w:fldChar w:fldCharType="begin"/>
      </w:r>
      <w:r w:rsidR="00CC1AF2">
        <w:instrText xml:space="preserve"> REF _Ref157719057 \r \h </w:instrText>
      </w:r>
      <w:r w:rsidR="00CC1AF2">
        <w:fldChar w:fldCharType="separate"/>
      </w:r>
      <w:r w:rsidR="00CC1AF2">
        <w:t>3</w:t>
      </w:r>
      <w:r w:rsidR="00CC1AF2">
        <w:fldChar w:fldCharType="end"/>
      </w:r>
      <w:r w:rsidRPr="006875A1">
        <w:t xml:space="preserve"> </w:t>
      </w:r>
      <w:r w:rsidR="00CC1AF2">
        <w:t xml:space="preserve">develops the theory of pricing, price volatility and liquidity for </w:t>
      </w:r>
      <w:r w:rsidR="00C142C4">
        <w:t>IR</w:t>
      </w:r>
      <w:r w:rsidR="00CC1AF2">
        <w:t xml:space="preserve"> swaps under a clearing mandate</w:t>
      </w:r>
      <w:r w:rsidR="004776E9">
        <w:t>; s</w:t>
      </w:r>
      <w:r w:rsidR="00DE705F">
        <w:t xml:space="preserve">ection </w:t>
      </w:r>
      <w:r w:rsidR="009C0453">
        <w:fldChar w:fldCharType="begin"/>
      </w:r>
      <w:r w:rsidR="009C0453">
        <w:instrText xml:space="preserve"> REF _Ref157719088 \r \h </w:instrText>
      </w:r>
      <w:r w:rsidR="009C0453">
        <w:fldChar w:fldCharType="separate"/>
      </w:r>
      <w:r w:rsidR="009C0453">
        <w:t>4</w:t>
      </w:r>
      <w:r w:rsidR="009C0453">
        <w:fldChar w:fldCharType="end"/>
      </w:r>
      <w:r w:rsidR="00CC1AF2">
        <w:t xml:space="preserve"> discusses the identification strategy</w:t>
      </w:r>
      <w:r w:rsidR="004776E9">
        <w:t>; s</w:t>
      </w:r>
      <w:r w:rsidR="00C87249">
        <w:t xml:space="preserve">ection </w:t>
      </w:r>
      <w:r w:rsidR="00CC1AF2">
        <w:fldChar w:fldCharType="begin"/>
      </w:r>
      <w:r w:rsidR="00CC1AF2">
        <w:instrText xml:space="preserve"> REF _Ref157719326 \r \h </w:instrText>
      </w:r>
      <w:r w:rsidR="00CC1AF2">
        <w:fldChar w:fldCharType="separate"/>
      </w:r>
      <w:r w:rsidR="00CC1AF2">
        <w:t>5</w:t>
      </w:r>
      <w:r w:rsidR="00CC1AF2">
        <w:fldChar w:fldCharType="end"/>
      </w:r>
      <w:r w:rsidR="00C87249">
        <w:t xml:space="preserve"> details </w:t>
      </w:r>
      <w:r w:rsidR="009561B4">
        <w:t>my</w:t>
      </w:r>
      <w:r w:rsidR="00191190">
        <w:t xml:space="preserve"> data</w:t>
      </w:r>
      <w:r w:rsidR="004776E9">
        <w:t>; s</w:t>
      </w:r>
      <w:r w:rsidR="00191190">
        <w:t xml:space="preserve">ection </w:t>
      </w:r>
      <w:r w:rsidR="00540DEF">
        <w:fldChar w:fldCharType="begin"/>
      </w:r>
      <w:r w:rsidR="00540DEF">
        <w:instrText xml:space="preserve"> REF _Ref157719497 \r \h </w:instrText>
      </w:r>
      <w:r w:rsidR="00540DEF">
        <w:fldChar w:fldCharType="separate"/>
      </w:r>
      <w:r w:rsidR="00540DEF">
        <w:t>6</w:t>
      </w:r>
      <w:r w:rsidR="00540DEF">
        <w:fldChar w:fldCharType="end"/>
      </w:r>
      <w:r w:rsidR="00191190">
        <w:t xml:space="preserve"> discusses the results and section </w:t>
      </w:r>
      <w:r w:rsidR="00540DEF">
        <w:fldChar w:fldCharType="begin"/>
      </w:r>
      <w:r w:rsidR="00540DEF">
        <w:instrText xml:space="preserve"> REF _Ref157719507 \r \h </w:instrText>
      </w:r>
      <w:r w:rsidR="00540DEF">
        <w:fldChar w:fldCharType="separate"/>
      </w:r>
      <w:r w:rsidR="00540DEF">
        <w:t>7</w:t>
      </w:r>
      <w:r w:rsidR="00540DEF">
        <w:fldChar w:fldCharType="end"/>
      </w:r>
      <w:r w:rsidR="00191190">
        <w:t xml:space="preserve"> concludes.</w:t>
      </w:r>
    </w:p>
    <w:p w14:paraId="1DDCD928" w14:textId="399647D6" w:rsidR="0012752B" w:rsidRDefault="0012752B" w:rsidP="009C0453">
      <w:pPr>
        <w:pStyle w:val="Heading1"/>
        <w:numPr>
          <w:ilvl w:val="0"/>
          <w:numId w:val="33"/>
        </w:numPr>
      </w:pPr>
      <w:bookmarkStart w:id="0" w:name="_Ref157718856"/>
      <w:r w:rsidRPr="009C0453">
        <w:lastRenderedPageBreak/>
        <w:t>Background</w:t>
      </w:r>
      <w:bookmarkEnd w:id="0"/>
    </w:p>
    <w:p w14:paraId="48EFF618" w14:textId="10335675" w:rsidR="0012752B" w:rsidRDefault="00981EFF" w:rsidP="009561B4">
      <w:pPr>
        <w:pStyle w:val="Heading2"/>
      </w:pPr>
      <w:r>
        <w:t>Interest Rate Swaps</w:t>
      </w:r>
    </w:p>
    <w:p w14:paraId="351EFEAC" w14:textId="61D0E131" w:rsidR="007C099B" w:rsidRDefault="0039392E" w:rsidP="00031822">
      <w:r>
        <w:t xml:space="preserve">IR </w:t>
      </w:r>
      <w:r w:rsidR="005A0C96" w:rsidRPr="005A0C96">
        <w:t xml:space="preserve">swaps are financial derivatives used to hedge or speculate on interest rate movements. The </w:t>
      </w:r>
      <w:r w:rsidR="00EB53A2">
        <w:t xml:space="preserve">three </w:t>
      </w:r>
      <w:r w:rsidR="005A0C96" w:rsidRPr="005A0C96">
        <w:t xml:space="preserve">most common types </w:t>
      </w:r>
      <w:r>
        <w:t xml:space="preserve">of IR swaps </w:t>
      </w:r>
      <w:r w:rsidR="005A0C96" w:rsidRPr="005A0C96">
        <w:t>include vanilla fixed-for-floating swaps, basis swaps, and cross-currency basis swaps. Vanilla fixed-for-floating swaps are the most prevalent</w:t>
      </w:r>
      <w:r w:rsidR="00446E24">
        <w:t>.</w:t>
      </w:r>
      <w:r w:rsidR="005A0C96" w:rsidRPr="005A0C96">
        <w:t xml:space="preserve"> </w:t>
      </w:r>
      <w:r w:rsidR="00446E24">
        <w:t>In this type of swap,</w:t>
      </w:r>
      <w:r w:rsidR="005A0C96" w:rsidRPr="005A0C96">
        <w:t xml:space="preserve"> one party exchanges fixed-rate coupon payments for floating-rate payments on a notional principal. Firms use these instruments to convert floating-rate risk to fixed-rate risk, and vice versa.</w:t>
      </w:r>
      <w:r w:rsidR="00EF6757">
        <w:t xml:space="preserve"> </w:t>
      </w:r>
      <w:r w:rsidR="00C142C4">
        <w:t>As</w:t>
      </w:r>
      <w:r w:rsidR="00016AE6" w:rsidRPr="00016AE6">
        <w:t xml:space="preserve"> </w:t>
      </w:r>
      <w:r w:rsidR="00C142C4">
        <w:t xml:space="preserve">a concrete </w:t>
      </w:r>
      <w:r w:rsidR="00016AE6" w:rsidRPr="00016AE6">
        <w:t xml:space="preserve">example, </w:t>
      </w:r>
      <w:r w:rsidR="009A7D6A">
        <w:t xml:space="preserve">imagine </w:t>
      </w:r>
      <w:r w:rsidR="00016AE6" w:rsidRPr="00016AE6">
        <w:t xml:space="preserve">firm A can borrow at </w:t>
      </w:r>
      <w:r w:rsidR="009561B4">
        <w:t xml:space="preserve">the </w:t>
      </w:r>
      <w:r w:rsidR="009561B4" w:rsidRPr="00016AE6">
        <w:t>L</w:t>
      </w:r>
      <w:r w:rsidR="009561B4">
        <w:t xml:space="preserve">ondon </w:t>
      </w:r>
      <w:r w:rsidR="009561B4" w:rsidRPr="00016AE6">
        <w:t>I</w:t>
      </w:r>
      <w:r w:rsidR="009561B4">
        <w:t xml:space="preserve">nterbank </w:t>
      </w:r>
      <w:r w:rsidR="009561B4" w:rsidRPr="00016AE6">
        <w:t>O</w:t>
      </w:r>
      <w:r w:rsidR="009561B4">
        <w:t xml:space="preserve">ffer </w:t>
      </w:r>
      <w:r w:rsidR="009561B4" w:rsidRPr="00016AE6">
        <w:t>R</w:t>
      </w:r>
      <w:r w:rsidR="009561B4">
        <w:t>ate</w:t>
      </w:r>
      <w:r w:rsidR="0095406B">
        <w:t xml:space="preserve"> (LIBOR, </w:t>
      </w:r>
      <w:r w:rsidR="009561B4">
        <w:t xml:space="preserve">a common variable interest rate used by banks when lending money to each other) </w:t>
      </w:r>
      <w:r w:rsidR="00016AE6" w:rsidRPr="00016AE6">
        <w:t xml:space="preserve">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(this could be because firm A owns assets such as fixed-income securities while firm B owns assets that pay a variable rate,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23181346" w14:textId="386384F4" w:rsidR="008D1C73" w:rsidRDefault="00161437" w:rsidP="008D1C73">
      <w:r w:rsidRPr="00161437">
        <w:t xml:space="preserve">IR swaps </w:t>
      </w:r>
      <w:r w:rsidR="008D1C73">
        <w:t>can be</w:t>
      </w:r>
      <w:r w:rsidRPr="00161437">
        <w:t xml:space="preserve"> bespoke contracts, customizable to individual </w:t>
      </w:r>
      <w:r w:rsidR="008D1C73">
        <w:t xml:space="preserve">economic </w:t>
      </w:r>
      <w:r w:rsidRPr="00161437">
        <w:t xml:space="preserve">needs. As the largest over-the-counter </w:t>
      </w:r>
      <w:r w:rsidR="00FB01B7">
        <w:t xml:space="preserve">(OTC) </w:t>
      </w:r>
      <w:r w:rsidRPr="00161437">
        <w:t>swaps market, it accounted for $</w:t>
      </w:r>
      <w:r w:rsidR="00FD4074">
        <w:t>465</w:t>
      </w:r>
      <w:r w:rsidRPr="00161437">
        <w:t xml:space="preserve"> trillion of the $</w:t>
      </w:r>
      <w:r w:rsidR="00FD4074">
        <w:t xml:space="preserve">601 </w:t>
      </w:r>
      <w:r w:rsidRPr="00161437">
        <w:t>trillion global OTC swaps market in 2010</w:t>
      </w:r>
      <w:r w:rsidR="00FD4074">
        <w:t xml:space="preserve"> </w:t>
      </w:r>
      <w:r w:rsidR="00FD4074">
        <w:fldChar w:fldCharType="begin"/>
      </w:r>
      <w:r w:rsidR="00B9115F">
        <w:instrText xml:space="preserve"> ADDIN ZOTERO_ITEM CSL_CITATION {"citationID":"Vd9kFWHG","properties":{"formattedCitation":"(von Kleist and Mallo 2011)","plainCitation":"(von Kleist and Mallo 2011)","noteIndex":0},"citationItems":[{"id":861,"uris":["http://zotero.org/users/1226582/items/MIV8DAGL"],"itemData":{"id":861,"type":"article-journal","container-title":"Bank for International Settlements, Monetary and Economic Department, May","source":"Google Scholar","title":"OTC derivatives market activity in the second half of 2010","author":[{"family":"Kleist","given":"Karsten","non-dropping-particle":"von"},{"family":"Mallo","given":"C."}],"issued":{"date-parts":[["2011"]]}}}],"schema":"https://github.com/citation-style-language/schema/raw/master/csl-citation.json"} </w:instrText>
      </w:r>
      <w:r w:rsidR="00FD4074">
        <w:fldChar w:fldCharType="separate"/>
      </w:r>
      <w:r w:rsidR="00D459AC">
        <w:rPr>
          <w:noProof/>
        </w:rPr>
        <w:t>(von Kleist and Mallo 2011)</w:t>
      </w:r>
      <w:r w:rsidR="00FD4074">
        <w:fldChar w:fldCharType="end"/>
      </w:r>
      <w:r w:rsidRPr="00161437">
        <w:t>.</w:t>
      </w:r>
      <w:r w:rsidR="00AA193A">
        <w:t xml:space="preserve"> </w:t>
      </w:r>
      <w:r w:rsidR="008D1C73">
        <w:t>For many currencies, there are “standard</w:t>
      </w:r>
      <w:r w:rsidR="00AA193A">
        <w:t>ized</w:t>
      </w:r>
      <w:r w:rsidR="008D1C73">
        <w:t xml:space="preserve">” contracts, which </w:t>
      </w:r>
      <w:r w:rsidR="00AA193A">
        <w:t>have common features and are the most heavily traded</w:t>
      </w:r>
      <w:r w:rsidRPr="00161437">
        <w:t>.</w:t>
      </w:r>
      <w:r w:rsidR="00E70534">
        <w:t xml:space="preserve"> </w:t>
      </w:r>
      <w:r w:rsidR="008F79E0">
        <w:t>During the period of study, the “standard” (most common) US</w:t>
      </w:r>
      <w:r w:rsidR="00EC78C0">
        <w:t xml:space="preserve"> dollar (USD)</w:t>
      </w:r>
      <w:r w:rsidR="008F79E0">
        <w:t xml:space="preserve">-denominated IR swaps contract had semiannual payments </w:t>
      </w:r>
      <w:r w:rsidR="00AF63FA">
        <w:t xml:space="preserve">for one leg </w:t>
      </w:r>
      <w:r w:rsidR="008F79E0">
        <w:t xml:space="preserve">and </w:t>
      </w:r>
      <w:r w:rsidR="00AF63FA">
        <w:t xml:space="preserve">quarterly </w:t>
      </w:r>
      <w:r w:rsidR="008F79E0">
        <w:t>payments</w:t>
      </w:r>
      <w:r w:rsidR="00AF63FA">
        <w:t xml:space="preserve"> for the other leg (that is either trading quarterly fixed-rate payments for semiannual floating rate payments, or vice-versa)</w:t>
      </w:r>
      <w:r w:rsidR="008F79E0">
        <w:t xml:space="preserve">, with the </w:t>
      </w:r>
      <w:r w:rsidR="00440E83">
        <w:t xml:space="preserve">3-month </w:t>
      </w:r>
      <w:r w:rsidR="008F79E0">
        <w:t>USD-LIBOR curve used both as the floating-rate reference and for discounting future cash flows</w:t>
      </w:r>
      <w:r w:rsidR="00FB01B7">
        <w:t xml:space="preserve"> (see section </w:t>
      </w:r>
      <w:r w:rsidR="00FB01B7">
        <w:fldChar w:fldCharType="begin"/>
      </w:r>
      <w:r w:rsidR="00FB01B7">
        <w:instrText xml:space="preserve"> REF _Ref157719057 \r \h </w:instrText>
      </w:r>
      <w:r w:rsidR="00FB01B7">
        <w:fldChar w:fldCharType="separate"/>
      </w:r>
      <w:r w:rsidR="00FB01B7">
        <w:t>3</w:t>
      </w:r>
      <w:r w:rsidR="00FB01B7">
        <w:fldChar w:fldCharType="end"/>
      </w:r>
      <w:r w:rsidR="00FB01B7">
        <w:t>)</w:t>
      </w:r>
      <w:r w:rsidR="008F79E0">
        <w:t xml:space="preserve">. </w:t>
      </w:r>
      <w:r w:rsidR="00AA193A">
        <w:t xml:space="preserve">The day-count convention for the fixed-leg payment </w:t>
      </w:r>
      <w:r w:rsidR="00935B7D">
        <w:t xml:space="preserve">is the </w:t>
      </w:r>
      <w:r w:rsidR="00AA193A">
        <w:t xml:space="preserve">30/360 convention </w:t>
      </w:r>
      <w:r w:rsidR="00440E83">
        <w:t>and</w:t>
      </w:r>
      <w:r w:rsidR="00AA193A">
        <w:t xml:space="preserve"> </w:t>
      </w:r>
      <w:r w:rsidR="00935B7D">
        <w:t>the day-count convention for the floating leg is the Actual/360 day-count convention. For payment schedules, the modified-following business day rule is used.</w:t>
      </w:r>
      <w:r w:rsidR="007721E7">
        <w:t xml:space="preserve"> </w:t>
      </w:r>
      <w:r w:rsidR="00AF63FA">
        <w:t xml:space="preserve">The </w:t>
      </w:r>
      <w:r w:rsidR="00AF63FA">
        <w:lastRenderedPageBreak/>
        <w:t xml:space="preserve">standard </w:t>
      </w:r>
      <w:r w:rsidR="008F79E0">
        <w:t>C</w:t>
      </w:r>
      <w:r w:rsidR="00EC78C0">
        <w:t xml:space="preserve">anadian </w:t>
      </w:r>
      <w:r w:rsidR="008F79E0">
        <w:t>D</w:t>
      </w:r>
      <w:r w:rsidR="00EC78C0">
        <w:t>ollar (CAD)</w:t>
      </w:r>
      <w:r w:rsidR="008F79E0">
        <w:t>-denominated contract</w:t>
      </w:r>
      <w:r w:rsidR="00AF63FA">
        <w:t xml:space="preserve"> </w:t>
      </w:r>
      <w:r w:rsidR="00AA1B8E">
        <w:t xml:space="preserve">had </w:t>
      </w:r>
      <w:r w:rsidR="00EC78C0">
        <w:t>CDOR</w:t>
      </w:r>
      <w:r w:rsidR="00AA1B8E">
        <w:t xml:space="preserve"> as the</w:t>
      </w:r>
      <w:r w:rsidR="00EC78C0">
        <w:t xml:space="preserve"> reference floating rate</w:t>
      </w:r>
      <w:r w:rsidR="00AA1B8E">
        <w:t xml:space="preserve">. </w:t>
      </w:r>
      <w:r w:rsidR="007721E7">
        <w:t xml:space="preserve">The contract used Actual/365 as the day-count convention for both </w:t>
      </w:r>
      <w:r w:rsidR="00B9115F">
        <w:t>legs and</w:t>
      </w:r>
      <w:r w:rsidR="007721E7">
        <w:t xml:space="preserve"> used the modified following </w:t>
      </w:r>
      <w:r w:rsidR="00DF452F">
        <w:t xml:space="preserve">day-count convention. </w:t>
      </w:r>
      <w:r w:rsidR="00440E83">
        <w:t>Both Canadian and US dollar denominated contracts used the ISDA master</w:t>
      </w:r>
      <w:r w:rsidR="00B9115F">
        <w:t xml:space="preserve"> </w:t>
      </w:r>
      <w:r w:rsidR="00440E83">
        <w:t xml:space="preserve">agreement, which specifies settlement, termination and other contract specifications. </w:t>
      </w:r>
      <w:r w:rsidR="00EC78C0">
        <w:t>Standard c</w:t>
      </w:r>
      <w:r w:rsidR="00AA1B8E">
        <w:t xml:space="preserve">ontracts denominated in other currencies </w:t>
      </w:r>
      <w:r w:rsidR="00440E83">
        <w:t xml:space="preserve">(e.g. EUR, GBP, and JPY) </w:t>
      </w:r>
      <w:r w:rsidR="00AA1B8E">
        <w:t>ha</w:t>
      </w:r>
      <w:r w:rsidR="00EC78C0">
        <w:t>ve</w:t>
      </w:r>
      <w:r w:rsidR="00AA1B8E">
        <w:t xml:space="preserve"> their own conventions as well.</w:t>
      </w:r>
      <w:r w:rsidR="00265F4A">
        <w:t xml:space="preserve"> The contract specifications can be changed to meet the requirements of the counterparties, but such non-standard contracts are likely to be less liquid than the standard contracts.</w:t>
      </w:r>
    </w:p>
    <w:p w14:paraId="16126F61" w14:textId="0D009F60" w:rsidR="007E1203" w:rsidRDefault="00B91280" w:rsidP="00D459AC">
      <w:r>
        <w:rPr>
          <w:u w:val="double"/>
        </w:rPr>
        <w:t>The</w:t>
      </w:r>
      <w:r w:rsidR="00B9115F">
        <w:rPr>
          <w:u w:val="double"/>
        </w:rPr>
        <w:t xml:space="preserve"> </w:t>
      </w:r>
      <w:r w:rsidR="008B7733">
        <w:t>IR</w:t>
      </w:r>
      <w:r>
        <w:t xml:space="preserve"> </w:t>
      </w:r>
      <w:r w:rsidR="008B7733">
        <w:t xml:space="preserve">swaps </w:t>
      </w:r>
      <w:r w:rsidR="007E6044" w:rsidRPr="007E6044">
        <w:t>market is dealer-dominated, with dealer-customer and dealer-dealer trades accounting for 80% of notional value</w:t>
      </w:r>
      <w:r w:rsidR="00D459AC">
        <w:t xml:space="preserve"> </w:t>
      </w:r>
      <w:r w:rsidR="00D459AC">
        <w:fldChar w:fldCharType="begin"/>
      </w:r>
      <w:r w:rsidR="00B9115F">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D459AC">
        <w:fldChar w:fldCharType="separate"/>
      </w:r>
      <w:r w:rsidR="00D459AC">
        <w:rPr>
          <w:noProof/>
        </w:rPr>
        <w:t>(Bolandnazar 2020)</w:t>
      </w:r>
      <w:r w:rsidR="00D459AC">
        <w:fldChar w:fldCharType="end"/>
      </w:r>
      <w:r w:rsidR="007E6044" w:rsidRPr="007E6044">
        <w:t xml:space="preserve">. Bolandnazar </w:t>
      </w:r>
      <w:r w:rsidR="00D459AC">
        <w:t xml:space="preserve">finds </w:t>
      </w:r>
      <w:r w:rsidR="007E6044" w:rsidRPr="007E6044">
        <w:t>that 50% of trades (by notional value) are executed by the largest seven dealers, indicating market concentration among a few dealers.</w:t>
      </w:r>
      <w:r w:rsidR="00D459AC">
        <w:t xml:space="preserve"> </w:t>
      </w:r>
      <w:r w:rsidR="007E6044" w:rsidRPr="007E6044">
        <w:t>This concentration can impact pricing and market stability</w:t>
      </w:r>
      <w:r w:rsidR="008D236F">
        <w:t xml:space="preserve"> in several ways</w:t>
      </w:r>
      <w:r w:rsidR="007E6044" w:rsidRPr="007E6044">
        <w:t>.</w:t>
      </w:r>
      <w:r w:rsidR="00D459AC">
        <w:t xml:space="preserve"> Larger dealers might be able to reduce search </w:t>
      </w:r>
      <w:r w:rsidR="00C64F72">
        <w:t xml:space="preserve">costs </w:t>
      </w:r>
      <w:r w:rsidR="00AA1B8E">
        <w:t xml:space="preserve">by </w:t>
      </w:r>
      <w:r w:rsidR="00C64F72">
        <w:t xml:space="preserve">easily finding </w:t>
      </w:r>
      <w:r w:rsidR="00AA1B8E">
        <w:t>a counterparty from the dealers’ large client base</w:t>
      </w:r>
      <w:r>
        <w:t xml:space="preserve">. They could also reduce </w:t>
      </w:r>
      <w:r w:rsidR="00D459AC">
        <w:t>transactions costs</w:t>
      </w:r>
      <w:r w:rsidR="00C64F72">
        <w:t xml:space="preserve"> </w:t>
      </w:r>
      <w:r>
        <w:t xml:space="preserve">by </w:t>
      </w:r>
      <w:r w:rsidR="00C64F72">
        <w:t>economizing over administrative and warehousing costs</w:t>
      </w:r>
      <w:r w:rsidR="00AA1B8E">
        <w:t xml:space="preserve"> of contracts</w:t>
      </w:r>
      <w:r w:rsidR="00D459AC">
        <w:t xml:space="preserve">. However, because of their market position, they might </w:t>
      </w:r>
      <w:r>
        <w:t xml:space="preserve">have market power and be able to charge </w:t>
      </w:r>
      <w:r w:rsidR="008D236F">
        <w:t>a premium over what would prevail in competitive markets</w:t>
      </w:r>
      <w:r w:rsidR="00C64F72">
        <w:t>. The failure of a large dealer (or a dealer’s major counterparty) could also drastically reduce liquidity in the system and increase transactions costs</w:t>
      </w:r>
      <w:r w:rsidR="008D236F">
        <w:t xml:space="preserve"> (t</w:t>
      </w:r>
      <w:r w:rsidR="00AA1B8E">
        <w:t xml:space="preserve">his is expanded upon in the simulation </w:t>
      </w:r>
      <w:r w:rsidR="008D236F">
        <w:t>section below)</w:t>
      </w:r>
      <w:r w:rsidR="00AA1B8E">
        <w:t>.</w:t>
      </w:r>
    </w:p>
    <w:p w14:paraId="4CDB6FA5" w14:textId="1A2BA8EC" w:rsidR="00DC42EB" w:rsidRDefault="00DC42EB" w:rsidP="00AB12F9">
      <w:pPr>
        <w:pStyle w:val="Heading2"/>
      </w:pPr>
      <w:r>
        <w:t>Central Clearing</w:t>
      </w:r>
    </w:p>
    <w:p w14:paraId="0B92C52A" w14:textId="75A43006" w:rsidR="002F6C5B" w:rsidRDefault="00377D40" w:rsidP="00B15828">
      <w:r w:rsidRPr="00377D40">
        <w:t xml:space="preserve">When a swap is cleared, the </w:t>
      </w:r>
      <w:r w:rsidR="009C1462">
        <w:t xml:space="preserve">initial </w:t>
      </w:r>
      <w:r w:rsidRPr="00377D40">
        <w:t xml:space="preserve">contract between the two 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w:t>
      </w:r>
      <w:r w:rsidR="002F6C5B">
        <w:t xml:space="preserve">, </w:t>
      </w:r>
      <w:r w:rsidRPr="00377D40">
        <w:t>DCO</w:t>
      </w:r>
      <w:r w:rsidR="002F6C5B">
        <w:t xml:space="preserve"> or clearinghouse</w:t>
      </w:r>
      <w:r w:rsidRPr="00377D40">
        <w:t>).</w:t>
      </w:r>
      <w:r w:rsidR="00877DDF">
        <w:t xml:space="preserve"> </w:t>
      </w:r>
      <w:r w:rsidR="009C1462">
        <w:t>The clearinghouse becomes the counterparty for each leg (that is, paying the fixed</w:t>
      </w:r>
      <w:r w:rsidR="00DB01F2">
        <w:t xml:space="preserve"> </w:t>
      </w:r>
      <w:r w:rsidR="009C1462">
        <w:t>leg</w:t>
      </w:r>
      <w:r w:rsidR="00877DDF">
        <w:t xml:space="preserve"> </w:t>
      </w:r>
      <w:r w:rsidR="009C1462">
        <w:t>to the initial party receiving fixed-leg payments</w:t>
      </w:r>
      <w:r w:rsidR="00DB01F2">
        <w:t xml:space="preserve"> and paying the floating leg to the party receiving the floating leg-payments. It also receives the floating leg from the initial party paying the floating rate and the fixed leg from the initial party paying the fixed leg). </w:t>
      </w:r>
      <w:r w:rsidR="00877DDF">
        <w:t xml:space="preserve">If one party fails to meet their contractual obligation, the clearinghouse can still </w:t>
      </w:r>
      <w:r w:rsidR="00ED4D27">
        <w:t xml:space="preserve">make sure the other party gets paid. </w:t>
      </w:r>
      <w:r w:rsidR="00C64F72">
        <w:t xml:space="preserve">Clearinghouses have access to additional funds to make a counterparty whole in case of default by the other. </w:t>
      </w:r>
      <w:r w:rsidR="00C90716">
        <w:t xml:space="preserve">When counterparties clear their trade through a </w:t>
      </w:r>
      <w:r w:rsidR="002F6C5B">
        <w:t>clearinghouse</w:t>
      </w:r>
      <w:r w:rsidR="00C90716">
        <w:t>, they must put up collateral</w:t>
      </w:r>
      <w:r w:rsidR="007E6980">
        <w:t xml:space="preserve"> </w:t>
      </w:r>
      <w:r w:rsidR="002F6C5B">
        <w:t xml:space="preserve">(initial margin) </w:t>
      </w:r>
      <w:r w:rsidR="007E6980">
        <w:t xml:space="preserve">and </w:t>
      </w:r>
      <w:r w:rsidR="00C90716">
        <w:t xml:space="preserve">contribute to a default fund. </w:t>
      </w:r>
      <w:r w:rsidR="002F6C5B">
        <w:t xml:space="preserve">In case the risk position of the counterparty </w:t>
      </w:r>
      <w:r w:rsidR="002F6C5B">
        <w:lastRenderedPageBreak/>
        <w:t xml:space="preserve">changes, it can be required to put up additional collateral (variation margin). </w:t>
      </w:r>
      <w:r w:rsidR="00C90716">
        <w:t>The CCP also has equity (CCP capital)</w:t>
      </w:r>
      <w:r w:rsidR="002F6C5B">
        <w:t>, default fund contributions of other members</w:t>
      </w:r>
      <w:r w:rsidR="00C90716">
        <w:t xml:space="preserve"> and access to other lines of credit</w:t>
      </w:r>
      <w:r w:rsidR="00445059">
        <w:t xml:space="preserve"> such as the Federal Reserve discount window</w:t>
      </w:r>
      <w:r w:rsidR="00C90716">
        <w:t xml:space="preserve">. </w:t>
      </w:r>
      <w:r w:rsidR="00D8044D">
        <w:t xml:space="preserve">The combination of these resources (collateral, default fund, CCP capital and other </w:t>
      </w:r>
      <w:r w:rsidR="009C1462">
        <w:t>sources</w:t>
      </w:r>
      <w:r w:rsidR="00D8044D">
        <w:t xml:space="preserve"> of credit) make it unlikely that the failure of one counterparty would drastically affect the </w:t>
      </w:r>
      <w:r w:rsidR="00B15828">
        <w:t xml:space="preserve">whole </w:t>
      </w:r>
      <w:r w:rsidR="00D8044D">
        <w:t xml:space="preserve">market. </w:t>
      </w:r>
      <w:r w:rsidR="00B837CA">
        <w:t>Since clearing members can lose their contribution to the default fund in case of the failure of a counterparty, c</w:t>
      </w:r>
      <w:r w:rsidR="00B837CA" w:rsidRPr="00377D40">
        <w:t xml:space="preserve">learing </w:t>
      </w:r>
      <w:r w:rsidR="00B837CA">
        <w:t>mutualizes counterparty risk among the members of the clearinghouse</w:t>
      </w:r>
      <w:r w:rsidR="00B837CA" w:rsidRPr="00377D40">
        <w:t>.</w:t>
      </w:r>
    </w:p>
    <w:p w14:paraId="58435568" w14:textId="5D6CDEA7" w:rsidR="00AA1B8E" w:rsidRDefault="002F6C5B" w:rsidP="00B15828">
      <w:r>
        <w:t>I</w:t>
      </w:r>
      <w:r w:rsidR="00C64F72">
        <w:t>n addition</w:t>
      </w:r>
      <w:r w:rsidR="00D8044D">
        <w:t xml:space="preserve"> to these financial resources</w:t>
      </w:r>
      <w:r w:rsidR="00C64F72">
        <w:t>, c</w:t>
      </w:r>
      <w:r w:rsidR="00377D40" w:rsidRPr="00377D40">
        <w:t>learinghouses</w:t>
      </w:r>
      <w:r w:rsidR="007475B0">
        <w:t xml:space="preserve"> are</w:t>
      </w:r>
      <w:r w:rsidR="00377D40" w:rsidRPr="00377D40">
        <w:t xml:space="preserve"> </w:t>
      </w:r>
      <w:r w:rsidR="00C64F72">
        <w:t xml:space="preserve">generally </w:t>
      </w:r>
      <w:r w:rsidR="00377D40" w:rsidRPr="00377D40">
        <w:t xml:space="preserve">large financial institutions </w:t>
      </w:r>
      <w:r w:rsidR="00C106ED">
        <w:t>that</w:t>
      </w:r>
      <w:r w:rsidR="007475B0">
        <w:t xml:space="preserve"> are supposed to exercise </w:t>
      </w:r>
      <w:r w:rsidR="00377D40" w:rsidRPr="00377D40">
        <w:t>prudent risk control measures</w:t>
      </w:r>
      <w:r w:rsidR="00D8044D">
        <w:t xml:space="preserve"> </w:t>
      </w:r>
      <w:r w:rsidR="002F4ED0">
        <w:t>such as</w:t>
      </w:r>
      <w:r w:rsidR="00D8044D">
        <w:t xml:space="preserve"> monitoring members trading positions and liquidating distressed </w:t>
      </w:r>
      <w:r w:rsidR="002F4ED0">
        <w:t xml:space="preserve">assets </w:t>
      </w:r>
      <w:r w:rsidR="00D8044D">
        <w:t>in an orderly fashion</w:t>
      </w:r>
      <w:r w:rsidR="00377D40" w:rsidRPr="00377D40">
        <w:t>.</w:t>
      </w:r>
      <w:r w:rsidR="00B837CA">
        <w:t xml:space="preserve"> Since the clearinghouse can observe the all the trades that it is clearing, it has a better picture of overall riskiness of each member. In a bilateral market, the counterparty is unaware of what other trades its partner is entering, and so does not have a thorough understanding of its riskiness.</w:t>
      </w:r>
    </w:p>
    <w:p w14:paraId="531EF8A7" w14:textId="6B9D5BA2" w:rsidR="002C58F6" w:rsidRDefault="00B15828" w:rsidP="00B15828">
      <w:r>
        <w:t xml:space="preserve">Clearing can also reduce demand for collateral through a practice called netting. </w:t>
      </w:r>
      <w:r w:rsidR="002F4ED0">
        <w:t>There are two types of netting practices common in the industry</w:t>
      </w:r>
      <w:r w:rsidR="00882716">
        <w:t>: cross-product netting and multiproduct netting</w:t>
      </w:r>
      <w:r w:rsidR="002F4ED0">
        <w:t xml:space="preserve">. </w:t>
      </w:r>
      <w:r w:rsidR="00F27E22">
        <w:t xml:space="preserve">For a clearinghouse that clears multiple types of </w:t>
      </w:r>
      <w:r w:rsidR="00882716">
        <w:t>contracts (e.g. interest rate swaps, forward rate agreements, overnight-index swaps, credit default swaps, etc.) c</w:t>
      </w:r>
      <w:r w:rsidR="002F4ED0">
        <w:t>ross-product n</w:t>
      </w:r>
      <w:r>
        <w:t xml:space="preserve">etting </w:t>
      </w:r>
      <w:r w:rsidR="002F4ED0">
        <w:t xml:space="preserve">involves netting </w:t>
      </w:r>
      <w:r>
        <w:t xml:space="preserve">across </w:t>
      </w:r>
      <w:r w:rsidR="002F4ED0">
        <w:t xml:space="preserve">different derivatives </w:t>
      </w:r>
      <w:r>
        <w:t xml:space="preserve">products. For example, if firm A owes the CCP $10 million in collateral for IR swaps, but the CCP owes firm A $8 million for CD swaps, then firm A can just pay the CCP $2 million in net collateral. </w:t>
      </w:r>
      <w:r w:rsidR="002F4ED0">
        <w:t>Multilateral n</w:t>
      </w:r>
      <w:r>
        <w:t xml:space="preserve">etting </w:t>
      </w:r>
      <w:r w:rsidR="002F4ED0">
        <w:t>involves netting payments across multiple firms</w:t>
      </w:r>
      <w:r>
        <w:t xml:space="preserve">. For example, consider the following series of </w:t>
      </w:r>
      <w:r w:rsidR="00DC2E73">
        <w:t>obligations</w:t>
      </w:r>
      <w:r>
        <w:t xml:space="preserve">: firm A owes firm B $100 million and firm C $200 million; firm B owes firm A $50 million and firm C $150 million; firm C owes firm A $100 million and firm B $100 million. Without multilateral netting, </w:t>
      </w:r>
      <w:r w:rsidR="004C1AD0">
        <w:t>the firms can still engage in bilateral netting. T</w:t>
      </w:r>
      <w:r>
        <w:t xml:space="preserve">he following payments would need to be </w:t>
      </w:r>
      <w:proofErr w:type="gramStart"/>
      <w:r w:rsidR="002F4ED0">
        <w:t>made:</w:t>
      </w:r>
      <w:proofErr w:type="gramEnd"/>
      <w:r>
        <w:t xml:space="preserve"> </w:t>
      </w:r>
      <w:r w:rsidR="00782C1A">
        <w:t xml:space="preserve">firm A would </w:t>
      </w:r>
      <w:r w:rsidR="00AA1B8E">
        <w:t xml:space="preserve">need to </w:t>
      </w:r>
      <w:r w:rsidR="00782C1A">
        <w:t xml:space="preserve">pay firm B ($100 - $50) = $50 million and firm C ($200 - $100) = $100 million; firm B would </w:t>
      </w:r>
      <w:r w:rsidR="00AA1B8E">
        <w:t xml:space="preserve">need to </w:t>
      </w:r>
      <w:r w:rsidR="00782C1A">
        <w:t>pay firm C ($150 - $100) = $50 million. The total collateral demand would be $200 million. With multilateral netting</w:t>
      </w:r>
      <w:r w:rsidR="00265F4A">
        <w:t xml:space="preserve"> by the CCP</w:t>
      </w:r>
      <w:r w:rsidR="00782C1A">
        <w:t xml:space="preserve">, </w:t>
      </w:r>
      <w:r w:rsidR="00265F4A">
        <w:t>the $50 million “transitive” payment from firm A to B to C can be eliminated. F</w:t>
      </w:r>
      <w:r w:rsidR="00782C1A">
        <w:t>irm A would pay the CCP $150 million and the CCP would pay firm C $150 million (while firm B would not make any payments</w:t>
      </w:r>
      <w:r w:rsidR="002F4ED0">
        <w:t xml:space="preserve"> at all</w:t>
      </w:r>
      <w:r w:rsidR="00782C1A">
        <w:t>). The total collateral demand would be $150 million.</w:t>
      </w:r>
    </w:p>
    <w:p w14:paraId="25F9B403" w14:textId="77777777" w:rsidR="00BF72AE" w:rsidRDefault="00BF72AE" w:rsidP="00B15828"/>
    <w:p w14:paraId="56438D5D" w14:textId="5BD8F09A" w:rsidR="00BF72AE" w:rsidRDefault="00BF72AE" w:rsidP="00BF72AE">
      <w:pPr>
        <w:pStyle w:val="Caption"/>
      </w:pPr>
      <w:r>
        <w:lastRenderedPageBreak/>
        <w:t xml:space="preserve">Figure </w:t>
      </w:r>
      <w:r>
        <w:fldChar w:fldCharType="begin"/>
      </w:r>
      <w:r>
        <w:instrText xml:space="preserve"> SEQ Figure \* ARABIC </w:instrText>
      </w:r>
      <w:r>
        <w:fldChar w:fldCharType="separate"/>
      </w:r>
      <w:r>
        <w:rPr>
          <w:noProof/>
        </w:rPr>
        <w:t>1</w:t>
      </w:r>
      <w:r>
        <w:fldChar w:fldCharType="end"/>
      </w:r>
      <w:r>
        <w:rPr>
          <w:noProof/>
        </w:rPr>
        <w:t xml:space="preserve"> (a) Example </w:t>
      </w:r>
      <w:r w:rsidR="007B359F">
        <w:rPr>
          <w:noProof/>
        </w:rPr>
        <w:t xml:space="preserve">of </w:t>
      </w:r>
      <w:r>
        <w:rPr>
          <w:noProof/>
        </w:rPr>
        <w:t xml:space="preserve">obligations </w:t>
      </w:r>
      <w:r w:rsidR="007B359F">
        <w:rPr>
          <w:noProof/>
        </w:rPr>
        <w:t xml:space="preserve">between three firms </w:t>
      </w:r>
      <w:r>
        <w:rPr>
          <w:noProof/>
        </w:rPr>
        <w:t>and (b) payments under bilateral netting and (c) payments under multilateral netting</w:t>
      </w:r>
    </w:p>
    <w:p w14:paraId="5E06E831" w14:textId="75CE52A0" w:rsidR="00BF72AE" w:rsidRDefault="00BF72AE" w:rsidP="00BF72AE">
      <w:pPr>
        <w:keepNext/>
      </w:pPr>
      <w:r>
        <w:rPr>
          <w:noProof/>
        </w:rPr>
        <w:drawing>
          <wp:inline distT="0" distB="0" distL="0" distR="0" wp14:anchorId="12F71951" wp14:editId="4E7287AD">
            <wp:extent cx="2126608" cy="1371600"/>
            <wp:effectExtent l="0" t="0" r="0" b="0"/>
            <wp:docPr id="10699115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1508" name="Graphic 1069911508"/>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26608" cy="1371600"/>
                    </a:xfrm>
                    <a:prstGeom prst="rect">
                      <a:avLst/>
                    </a:prstGeom>
                  </pic:spPr>
                </pic:pic>
              </a:graphicData>
            </a:graphic>
          </wp:inline>
        </w:drawing>
      </w:r>
      <w:r>
        <w:t>(a)</w:t>
      </w:r>
    </w:p>
    <w:p w14:paraId="5F22AD6D" w14:textId="68E3C0ED" w:rsidR="00BF72AE" w:rsidRDefault="00BF72AE" w:rsidP="00B15828">
      <w:r>
        <w:rPr>
          <w:noProof/>
        </w:rPr>
        <w:drawing>
          <wp:inline distT="0" distB="0" distL="0" distR="0" wp14:anchorId="5AB50C35" wp14:editId="16861224">
            <wp:extent cx="2126609" cy="1371600"/>
            <wp:effectExtent l="0" t="0" r="0" b="0"/>
            <wp:docPr id="19629181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816" name="Graphic 19629181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126609" cy="1371600"/>
                    </a:xfrm>
                    <a:prstGeom prst="rect">
                      <a:avLst/>
                    </a:prstGeom>
                  </pic:spPr>
                </pic:pic>
              </a:graphicData>
            </a:graphic>
          </wp:inline>
        </w:drawing>
      </w:r>
      <w:r>
        <w:t>(b)</w:t>
      </w:r>
      <w:r>
        <w:rPr>
          <w:noProof/>
        </w:rPr>
        <w:drawing>
          <wp:inline distT="0" distB="0" distL="0" distR="0" wp14:anchorId="171157A5" wp14:editId="3A06856C">
            <wp:extent cx="2126609" cy="1371600"/>
            <wp:effectExtent l="0" t="0" r="0" b="0"/>
            <wp:docPr id="6480018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01834" name="Graphic 64800183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r>
        <w:t>(c)</w:t>
      </w:r>
    </w:p>
    <w:p w14:paraId="2389E1F1" w14:textId="77777777" w:rsidR="00265F4A" w:rsidRDefault="00265F4A" w:rsidP="00B15828"/>
    <w:p w14:paraId="507E50F0" w14:textId="77777777" w:rsidR="00265F4A" w:rsidRDefault="00265F4A" w:rsidP="00B15828"/>
    <w:p w14:paraId="3D23A101" w14:textId="7DDF31AE" w:rsidR="00DC42EB" w:rsidRDefault="0025043C" w:rsidP="00A8682C">
      <w:r w:rsidRPr="0025043C">
        <w:t xml:space="preserve">Originally created for </w:t>
      </w:r>
      <w:r w:rsidR="00E6619F">
        <w:t xml:space="preserve">members of </w:t>
      </w:r>
      <w:r w:rsidRPr="0025043C">
        <w:t xml:space="preserve">futures </w:t>
      </w:r>
      <w:r w:rsidR="00E6619F">
        <w:t xml:space="preserve">and equities </w:t>
      </w:r>
      <w:r w:rsidRPr="0025043C">
        <w:t xml:space="preserve">exchanges, clearinghouses became more significant with regulations like the </w:t>
      </w:r>
      <w:r w:rsidR="0011666A">
        <w:t xml:space="preserve">DFA (2010) </w:t>
      </w:r>
      <w:r w:rsidRPr="0025043C">
        <w:t>and European Market Infrastructure Regulation (EMIR</w:t>
      </w:r>
      <w:r w:rsidR="0011666A">
        <w:t>, 2012</w:t>
      </w:r>
      <w:r w:rsidRPr="0025043C">
        <w:t xml:space="preserve">) mandating central clearing of derivatives. Mandated clearing </w:t>
      </w:r>
      <w:r w:rsidR="00265F4A">
        <w:t>can</w:t>
      </w:r>
      <w:r w:rsidRPr="0025043C">
        <w:t xml:space="preserve"> have macro and micro effects on the </w:t>
      </w:r>
      <w:r w:rsidR="00265F4A">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rsidR="00A8682C">
        <w:t xml:space="preserve"> </w:t>
      </w:r>
      <w:r w:rsidR="00B92576"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w:t>
      </w:r>
      <w:r w:rsidR="00DB74D5">
        <w:t xml:space="preserve">(that is, even though a single clearinghouse for US and Europe might have lower costs, regulators might require the clearinghouse to be geographically located in their jurisdiction, requiring two clearinghouses) </w:t>
      </w:r>
      <w:r w:rsidR="00B92576" w:rsidRPr="00B92576">
        <w:t>and antitrust scrutiny. While clearinghouses can reduce default risk and collateral demand, they also require resources for risk management activities, which may increase trading costs.</w:t>
      </w:r>
    </w:p>
    <w:p w14:paraId="4CE2130C" w14:textId="77777777" w:rsidR="00BF6365" w:rsidRDefault="00BF6365" w:rsidP="00AB12F9">
      <w:pPr>
        <w:pStyle w:val="Heading2"/>
      </w:pPr>
      <w:r>
        <w:lastRenderedPageBreak/>
        <w:t>Regulatory Background</w:t>
      </w:r>
    </w:p>
    <w:p w14:paraId="4AD983A7" w14:textId="1E3DEDDA" w:rsidR="00BF6365" w:rsidRPr="00EA1749" w:rsidRDefault="00BF6365" w:rsidP="00AB12F9">
      <w:pPr>
        <w:pStyle w:val="Heading3"/>
      </w:pPr>
      <w:r w:rsidRPr="00EA1749">
        <w:t xml:space="preserve">US </w:t>
      </w:r>
      <w:r w:rsidR="00EA1749">
        <w:t>C</w:t>
      </w:r>
      <w:r w:rsidRPr="00EA1749">
        <w:t>ontext</w:t>
      </w:r>
    </w:p>
    <w:p w14:paraId="40824E1A" w14:textId="0DB782EE" w:rsidR="00BF6365" w:rsidRDefault="0086750E" w:rsidP="00031822">
      <w:r w:rsidRPr="0086750E">
        <w:t xml:space="preserve">Following the financial crisis, Congress passed the DFA to enhance the US financial system's reliability. Since </w:t>
      </w:r>
      <w:r w:rsidR="006738CB">
        <w:t>over the counter</w:t>
      </w:r>
      <w:r w:rsidRPr="0086750E">
        <w:t xml:space="preserve"> </w:t>
      </w:r>
      <w:r w:rsidR="00C519BF">
        <w:t xml:space="preserve">(OTC) </w:t>
      </w:r>
      <w:r w:rsidRPr="0086750E">
        <w:t xml:space="preserve">derivatives markets played a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384F3128" w14:textId="0F0A7268" w:rsidR="0010299E" w:rsidRDefault="00715923" w:rsidP="00C519BF">
      <w:r w:rsidRPr="00715923">
        <w:t xml:space="preserve">To reduce default risk for large swaps dealers, </w:t>
      </w:r>
      <w:r w:rsidR="00381A4D">
        <w:t>DFA</w:t>
      </w:r>
      <w:r w:rsidRPr="00715923">
        <w:t xml:space="preserve"> requires </w:t>
      </w:r>
      <w:r w:rsidR="00C519BF">
        <w:t xml:space="preserve">dealers to register </w:t>
      </w:r>
      <w:r w:rsidRPr="00715923">
        <w:t xml:space="preserve">with the </w:t>
      </w:r>
      <w:r w:rsidR="00AB12F9">
        <w:t xml:space="preserve">Commodities Futures Trading Commission (CFTC) </w:t>
      </w:r>
      <w:r w:rsidR="00C519BF">
        <w:t xml:space="preserve">or </w:t>
      </w:r>
      <w:r w:rsidR="0011666A">
        <w:t>the Securities and Exchange Commission (SEC)</w:t>
      </w:r>
      <w:r w:rsidRPr="00715923">
        <w:t xml:space="preserve">, </w:t>
      </w:r>
      <w:r w:rsidR="00C519BF">
        <w:t xml:space="preserve">adhere </w:t>
      </w:r>
      <w:r w:rsidRPr="00715923">
        <w:t>to internal business conduct standards</w:t>
      </w:r>
      <w:r w:rsidR="00C519BF">
        <w:t xml:space="preserve"> and maintain </w:t>
      </w:r>
      <w:r w:rsidRPr="00715923">
        <w:t>adequate capital</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BA72D6">
        <w:t xml:space="preserve">. To make trade data more readily available, it requires </w:t>
      </w:r>
      <w:r w:rsidR="00C519BF">
        <w:t xml:space="preserve">real-time </w:t>
      </w:r>
      <w:r w:rsidR="00381A4D">
        <w:t xml:space="preserve">reporting </w:t>
      </w:r>
      <w:r w:rsidR="00C519BF">
        <w:t xml:space="preserve">of </w:t>
      </w:r>
      <w:r w:rsidR="00381A4D">
        <w:t xml:space="preserve">price information to swaps data repositories (SDRs) and submitting </w:t>
      </w:r>
      <w:r w:rsidR="00C519BF">
        <w:t xml:space="preserve">additional </w:t>
      </w:r>
      <w:r w:rsidR="00381A4D">
        <w:t xml:space="preserve">data </w:t>
      </w:r>
      <w:r w:rsidR="00C519BF">
        <w:t xml:space="preserve">(called primary economic terms) </w:t>
      </w:r>
      <w:r w:rsidR="00381A4D">
        <w:t>to SDRs or the CFTC</w:t>
      </w:r>
      <w:r w:rsidR="0011666A">
        <w:t>/SEC</w:t>
      </w:r>
      <w:r w:rsidR="00381A4D">
        <w:t xml:space="preserve"> in a timely fashion</w:t>
      </w:r>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CF1F18">
        <w:t xml:space="preserve">Table </w:t>
      </w:r>
      <w:r w:rsidR="00CF1F18">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49705BEC" w14:textId="043A819B" w:rsidR="000C5086" w:rsidRDefault="000C5086" w:rsidP="00031822">
      <w:pPr>
        <w:pStyle w:val="Caption"/>
        <w:keepNext/>
      </w:pPr>
      <w:bookmarkStart w:id="1" w:name="_Ref149505424"/>
      <w:r>
        <w:t xml:space="preserve">Table </w:t>
      </w:r>
      <w:r>
        <w:fldChar w:fldCharType="begin"/>
      </w:r>
      <w:r>
        <w:instrText xml:space="preserve"> SEQ Table \* ARABIC </w:instrText>
      </w:r>
      <w:r>
        <w:fldChar w:fldCharType="separate"/>
      </w:r>
      <w:r w:rsidR="00DB74D5">
        <w:rPr>
          <w:noProof/>
        </w:rPr>
        <w:t>2</w:t>
      </w:r>
      <w:r>
        <w:rPr>
          <w:noProof/>
        </w:rPr>
        <w:fldChar w:fldCharType="end"/>
      </w:r>
      <w:bookmarkEnd w:id="1"/>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pPr>
              <w:spacing w:line="240" w:lineRule="auto"/>
              <w:jc w:val="left"/>
            </w:pPr>
            <w:r>
              <w:t>Rulemaking Area</w:t>
            </w:r>
          </w:p>
        </w:tc>
        <w:tc>
          <w:tcPr>
            <w:tcW w:w="0" w:type="auto"/>
          </w:tcPr>
          <w:p w14:paraId="40B6BE9D" w14:textId="574B7AB7" w:rsidR="0072700E" w:rsidRDefault="0040630A" w:rsidP="00381A4D">
            <w:pPr>
              <w:spacing w:line="240" w:lineRule="auto"/>
              <w:jc w:val="left"/>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pPr>
              <w:spacing w:line="240" w:lineRule="auto"/>
              <w:jc w:val="left"/>
            </w:pPr>
            <w:r>
              <w:t>Swaps Dealers and Major Swaps Participants</w:t>
            </w:r>
          </w:p>
        </w:tc>
        <w:tc>
          <w:tcPr>
            <w:tcW w:w="0" w:type="auto"/>
          </w:tcPr>
          <w:p w14:paraId="1CC1D0A4"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w:t>
            </w:r>
            <w:proofErr w:type="gramStart"/>
            <w:r>
              <w:t>banks</w:t>
            </w:r>
            <w:proofErr w:type="gramEnd"/>
          </w:p>
          <w:p w14:paraId="54CE5FB1"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pPr>
              <w:spacing w:line="240" w:lineRule="auto"/>
              <w:jc w:val="left"/>
            </w:pPr>
            <w:r>
              <w:t>Data</w:t>
            </w:r>
            <w:r w:rsidR="009A69FA">
              <w:t xml:space="preserve"> Requirements</w:t>
            </w:r>
          </w:p>
        </w:tc>
        <w:tc>
          <w:tcPr>
            <w:tcW w:w="0" w:type="auto"/>
          </w:tcPr>
          <w:p w14:paraId="73448B7D" w14:textId="5BAD1CEA" w:rsidR="0072700E" w:rsidRDefault="0075597E"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proofErr w:type="gramStart"/>
            <w:r w:rsidR="00F6394F">
              <w:t>r</w:t>
            </w:r>
            <w:r>
              <w:t>equirements</w:t>
            </w:r>
            <w:proofErr w:type="gramEnd"/>
          </w:p>
          <w:p w14:paraId="2D37A9FF" w14:textId="77777777" w:rsidR="006C0D52"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pPr>
              <w:spacing w:line="240" w:lineRule="auto"/>
              <w:jc w:val="left"/>
            </w:pPr>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pPr>
              <w:spacing w:line="240" w:lineRule="auto"/>
              <w:jc w:val="left"/>
            </w:pPr>
            <w:r>
              <w:t>Trading</w:t>
            </w:r>
            <w:r w:rsidR="009A69FA">
              <w:t xml:space="preserve"> Requirements</w:t>
            </w:r>
          </w:p>
        </w:tc>
        <w:tc>
          <w:tcPr>
            <w:tcW w:w="0" w:type="auto"/>
          </w:tcPr>
          <w:p w14:paraId="1E12FD34" w14:textId="4800AE27" w:rsidR="0072700E" w:rsidRDefault="00EB7DDA"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pPr>
              <w:spacing w:line="240" w:lineRule="auto"/>
              <w:jc w:val="left"/>
            </w:pPr>
            <w:r>
              <w:lastRenderedPageBreak/>
              <w:t>Position Limits</w:t>
            </w:r>
          </w:p>
        </w:tc>
        <w:tc>
          <w:tcPr>
            <w:tcW w:w="0" w:type="auto"/>
          </w:tcPr>
          <w:p w14:paraId="28954981" w14:textId="0C0ED67E"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pPr>
              <w:spacing w:line="240" w:lineRule="auto"/>
              <w:jc w:val="left"/>
            </w:pPr>
            <w:r>
              <w:t>Enforcement</w:t>
            </w:r>
          </w:p>
        </w:tc>
        <w:tc>
          <w:tcPr>
            <w:tcW w:w="0" w:type="auto"/>
          </w:tcPr>
          <w:p w14:paraId="6C389A93" w14:textId="77777777"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pPr>
              <w:spacing w:line="240" w:lineRule="auto"/>
              <w:jc w:val="left"/>
            </w:pPr>
            <w:r>
              <w:t>Other</w:t>
            </w:r>
          </w:p>
        </w:tc>
        <w:tc>
          <w:tcPr>
            <w:tcW w:w="0" w:type="auto"/>
          </w:tcPr>
          <w:p w14:paraId="5DAF0B9E" w14:textId="77777777" w:rsidR="0072700E"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13D9D68C" w14:textId="7806B61D" w:rsidR="000816B7" w:rsidRPr="00EA1749" w:rsidRDefault="000816B7" w:rsidP="00031822">
      <w:pPr>
        <w:pStyle w:val="Heading3"/>
      </w:pPr>
      <w:r w:rsidRPr="00EA1749">
        <w:t>International Context</w:t>
      </w:r>
    </w:p>
    <w:p w14:paraId="7503937D" w14:textId="1ED3B7D4" w:rsidR="00FB04CE" w:rsidRDefault="00FB04CE" w:rsidP="00C519BF">
      <w:r w:rsidRPr="00FB04CE">
        <w:t>Considering the global nature of the financial system, regulators collaborated international</w:t>
      </w:r>
      <w:r w:rsidR="00C519BF">
        <w:t xml:space="preserve">ly </w:t>
      </w:r>
      <w:r w:rsidRPr="00FB04CE">
        <w:t xml:space="preserve">to harmonize regulatory requirements. </w:t>
      </w:r>
      <w:r w:rsidR="002F4ED0">
        <w:t>In</w:t>
      </w:r>
      <w:r w:rsidRPr="00FB04CE">
        <w:t xml:space="preserve"> </w:t>
      </w:r>
      <w:r w:rsidR="00C519BF">
        <w:t xml:space="preserve">Europe, the EU </w:t>
      </w:r>
      <w:r w:rsidRPr="00FB04CE">
        <w:t>passed EMIR</w:t>
      </w:r>
      <w:r w:rsidR="00C519BF">
        <w:t xml:space="preserve"> in 2012</w:t>
      </w:r>
      <w:r w:rsidRPr="00FB04CE">
        <w:t xml:space="preserve">, which shares similar aims with </w:t>
      </w:r>
      <w:r w:rsidR="0010299E">
        <w:t>DFA</w:t>
      </w:r>
      <w:r w:rsidRPr="00FB04CE">
        <w:t xml:space="preserve">, while the Bank of England </w:t>
      </w:r>
      <w:r w:rsidR="002F4ED0">
        <w:t xml:space="preserve">(BoE) </w:t>
      </w:r>
      <w:r w:rsidRPr="00FB04CE">
        <w:t>issued regulations mandating clearing for most trades involving UK-based entities.</w:t>
      </w:r>
      <w:r w:rsidR="00C519BF">
        <w:t xml:space="preserve"> </w:t>
      </w:r>
      <w:r w:rsidR="00821AC5" w:rsidRPr="00821AC5">
        <w:t xml:space="preserve">In Asia, the Japanese Financial Services Authority (JFSA) required yen-denominated IR swaps and </w:t>
      </w:r>
      <w:r w:rsidR="00C519BF">
        <w:t>certain</w:t>
      </w:r>
      <w:r w:rsidR="00821AC5" w:rsidRPr="00821AC5">
        <w:t xml:space="preserve"> CD swaps to be cleared by the end of 2012</w:t>
      </w:r>
      <w:r w:rsidR="00C519BF">
        <w:t xml:space="preserve">; </w:t>
      </w:r>
      <w:r w:rsidR="00821AC5" w:rsidRPr="00821AC5">
        <w:t xml:space="preserve">the Monetary Authority of Singapore </w:t>
      </w:r>
      <w:r w:rsidR="00781E75">
        <w:t xml:space="preserve">(MAS) </w:t>
      </w:r>
      <w:r w:rsidR="00821AC5" w:rsidRPr="00821AC5">
        <w:t xml:space="preserve">and the Securities and Futures Commission </w:t>
      </w:r>
      <w:r w:rsidR="00781E75">
        <w:t xml:space="preserve">(SFC) </w:t>
      </w:r>
      <w:r w:rsidR="00821AC5" w:rsidRPr="00821AC5">
        <w:t xml:space="preserve">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CF1F18">
        <w:t xml:space="preserve">Table </w:t>
      </w:r>
      <w:r w:rsidR="00CF1F18">
        <w:rPr>
          <w:noProof/>
        </w:rPr>
        <w:t>2</w:t>
      </w:r>
      <w:r w:rsidR="00CF1F18">
        <w:fldChar w:fldCharType="end"/>
      </w:r>
      <w:r w:rsidR="00821AC5" w:rsidRPr="00821AC5">
        <w:t xml:space="preserve"> summarizes the international context:</w:t>
      </w:r>
    </w:p>
    <w:p w14:paraId="2C2EEC2E" w14:textId="77DBE13F" w:rsidR="000C5086" w:rsidRDefault="000C5086" w:rsidP="00031822">
      <w:pPr>
        <w:pStyle w:val="Caption"/>
        <w:keepNext/>
      </w:pPr>
      <w:bookmarkStart w:id="2" w:name="_Ref149505461"/>
      <w:r>
        <w:t xml:space="preserve">Table </w:t>
      </w:r>
      <w:r>
        <w:fldChar w:fldCharType="begin"/>
      </w:r>
      <w:r>
        <w:instrText xml:space="preserve"> SEQ Table \* ARABIC </w:instrText>
      </w:r>
      <w:r>
        <w:fldChar w:fldCharType="separate"/>
      </w:r>
      <w:r w:rsidR="00DB74D5">
        <w:rPr>
          <w:noProof/>
        </w:rPr>
        <w:t>3</w:t>
      </w:r>
      <w:r>
        <w:rPr>
          <w:noProof/>
        </w:rPr>
        <w:fldChar w:fldCharType="end"/>
      </w:r>
      <w:bookmarkEnd w:id="2"/>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pPr>
              <w:spacing w:line="240" w:lineRule="auto"/>
              <w:jc w:val="left"/>
            </w:pPr>
            <w:r>
              <w:t>Jurisdiction</w:t>
            </w:r>
          </w:p>
        </w:tc>
        <w:tc>
          <w:tcPr>
            <w:tcW w:w="3629" w:type="pct"/>
          </w:tcPr>
          <w:p w14:paraId="29C692E2" w14:textId="438BE187" w:rsidR="00577089" w:rsidRDefault="000F0F21" w:rsidP="0010299E">
            <w:pPr>
              <w:spacing w:line="240" w:lineRule="auto"/>
              <w:jc w:val="left"/>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pPr>
              <w:spacing w:line="240" w:lineRule="auto"/>
              <w:jc w:val="left"/>
            </w:pPr>
            <w:r>
              <w:t>North America</w:t>
            </w:r>
          </w:p>
        </w:tc>
        <w:tc>
          <w:tcPr>
            <w:tcW w:w="3629" w:type="pct"/>
          </w:tcPr>
          <w:p w14:paraId="522857B3" w14:textId="77777777"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EUR and JPY LIBOR </w:t>
            </w:r>
            <w:r w:rsidR="008C6CD4">
              <w:t>by September 2013</w:t>
            </w:r>
            <w:r>
              <w:t>.</w:t>
            </w:r>
          </w:p>
          <w:p w14:paraId="410C141C" w14:textId="77777777"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4F3D0F54" w14:textId="166D961C"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pPr>
              <w:spacing w:line="240" w:lineRule="auto"/>
              <w:jc w:val="left"/>
            </w:pPr>
            <w:r>
              <w:t>Europe</w:t>
            </w:r>
          </w:p>
        </w:tc>
        <w:tc>
          <w:tcPr>
            <w:tcW w:w="3629" w:type="pct"/>
          </w:tcPr>
          <w:p w14:paraId="69EDAE43" w14:textId="3B4014C3" w:rsidR="00577089" w:rsidRDefault="00622956"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w:t>
            </w:r>
            <w:r w:rsidR="00C538FA">
              <w:t>s</w:t>
            </w:r>
            <w:r>
              <w:t xml:space="preserve"> in 2012</w:t>
            </w:r>
            <w:r w:rsidR="0010299E">
              <w:t xml:space="preserve"> </w:t>
            </w:r>
            <w:r w:rsidR="00C538FA">
              <w:t xml:space="preserve">and </w:t>
            </w:r>
            <w:r w:rsidR="0010299E">
              <w:t>requir</w:t>
            </w:r>
            <w:r w:rsidR="00C538FA">
              <w:t>es</w:t>
            </w:r>
            <w:r w:rsidR="0010299E">
              <w:t xml:space="preserve"> clearing of </w:t>
            </w:r>
            <w:r w:rsidR="00C538FA">
              <w:t xml:space="preserve">certain </w:t>
            </w:r>
            <w:r w:rsidR="0010299E">
              <w:t>IR swaps contracts.</w:t>
            </w:r>
            <w:r w:rsidR="00781E75">
              <w:t xml:space="preserve"> Regulations come into effect in March 2013.</w:t>
            </w:r>
          </w:p>
          <w:p w14:paraId="72AD16C6" w14:textId="77777777" w:rsidR="00C519BF" w:rsidRDefault="00781E75"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r w:rsidR="007B359F">
              <w:t>.</w:t>
            </w:r>
          </w:p>
          <w:p w14:paraId="78EA7F82" w14:textId="4EDADA60"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Additional currencies and classes of swaps are added to the </w:t>
            </w:r>
            <w:r w:rsidR="00C538FA">
              <w:t xml:space="preserve">EU </w:t>
            </w:r>
            <w:r>
              <w:t>clearing requirement</w:t>
            </w:r>
            <w:r w:rsidR="00C538FA">
              <w:t>s</w:t>
            </w:r>
            <w:r>
              <w:t xml:space="preserve"> in 2016.</w:t>
            </w:r>
          </w:p>
          <w:p w14:paraId="25F2959D" w14:textId="76496933"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lastRenderedPageBreak/>
              <w:t>Switzerland established a clearing mandate for Switzerland based swaps in 2017.</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pPr>
              <w:spacing w:line="240" w:lineRule="auto"/>
              <w:jc w:val="left"/>
            </w:pPr>
            <w:r>
              <w:lastRenderedPageBreak/>
              <w:t>Asia</w:t>
            </w:r>
          </w:p>
        </w:tc>
        <w:tc>
          <w:tcPr>
            <w:tcW w:w="3629" w:type="pct"/>
          </w:tcPr>
          <w:p w14:paraId="663D319C" w14:textId="051BA8D2"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J</w:t>
            </w:r>
            <w:r w:rsidR="00C538FA">
              <w:t xml:space="preserve">apan </w:t>
            </w:r>
            <w:r>
              <w:t>F</w:t>
            </w:r>
            <w:r w:rsidR="00C538FA">
              <w:t xml:space="preserve">inancial </w:t>
            </w:r>
            <w:r>
              <w:t>S</w:t>
            </w:r>
            <w:r w:rsidR="00C538FA">
              <w:t xml:space="preserve">tability </w:t>
            </w:r>
            <w:r>
              <w:t>A</w:t>
            </w:r>
            <w:r w:rsidR="00C538FA">
              <w:t>uthority (JFSA)</w:t>
            </w:r>
            <w:r>
              <w:t xml:space="preserve"> </w:t>
            </w:r>
            <w:r w:rsidR="001655FC">
              <w:t>requires yen denominated IR swaps referencing LIBOR to be cleared by end of 2012.</w:t>
            </w:r>
          </w:p>
          <w:p w14:paraId="431C6759" w14:textId="28EB60F9" w:rsidR="001655FC" w:rsidRDefault="000A7150"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w:t>
            </w:r>
            <w:r w:rsidR="0010299E">
              <w:t>S</w:t>
            </w:r>
            <w:r w:rsidR="00C538FA">
              <w:t xml:space="preserve">ecurities and </w:t>
            </w:r>
            <w:r w:rsidR="0010299E">
              <w:t>F</w:t>
            </w:r>
            <w:r w:rsidR="00C538FA">
              <w:t xml:space="preserve">utures </w:t>
            </w:r>
            <w:r w:rsidR="0010299E">
              <w:t>C</w:t>
            </w:r>
            <w:r w:rsidR="00C538FA">
              <w:t>ommission (SFC)</w:t>
            </w:r>
            <w:r w:rsidR="0010299E">
              <w:t xml:space="preserve">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6B56DA9C" w14:textId="427D3FF0"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64D4E2CE" w14:textId="029A171E" w:rsidR="00502B0A" w:rsidRDefault="00502B0A"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w:t>
            </w:r>
            <w:r w:rsidR="007B359F">
              <w:t xml:space="preserve">onetary Authority of </w:t>
            </w:r>
            <w:r>
              <w:t>S</w:t>
            </w:r>
            <w:r w:rsidR="007B359F">
              <w:t>ingapore (MAS)</w:t>
            </w:r>
            <w:r w:rsidR="00781E75">
              <w:t xml:space="preserve">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p w14:paraId="0C969C89" w14:textId="0E1FBB4E"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pPr>
              <w:spacing w:line="240" w:lineRule="auto"/>
              <w:jc w:val="left"/>
            </w:pPr>
            <w:r>
              <w:t>Australia</w:t>
            </w:r>
          </w:p>
        </w:tc>
        <w:tc>
          <w:tcPr>
            <w:tcW w:w="3629" w:type="pct"/>
          </w:tcPr>
          <w:p w14:paraId="272F3547" w14:textId="78E38DAF" w:rsidR="00577089" w:rsidRDefault="00BD12A4" w:rsidP="0010299E">
            <w:pPr>
              <w:pStyle w:val="ListParagraph"/>
              <w:numPr>
                <w:ilvl w:val="0"/>
                <w:numId w:val="10"/>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5F5254AB" w14:textId="77777777" w:rsidR="00781E75" w:rsidRDefault="00781E75" w:rsidP="00031822">
      <w:pPr>
        <w:ind w:firstLine="720"/>
      </w:pPr>
    </w:p>
    <w:p w14:paraId="27A217B4" w14:textId="77777777" w:rsidR="00C74168" w:rsidRDefault="00C74168" w:rsidP="00C74168">
      <w:pPr>
        <w:pStyle w:val="Heading2"/>
      </w:pPr>
      <w:r>
        <w:t>Review of Literature</w:t>
      </w:r>
    </w:p>
    <w:p w14:paraId="10741E93" w14:textId="77777777" w:rsidR="00C74168" w:rsidRDefault="00C74168" w:rsidP="00C74168">
      <w:pPr>
        <w:pStyle w:val="Heading3"/>
      </w:pPr>
      <w:r>
        <w:t>Interest rate swap pricing</w:t>
      </w:r>
    </w:p>
    <w:p w14:paraId="51C59A22" w14:textId="4E923299" w:rsidR="00C74168" w:rsidRDefault="00C74168" w:rsidP="00C74168">
      <w:r>
        <w:t>Formal swap agreements were first seen in financial markets in 1981/1982. Smith</w:t>
      </w:r>
      <w:r>
        <w:t>,</w:t>
      </w:r>
      <w:r>
        <w:t xml:space="preserve"> et. al. </w:t>
      </w:r>
      <w:r w:rsidR="00B9115F">
        <w:fldChar w:fldCharType="begin"/>
      </w:r>
      <w:r w:rsidR="00B9115F">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rsidR="00B9115F">
        <w:fldChar w:fldCharType="separate"/>
      </w:r>
      <w:r w:rsidR="00B9115F">
        <w:rPr>
          <w:noProof/>
        </w:rPr>
        <w:t>(1988)</w:t>
      </w:r>
      <w:r w:rsidR="00B9115F">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Smith notes that for a portfolio of bonds, there is an exchange of the principal at the end of the bond term, while for an interest rate swap the principal is usually notional and not exchanged. Thus, the impact of a default is greater for a corporate bond than for an interest rate swap. Futures contracts on the other-hand are exchange-traded and settled daily</w:t>
      </w:r>
      <w:r w:rsidR="003E0920">
        <w:t>,</w:t>
      </w:r>
      <w:r>
        <w:t xml:space="preserve"> </w:t>
      </w:r>
      <w:r w:rsidR="003E0920">
        <w:t xml:space="preserve">so </w:t>
      </w:r>
      <w:r>
        <w:t>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4B6F50D" w14:textId="6C4505F3" w:rsidR="00C74168" w:rsidRDefault="00C74168" w:rsidP="00C74168">
      <w:r>
        <w:t xml:space="preserve">Minton </w:t>
      </w:r>
      <w:r w:rsidR="00B9115F">
        <w:fldChar w:fldCharType="begin"/>
      </w:r>
      <w:r w:rsidR="00B9115F">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rsidR="00B9115F">
        <w:fldChar w:fldCharType="separate"/>
      </w:r>
      <w:r w:rsidR="00B9115F">
        <w:rPr>
          <w:noProof/>
        </w:rPr>
        <w:t>(1997)</w:t>
      </w:r>
      <w:r w:rsidR="00B9115F">
        <w:fldChar w:fldCharType="end"/>
      </w:r>
      <w:r>
        <w:t xml:space="preserve"> examines these valuation models. He finds that the fixed rate of the interest rate swap is discounted by ~4 bps compared to a replicating portfolio of Eurodollar futures (</w:t>
      </w:r>
      <w:proofErr w:type="spellStart"/>
      <w:r>
        <w:t>Eurostrips</w:t>
      </w:r>
      <w:proofErr w:type="spellEnd"/>
      <w:r>
        <w:t xml:space="preserve">) and that movements in swap rates and Eurodollar futures rates are highly correlated. When </w:t>
      </w:r>
      <w:r>
        <w:lastRenderedPageBreak/>
        <w:t>evaluating the portfolio of bonds model, he finds that actual swap rates fall between the rate derived from a portfolio of corporate bonds and the rate derived from Eurodollar futures. Proxies for counterparty credit quality also ha</w:t>
      </w:r>
      <w:r w:rsidR="003E0920">
        <w:t>ve a</w:t>
      </w:r>
      <w:r>
        <w:t xml:space="preserve"> significant explanatory power, suggesting counterparty risk is a factor in observed swaps pricing.</w:t>
      </w:r>
    </w:p>
    <w:p w14:paraId="19E3C060" w14:textId="77777777" w:rsidR="00C74168" w:rsidRDefault="00C74168" w:rsidP="00C74168">
      <w:pPr>
        <w:pStyle w:val="Heading3"/>
      </w:pPr>
      <w:r>
        <w:t>Liquidity</w:t>
      </w:r>
    </w:p>
    <w:p w14:paraId="5157F5BF" w14:textId="1F9D4489" w:rsidR="00C74168" w:rsidRDefault="00C74168" w:rsidP="00C74168">
      <w:proofErr w:type="spellStart"/>
      <w:r>
        <w:t>Biais</w:t>
      </w:r>
      <w:proofErr w:type="spellEnd"/>
      <w:r>
        <w:t xml:space="preserve"> </w:t>
      </w:r>
      <w:r w:rsidR="00B9115F">
        <w:fldChar w:fldCharType="begin"/>
      </w:r>
      <w:r w:rsidR="00B9115F">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rsidR="00B9115F">
        <w:fldChar w:fldCharType="separate"/>
      </w:r>
      <w:r w:rsidR="00B9115F">
        <w:rPr>
          <w:noProof/>
        </w:rPr>
        <w:t>(1993)</w:t>
      </w:r>
      <w:r w:rsidR="00B9115F">
        <w:fldChar w:fldCharType="end"/>
      </w:r>
      <w:r>
        <w:t xml:space="preserve"> proposes a model for a dealer intermediated market and derives the optimal bid-ask spreads quoted by a dealer with constant absolute risk aversion. In this model, the reservation prices for dealers (that is the price at which the dealer is indifferent between trading and holding on to his portfolio) is proportional to the variance of the price and the size of the liquidity shock (market order) relative to the dealer’s inventory.</w:t>
      </w:r>
    </w:p>
    <w:p w14:paraId="367B762E" w14:textId="40032769" w:rsidR="00C74168" w:rsidRDefault="003E0920" w:rsidP="00C74168">
      <w:r>
        <w:t>(Add more here)</w:t>
      </w:r>
    </w:p>
    <w:p w14:paraId="39719BBA" w14:textId="77777777" w:rsidR="00C74168" w:rsidRDefault="00C74168" w:rsidP="00C74168">
      <w:pPr>
        <w:pStyle w:val="Heading3"/>
      </w:pPr>
      <w:r>
        <w:t>Price Volatility</w:t>
      </w:r>
    </w:p>
    <w:p w14:paraId="56700051" w14:textId="7DB8E945" w:rsidR="00C74168" w:rsidRDefault="003E0920" w:rsidP="00C74168">
      <w:r>
        <w:t>(Add more here)</w:t>
      </w:r>
    </w:p>
    <w:p w14:paraId="21C903C9" w14:textId="77777777" w:rsidR="00C74168" w:rsidRDefault="00C74168" w:rsidP="00C74168">
      <w:pPr>
        <w:pStyle w:val="Heading3"/>
      </w:pPr>
      <w:r>
        <w:t>Systemic Risk and Contagion</w:t>
      </w:r>
    </w:p>
    <w:p w14:paraId="6E41983D" w14:textId="20D37989" w:rsidR="003E0920" w:rsidRDefault="00C74168" w:rsidP="00C74168">
      <w:r>
        <w:t xml:space="preserve">Jackson and </w:t>
      </w:r>
      <w:proofErr w:type="spellStart"/>
      <w:r>
        <w:t>Pernoud</w:t>
      </w:r>
      <w:proofErr w:type="spellEnd"/>
      <w:r>
        <w:t xml:space="preserve"> </w:t>
      </w:r>
      <w:r w:rsidR="00B9115F">
        <w:fldChar w:fldCharType="begin"/>
      </w:r>
      <w:r w:rsidR="00B9115F">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rsidR="00B9115F">
        <w:fldChar w:fldCharType="separate"/>
      </w:r>
      <w:r w:rsidR="00B9115F">
        <w:rPr>
          <w:noProof/>
        </w:rPr>
        <w:t>(2021)</w:t>
      </w:r>
      <w:r w:rsidR="00B9115F">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w:t>
      </w:r>
      <w:r w:rsidR="003E0920">
        <w:t>s</w:t>
      </w:r>
      <w:r>
        <w:t xml:space="preserve"> of other institutions that do business with the</w:t>
      </w:r>
      <w:r w:rsidR="003E0920">
        <w:t xml:space="preserve"> failing institution</w:t>
      </w:r>
      <w:r>
        <w:t xml:space="preserve"> </w:t>
      </w:r>
      <w:r w:rsidR="003E0920">
        <w:t xml:space="preserve">are </w:t>
      </w:r>
      <w:r>
        <w:t xml:space="preserve">also diminished and can cause a cascading series of failures. Each failure leads to additional bankruptcy costs and the final cost to the system </w:t>
      </w:r>
      <w:r w:rsidR="003E0920">
        <w:t xml:space="preserve">at the end of the process </w:t>
      </w:r>
      <w:r>
        <w:t xml:space="preserve">can </w:t>
      </w:r>
      <w:r w:rsidR="003E0920">
        <w:t xml:space="preserve">vastly </w:t>
      </w:r>
      <w:r>
        <w:t xml:space="preserve">exceed the </w:t>
      </w:r>
      <w:r w:rsidR="003E0920">
        <w:t xml:space="preserve">size of </w:t>
      </w:r>
      <w:r>
        <w:t xml:space="preserve">initial shock. Such models are explored by Rochet &amp; </w:t>
      </w:r>
      <w:proofErr w:type="spellStart"/>
      <w:r>
        <w:t>Tirole</w:t>
      </w:r>
      <w:proofErr w:type="spellEnd"/>
      <w:r>
        <w:t xml:space="preserve"> </w:t>
      </w:r>
      <w:r w:rsidR="000C76FB">
        <w:fldChar w:fldCharType="begin"/>
      </w:r>
      <w:r w:rsidR="000C76FB">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rsidR="000C76FB">
        <w:fldChar w:fldCharType="separate"/>
      </w:r>
      <w:r w:rsidR="000C76FB">
        <w:rPr>
          <w:noProof/>
        </w:rPr>
        <w:t>(1996)</w:t>
      </w:r>
      <w:r w:rsidR="000C76FB">
        <w:fldChar w:fldCharType="end"/>
      </w:r>
      <w:r>
        <w:t xml:space="preserve"> and Allen &amp; Gale</w:t>
      </w:r>
      <w:r w:rsidR="000C76FB">
        <w:t xml:space="preserve"> </w:t>
      </w:r>
      <w:r w:rsidR="000C76FB">
        <w:fldChar w:fldCharType="begin"/>
      </w:r>
      <w:r w:rsidR="000C76FB">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rsidR="000C76FB">
        <w:fldChar w:fldCharType="separate"/>
      </w:r>
      <w:r w:rsidR="000C76FB">
        <w:rPr>
          <w:noProof/>
        </w:rPr>
        <w:t>(2007; 2000)</w:t>
      </w:r>
      <w:r w:rsidR="000C76FB">
        <w:fldChar w:fldCharType="end"/>
      </w:r>
      <w:r>
        <w:t xml:space="preserve">. </w:t>
      </w:r>
    </w:p>
    <w:p w14:paraId="37A30020" w14:textId="11D78C3E" w:rsidR="00C74168" w:rsidRDefault="00C74168" w:rsidP="00C74168">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w:t>
      </w:r>
      <w:r w:rsidR="003E0920">
        <w:t xml:space="preserve">A prominent real-world example of this scenario is the 1998 crisis at Long Term Capital Management (LTCM). LTCM was a hedge fund that used a highly leveraged </w:t>
      </w:r>
      <w:r w:rsidR="003E0920">
        <w:lastRenderedPageBreak/>
        <w:t xml:space="preserve">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w:t>
      </w:r>
      <w:r w:rsidR="00F31111">
        <w:t xml:space="preserve">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w:t>
      </w:r>
      <w:r>
        <w:t xml:space="preserve">This type of models </w:t>
      </w:r>
      <w:proofErr w:type="gramStart"/>
      <w:r>
        <w:t>are</w:t>
      </w:r>
      <w:proofErr w:type="gramEnd"/>
      <w:r>
        <w:t xml:space="preserve"> explored by </w:t>
      </w:r>
      <w:proofErr w:type="spellStart"/>
      <w:r>
        <w:t>Kiyotaki</w:t>
      </w:r>
      <w:proofErr w:type="spellEnd"/>
      <w:r>
        <w:t xml:space="preserve"> &amp; Moore (1997), Cifuentes et al. (2005), Gai &amp; Kapadia (2010), </w:t>
      </w:r>
      <w:proofErr w:type="spellStart"/>
      <w:r>
        <w:t>Capponi</w:t>
      </w:r>
      <w:proofErr w:type="spellEnd"/>
      <w:r>
        <w:t xml:space="preserve"> &amp; Larsson (2015) and Greenwood et al. (2015).</w:t>
      </w:r>
    </w:p>
    <w:p w14:paraId="034897C2" w14:textId="77777777" w:rsidR="00C74168" w:rsidRDefault="00C74168" w:rsidP="00C74168">
      <w:r>
        <w:t xml:space="preserve">Besides the network avenue, contagion can also occur through feedback loops and multiple equilibria. The classic Diamond and </w:t>
      </w:r>
      <w:proofErr w:type="spellStart"/>
      <w:r>
        <w:t>Dybvig</w:t>
      </w:r>
      <w:proofErr w:type="spellEnd"/>
      <w:r>
        <w:t xml:space="preserve"> (1983) model illustrates how multiple equilibria can lead to panic and bank runs. Banks lend out money long term and take in deposits for short terms. If enough depositors demand to withdraw their funds at once, the bank cannot repay all of them. In fact, if depositors believe a bank is insolvent (or even that others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w:t>
      </w:r>
      <w:proofErr w:type="gramStart"/>
      <w:r>
        <w:t>are</w:t>
      </w:r>
      <w:proofErr w:type="gramEnd"/>
      <w:r>
        <w:t xml:space="preserve"> explored by </w:t>
      </w:r>
      <w:proofErr w:type="spellStart"/>
      <w:r>
        <w:t>Bebchuk</w:t>
      </w:r>
      <w:proofErr w:type="spellEnd"/>
      <w:r>
        <w:t xml:space="preserve"> &amp; Goldstein (2011), </w:t>
      </w:r>
      <w:proofErr w:type="spellStart"/>
      <w:r>
        <w:t>Brunnermeier</w:t>
      </w:r>
      <w:proofErr w:type="spellEnd"/>
      <w:r>
        <w:t xml:space="preserve"> (2009) and Diamond and </w:t>
      </w:r>
      <w:proofErr w:type="spellStart"/>
      <w:r>
        <w:t>Rajan</w:t>
      </w:r>
      <w:proofErr w:type="spellEnd"/>
      <w:r>
        <w:t xml:space="preserve"> (2011).</w:t>
      </w:r>
    </w:p>
    <w:p w14:paraId="12F28F92" w14:textId="77777777" w:rsidR="00C74168" w:rsidRDefault="00C74168" w:rsidP="00C74168">
      <w:pPr>
        <w:pStyle w:val="Heading3"/>
      </w:pPr>
      <w:r>
        <w:t>Central Clearing</w:t>
      </w:r>
    </w:p>
    <w:p w14:paraId="7E7AA051" w14:textId="0C5C803E" w:rsidR="00C74168" w:rsidRDefault="00C74168" w:rsidP="00C74168">
      <w:r>
        <w:t xml:space="preserve">The policy and market implications of a central clearing mandate are discussed extensively by </w:t>
      </w:r>
      <w:proofErr w:type="spellStart"/>
      <w:r>
        <w:t>Pirrong</w:t>
      </w:r>
      <w:proofErr w:type="spellEnd"/>
      <w:r>
        <w:t xml:space="preserve"> (2011).  Per </w:t>
      </w:r>
      <w:proofErr w:type="spellStart"/>
      <w:r>
        <w:t>Pirrong</w:t>
      </w:r>
      <w:proofErr w:type="spellEnd"/>
      <w:r>
        <w:t xml:space="preserve">, CCPs should clear liquid, standardized products, as illiquid products can pose substantial risks to the CCP. They can reduce the disruptive effect of defaults by drawing on additional sources of capital and facilitating orderly liquidation of positions. However, they </w:t>
      </w:r>
      <w:r w:rsidR="00F31111">
        <w:t>can</w:t>
      </w:r>
      <w:r>
        <w:t xml:space="preserve"> also increase systemic risk by requiring additional margin during periods of financial stress. In addition, by mutualizing the risk of default, they can induce market participants to take more risk </w:t>
      </w:r>
      <w:r>
        <w:lastRenderedPageBreak/>
        <w:t>(moral hazard and selection issues).  CCPs are also subject to economies of scale and scope (that is, the market will converge to one or few large CCPs that can economize over costs of warehousing and multiproduct netting).</w:t>
      </w:r>
      <w:r w:rsidR="00F31111">
        <w:t xml:space="preserve"> Since a CCP is likely to become a systemically important financial institution, regulators must monitor it closely and have prudent measures (such as a resolution plan if the CCP collapses).</w:t>
      </w:r>
    </w:p>
    <w:p w14:paraId="416530D2" w14:textId="38001AB6" w:rsidR="00C74168" w:rsidRDefault="00AE2A76" w:rsidP="00C74168">
      <w:proofErr w:type="spellStart"/>
      <w:r>
        <w:t>Duffie</w:t>
      </w:r>
      <w:proofErr w:type="spellEnd"/>
      <w:r>
        <w:t xml:space="preserve"> and Zhu (2011) also show that theoretically concentrating clearing to one CCP can economize on collateral.</w:t>
      </w:r>
      <w:r>
        <w:t xml:space="preserve"> </w:t>
      </w:r>
      <w:proofErr w:type="spellStart"/>
      <w:r w:rsidR="00C74168">
        <w:t>Benos</w:t>
      </w:r>
      <w:proofErr w:type="spellEnd"/>
      <w:r w:rsidR="00C74168">
        <w:t xml:space="preserve"> et al. (2019) explores the issue of economies of scale/scope</w:t>
      </w:r>
      <w:r w:rsidR="009C4BAC">
        <w:t xml:space="preserve"> among CCPs</w:t>
      </w:r>
      <w:r w:rsidR="00C74168">
        <w:t>. Regulators in Europe and United States have required “local CCPs</w:t>
      </w:r>
      <w:r w:rsidR="009C4BAC">
        <w:t>”</w:t>
      </w:r>
      <w:r w:rsidR="00C74168">
        <w:t xml:space="preserve"> </w:t>
      </w:r>
      <w:r w:rsidR="009C4BAC">
        <w:t>to clear contracts that originate in their jurisdiction</w:t>
      </w:r>
      <w:r w:rsidR="00C74168">
        <w:t xml:space="preserve">. </w:t>
      </w:r>
      <w:proofErr w:type="spellStart"/>
      <w:r w:rsidR="00C74168">
        <w:t>Benos</w:t>
      </w:r>
      <w:proofErr w:type="spellEnd"/>
      <w:r w:rsidR="009C4BAC">
        <w:t>,</w:t>
      </w:r>
      <w:r w:rsidR="00C74168">
        <w:t xml:space="preserve"> et al. find that the same contract trades at different prices when cleared through </w:t>
      </w:r>
      <w:r w:rsidR="009C4BAC">
        <w:t>tw</w:t>
      </w:r>
      <w:r>
        <w:t>o</w:t>
      </w:r>
      <w:r w:rsidR="009C4BAC">
        <w:t xml:space="preserve"> </w:t>
      </w:r>
      <w:r w:rsidR="00C74168">
        <w:t>different clearinghouses (</w:t>
      </w:r>
      <w:r w:rsidR="009C4BAC">
        <w:t xml:space="preserve">LCH in the UK/Europe and CME </w:t>
      </w:r>
      <w:r w:rsidR="00C74168">
        <w:t>Clearing</w:t>
      </w:r>
      <w:r w:rsidR="009C4BAC">
        <w:t xml:space="preserve"> in the US</w:t>
      </w:r>
      <w:r w:rsidR="00C74168">
        <w:t xml:space="preserve">) and suggest that this basis arises due to increased collateral costs when clearing is fragmented. </w:t>
      </w:r>
    </w:p>
    <w:p w14:paraId="620EC99F" w14:textId="6F345227" w:rsidR="00C74168" w:rsidRDefault="00C74168" w:rsidP="00C74168">
      <w:r>
        <w:t>Bernstein</w:t>
      </w:r>
      <w:r w:rsidR="00AE2A76">
        <w:t>,</w:t>
      </w:r>
      <w:r>
        <w:t xml:space="preserve"> et al. </w:t>
      </w:r>
      <w:r w:rsidR="000C76FB">
        <w:fldChar w:fldCharType="begin"/>
      </w:r>
      <w:r w:rsidR="000C76FB">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rsidR="000C76FB">
        <w:fldChar w:fldCharType="separate"/>
      </w:r>
      <w:r w:rsidR="000C76FB">
        <w:rPr>
          <w:noProof/>
        </w:rPr>
        <w:t>(2019)</w:t>
      </w:r>
      <w:r w:rsidR="000C76FB">
        <w:fldChar w:fldCharType="end"/>
      </w:r>
      <w:r w:rsidR="000C76FB">
        <w:t xml:space="preserve"> </w:t>
      </w:r>
      <w:r>
        <w:t xml:space="preserve">look at the impact of central clearing on equities pricing by examining the prices of the same stocks traded on New York Stock Exchange (NYSE) and Consolidated Stock Exchange (CSE). The NYSE established a clearinghouse in 1892 while the CSE did not. </w:t>
      </w:r>
      <w:r w:rsidR="00AE2A76">
        <w:t>They</w:t>
      </w:r>
      <w:r>
        <w:t xml:space="preserve"> find that the same stocks on the NYSE traded for 90-173 premium over the CSE price.</w:t>
      </w:r>
    </w:p>
    <w:p w14:paraId="7BA77A84" w14:textId="77777777" w:rsidR="00781E75" w:rsidRPr="000816B7" w:rsidRDefault="00781E75" w:rsidP="00031822">
      <w:pPr>
        <w:ind w:firstLine="720"/>
      </w:pPr>
    </w:p>
    <w:p w14:paraId="5850AA5C" w14:textId="634DC182" w:rsidR="00B13BAB" w:rsidRDefault="00B13BAB" w:rsidP="009C0453">
      <w:pPr>
        <w:pStyle w:val="Heading1"/>
        <w:numPr>
          <w:ilvl w:val="0"/>
          <w:numId w:val="33"/>
        </w:numPr>
      </w:pPr>
      <w:bookmarkStart w:id="3" w:name="_Ref157719057"/>
      <w:r w:rsidRPr="0027378C">
        <w:t>Theory</w:t>
      </w:r>
      <w:bookmarkEnd w:id="3"/>
    </w:p>
    <w:p w14:paraId="64314E6A" w14:textId="77777777" w:rsidR="0034098A" w:rsidRDefault="0027378C" w:rsidP="00AB12F9">
      <w:pPr>
        <w:pStyle w:val="Heading2"/>
      </w:pPr>
      <w:r>
        <w:t>Pricing of Interest Rate Swaps</w:t>
      </w:r>
    </w:p>
    <w:p w14:paraId="7E205851" w14:textId="1885645C" w:rsidR="0027378C" w:rsidRDefault="0034098A" w:rsidP="0034098A">
      <w:pPr>
        <w:pStyle w:val="Heading3"/>
      </w:pPr>
      <w:bookmarkStart w:id="4" w:name="_Ref154527935"/>
      <w:r>
        <w:t>W</w:t>
      </w:r>
      <w:r w:rsidR="0027378C">
        <w:t>ithout credit risks</w:t>
      </w:r>
      <w:bookmarkEnd w:id="4"/>
    </w:p>
    <w:p w14:paraId="39E91FC0" w14:textId="6DF324E1"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r w:rsidR="000C76FB">
        <w:t xml:space="preserve"> </w:t>
      </w:r>
      <w:r w:rsidR="000C76FB">
        <w:fldChar w:fldCharType="begin"/>
      </w:r>
      <w:r w:rsidR="00B93079">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rsidR="000C76FB">
        <w:fldChar w:fldCharType="separate"/>
      </w:r>
      <w:r w:rsidR="00B93079">
        <w:rPr>
          <w:noProof/>
        </w:rPr>
        <w:t>(Skarr and Szakaly-Moore 2007)</w:t>
      </w:r>
      <w:r w:rsidR="000C76FB">
        <w:fldChar w:fldCharType="end"/>
      </w:r>
      <w:r>
        <w:t>:</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w:lastRenderedPageBreak/>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0A11AA0F" w:rsidR="0027378C" w:rsidRDefault="0027378C" w:rsidP="00031822">
      <w:pPr>
        <w:rPr>
          <w:rFonts w:eastAsiaTheme="minorEastAsia"/>
        </w:rPr>
      </w:pPr>
      <w:r>
        <w:t>The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2FBA13D4" w14:textId="17E37B5C" w:rsidR="0034098A" w:rsidRDefault="0027378C" w:rsidP="002F4ED0">
      <w:r>
        <w:t xml:space="preserve">Floating rate payments are unknown in advance but are usually </w:t>
      </w:r>
      <w:r w:rsidR="00B93079">
        <w:t>forecasted</w:t>
      </w:r>
      <w:r>
        <w:t xml:space="preserve">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contract, </w:t>
      </w:r>
      <w:r w:rsidR="0010299E">
        <w:t>its</w:t>
      </w:r>
      <w:r>
        <w:t xml:space="preserve"> value is zero. This is achieved by determining the present value of the floating leg using the </w:t>
      </w:r>
      <w:r w:rsidR="00BA72D6">
        <w:t xml:space="preserve">forecasted </w:t>
      </w:r>
      <w:r>
        <w:t>payments</w:t>
      </w:r>
      <w:r w:rsidR="00BA72D6">
        <w:t xml:space="preserve"> (using the LIBOR yield curve)</w:t>
      </w:r>
      <w:r>
        <w:t xml:space="preserve">,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31712FFA" w14:textId="34461CD4" w:rsidR="0027378C" w:rsidRDefault="0027378C" w:rsidP="0034098A">
      <w:pPr>
        <w:pStyle w:val="Heading3"/>
      </w:pPr>
      <w:r>
        <w:t>Counterparty Risk and C</w:t>
      </w:r>
      <w:r w:rsidR="00781E75">
        <w:t xml:space="preserve">redit Valuation </w:t>
      </w:r>
      <w:r>
        <w:t>A</w:t>
      </w:r>
      <w:r w:rsidR="00781E75">
        <w:t>djustment</w:t>
      </w:r>
      <w:r>
        <w:t>/D</w:t>
      </w:r>
      <w:r w:rsidR="00781E75">
        <w:t xml:space="preserve">ebit </w:t>
      </w:r>
      <w:r>
        <w:t>V</w:t>
      </w:r>
      <w:r w:rsidR="00781E75">
        <w:t xml:space="preserve">aluation </w:t>
      </w:r>
      <w:r>
        <w:t>A</w:t>
      </w:r>
      <w:r w:rsidR="00781E75">
        <w:t>djustment</w:t>
      </w:r>
    </w:p>
    <w:p w14:paraId="58AE67F0" w14:textId="77777777" w:rsidR="00B93079" w:rsidRDefault="0027378C" w:rsidP="00031822">
      <w:r>
        <w:t>The interest rate swap market is dominated by a handful of substantial swap dealers (SDs) and Major Swap Participants (MSPs) rather than many atomistic market participants</w:t>
      </w:r>
      <w:r w:rsidR="00B93079">
        <w:fldChar w:fldCharType="begin"/>
      </w:r>
      <w:r w:rsidR="00B93079">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rsidR="00B93079">
        <w:fldChar w:fldCharType="separate"/>
      </w:r>
      <w:r w:rsidR="00B93079">
        <w:rPr>
          <w:noProof/>
        </w:rPr>
        <w:t>(Bolandnazar 2020)</w:t>
      </w:r>
      <w:r w:rsidR="00B93079">
        <w:fldChar w:fldCharType="end"/>
      </w:r>
      <w:r>
        <w:t>. These SDs and MSPs offer buy and sell quotes for swaps, potentially finding other participants to balance their swap exposures. Figure 1 depicts a hypothetical network model of such a market.</w:t>
      </w:r>
    </w:p>
    <w:p w14:paraId="5E4A6229" w14:textId="2E74FA2D" w:rsidR="0027378C" w:rsidRDefault="0027378C" w:rsidP="00031822">
      <w:r w:rsidRPr="008719B6">
        <w:rPr>
          <w:noProof/>
        </w:rPr>
        <w:drawing>
          <wp:inline distT="0" distB="0" distL="0" distR="0" wp14:anchorId="1311FECF" wp14:editId="5D8EAEDD">
            <wp:extent cx="4168197" cy="141528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rotWithShape="1">
                    <a:blip r:embed="rId14"/>
                    <a:srcRect b="14474"/>
                    <a:stretch/>
                  </pic:blipFill>
                  <pic:spPr bwMode="auto">
                    <a:xfrm>
                      <a:off x="0" y="0"/>
                      <a:ext cx="4209672" cy="1429364"/>
                    </a:xfrm>
                    <a:prstGeom prst="rect">
                      <a:avLst/>
                    </a:prstGeom>
                    <a:ln>
                      <a:noFill/>
                    </a:ln>
                    <a:extLst>
                      <a:ext uri="{53640926-AAD7-44D8-BBD7-CCE9431645EC}">
                        <a14:shadowObscured xmlns:a14="http://schemas.microsoft.com/office/drawing/2010/main"/>
                      </a:ext>
                    </a:extLst>
                  </pic:spPr>
                </pic:pic>
              </a:graphicData>
            </a:graphic>
          </wp:inline>
        </w:drawing>
      </w:r>
    </w:p>
    <w:p w14:paraId="66A49EA7" w14:textId="45DC8717"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w:t>
      </w:r>
      <w:r w:rsidR="0027378C">
        <w:lastRenderedPageBreak/>
        <w:t xml:space="preserve">markets </w:t>
      </w:r>
      <w:r w:rsidR="00143C59">
        <w:t xml:space="preserve">trading </w:t>
      </w:r>
      <w:r>
        <w:t xml:space="preserve">(not shown) </w:t>
      </w:r>
      <w:r w:rsidR="0027378C">
        <w:t>for cash flow or risk management</w:t>
      </w:r>
      <w:r>
        <w:t xml:space="preserve"> purposes.</w:t>
      </w:r>
      <w:r w:rsidR="0027378C">
        <w:t xml:space="preserve"> </w:t>
      </w:r>
      <w:r>
        <w:t>C</w:t>
      </w:r>
      <w:r w:rsidR="0027378C">
        <w:t xml:space="preserve">ustomers </w:t>
      </w:r>
      <w:r w:rsidR="005A7F47">
        <w:t xml:space="preserve">can </w:t>
      </w:r>
      <w:r w:rsidR="0027378C">
        <w:t xml:space="preserve">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amongst themselves. However, bilateral trades typically have low volume. It is believed that the dealer-centric network structure lowers search costs compared to a direct customer-to-customer market.</w:t>
      </w:r>
    </w:p>
    <w:p w14:paraId="54674BC0" w14:textId="77F4C84E" w:rsidR="0027378C" w:rsidRDefault="0027378C" w:rsidP="00C223E8">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r w:rsidR="00C223E8">
        <w:t xml:space="preserve"> </w:t>
      </w:r>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4D81746E" w:rsidR="0027378C" w:rsidRDefault="00DF4848" w:rsidP="00031822">
      <w:r>
        <w:t>(</w:t>
      </w:r>
      <w:r w:rsidR="0027378C">
        <w:t>Note that a swap's valu</w:t>
      </w:r>
      <w:r w:rsidR="00876F18">
        <w:t>ation</w:t>
      </w:r>
      <w:r w:rsidR="0027378C">
        <w:t xml:space="preserve"> with counterparty risk requires two adjustments. </w:t>
      </w:r>
      <w:r w:rsidR="00AB7061">
        <w:t>Only the credit valuation adjustment [CVA] is shown above. However, i</w:t>
      </w:r>
      <w:r>
        <w:t xml:space="preserve">f </w:t>
      </w:r>
      <w:r w:rsidR="005A7F47">
        <w:t>one’s</w:t>
      </w:r>
      <w:r w:rsidR="00C223E8">
        <w:t xml:space="preserve"> </w:t>
      </w:r>
      <w:r w:rsidR="0027378C">
        <w:t xml:space="preserve">counterparty </w:t>
      </w:r>
      <w:r>
        <w:t>defaults,</w:t>
      </w:r>
      <w:r w:rsidR="00AB7061">
        <w:t xml:space="preserve"> </w:t>
      </w:r>
      <w:r w:rsidR="005A7F47">
        <w:t xml:space="preserve">one </w:t>
      </w:r>
      <w:r w:rsidR="00C223E8">
        <w:t xml:space="preserve">no longer </w:t>
      </w:r>
      <w:proofErr w:type="gramStart"/>
      <w:r w:rsidR="005A7F47">
        <w:t xml:space="preserve">has </w:t>
      </w:r>
      <w:r w:rsidR="00876F18">
        <w:t>to</w:t>
      </w:r>
      <w:proofErr w:type="gramEnd"/>
      <w:r w:rsidR="00876F18">
        <w:t xml:space="preserve"> make </w:t>
      </w:r>
      <w:r w:rsidR="005A7F47">
        <w:t xml:space="preserve">his/her </w:t>
      </w:r>
      <w:r w:rsidR="00876F18">
        <w:t>obligated payments</w:t>
      </w:r>
      <w:r w:rsidR="00C223E8">
        <w:t xml:space="preserve"> </w:t>
      </w:r>
      <w:r w:rsidR="005A7F47">
        <w:t>to the other party either</w:t>
      </w:r>
      <w:r w:rsidR="00876F18">
        <w:t>, which would increase the value of the cont</w:t>
      </w:r>
      <w:r w:rsidR="00C223E8">
        <w:t>r</w:t>
      </w:r>
      <w:r w:rsidR="00876F18">
        <w:t>act</w:t>
      </w:r>
      <w:r w:rsidR="00B93079">
        <w:t xml:space="preserve">. This adjustment is </w:t>
      </w:r>
      <w:r w:rsidR="00876F18">
        <w:t xml:space="preserve">called </w:t>
      </w:r>
      <w:r w:rsidR="008F7BF3">
        <w:t xml:space="preserve">the </w:t>
      </w:r>
      <w:r w:rsidR="00876F18">
        <w:t>Debit Value Adjustment [DBA]</w:t>
      </w:r>
      <w:r w:rsidR="00B93079">
        <w:t xml:space="preserve"> and not shown above</w:t>
      </w:r>
      <w:r w:rsidR="00876F18">
        <w:t>).</w:t>
      </w:r>
    </w:p>
    <w:p w14:paraId="474B1A55" w14:textId="77777777" w:rsidR="0027378C" w:rsidRDefault="0027378C" w:rsidP="0034098A">
      <w:pPr>
        <w:pStyle w:val="Heading3"/>
      </w:pPr>
      <w:r>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lastRenderedPageBreak/>
        <w:drawing>
          <wp:inline distT="0" distB="0" distL="0" distR="0" wp14:anchorId="3E745CB0" wp14:editId="63449F93">
            <wp:extent cx="5192178" cy="1980229"/>
            <wp:effectExtent l="0" t="0" r="2540" b="127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rotWithShape="1">
                    <a:blip r:embed="rId15"/>
                    <a:srcRect b="13376"/>
                    <a:stretch/>
                  </pic:blipFill>
                  <pic:spPr bwMode="auto">
                    <a:xfrm>
                      <a:off x="0" y="0"/>
                      <a:ext cx="5282130" cy="2014536"/>
                    </a:xfrm>
                    <a:prstGeom prst="rect">
                      <a:avLst/>
                    </a:prstGeom>
                    <a:ln>
                      <a:noFill/>
                    </a:ln>
                    <a:extLst>
                      <a:ext uri="{53640926-AAD7-44D8-BBD7-CCE9431645EC}">
                        <a14:shadowObscured xmlns:a14="http://schemas.microsoft.com/office/drawing/2010/main"/>
                      </a:ext>
                    </a:extLst>
                  </pic:spPr>
                </pic:pic>
              </a:graphicData>
            </a:graphic>
          </wp:inline>
        </w:drawing>
      </w:r>
    </w:p>
    <w:p w14:paraId="075F445A" w14:textId="419357CF" w:rsidR="00AA5AFB" w:rsidRDefault="00AA5AFB" w:rsidP="00AA5AFB">
      <w:r>
        <w:t xml:space="preserve">If </w:t>
      </w:r>
      <w:r w:rsidR="0034098A">
        <w:t>clearinghouses can</w:t>
      </w:r>
      <w:r>
        <w:t xml:space="preserve"> </w:t>
      </w:r>
      <w:r w:rsidR="0034098A">
        <w:t xml:space="preserve">reduce or eliminate counterparty risk, swaps values should be closer to the risk-free case rather than the case with counterparty risk. </w:t>
      </w:r>
      <w:r w:rsidR="00046423">
        <w:t>However, e</w:t>
      </w:r>
      <w:r w:rsidR="0034098A">
        <w:t>ven if clearinghouses are successful at eliminating counterparty risk, additional cost of compliance (such as clearing fees and margin requirements) could keep swaps prices from reaching the risk-free valuation.</w:t>
      </w:r>
    </w:p>
    <w:p w14:paraId="44599128" w14:textId="19B3F962" w:rsidR="004F43A3" w:rsidRDefault="004F43A3" w:rsidP="00AB12F9">
      <w:pPr>
        <w:pStyle w:val="Heading2"/>
      </w:pPr>
      <w:r>
        <w:t xml:space="preserve">Model of </w:t>
      </w:r>
      <w:r w:rsidR="00781E75">
        <w:t>Liquidity (</w:t>
      </w:r>
      <w:r>
        <w:t xml:space="preserve">Bid-Ask </w:t>
      </w:r>
      <w:r w:rsidR="00781E75">
        <w:t>Spreads)</w:t>
      </w:r>
    </w:p>
    <w:p w14:paraId="3B2287C5" w14:textId="77777777" w:rsidR="004F43A3" w:rsidRPr="00834DE5" w:rsidRDefault="004F43A3" w:rsidP="00031822">
      <w:pPr>
        <w:pStyle w:val="Heading3"/>
      </w:pPr>
      <w:r w:rsidRPr="00834DE5">
        <w:t>With No Counterparty Risk</w:t>
      </w:r>
    </w:p>
    <w:p w14:paraId="36BF5B0C" w14:textId="0C77AD2B" w:rsidR="004F43A3" w:rsidRDefault="004F43A3" w:rsidP="00031822">
      <w:r>
        <w:t xml:space="preserve">I adapt the model from </w:t>
      </w:r>
      <w:proofErr w:type="spellStart"/>
      <w:r>
        <w:t>Biais</w:t>
      </w:r>
      <w:proofErr w:type="spellEnd"/>
      <w:r>
        <w:t xml:space="preserve"> </w:t>
      </w:r>
      <w:r w:rsidR="00AB5DFD">
        <w:fldChar w:fldCharType="begin"/>
      </w:r>
      <w:r w:rsidR="00AB5DFD">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rsidR="00AB5DFD">
        <w:fldChar w:fldCharType="separate"/>
      </w:r>
      <w:r w:rsidR="00AB5DFD">
        <w:rPr>
          <w:noProof/>
        </w:rPr>
        <w:t>(1993)</w:t>
      </w:r>
      <w:r w:rsidR="00AB5DFD">
        <w:fldChar w:fldCharType="end"/>
      </w:r>
      <w:r>
        <w:t xml:space="preserve">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w:t>
      </w:r>
      <w:r w:rsidR="00781E75">
        <w:t xml:space="preserve">a short position of </w:t>
      </w:r>
      <w:r>
        <w:t xml:space="preserve">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the price of the risky asset is </w:t>
      </w:r>
      <w:r w:rsidR="0034098A">
        <w:t>realized,</w:t>
      </w:r>
      <w:r>
        <w:t xml:space="preserve"> and players receive their utility.</w:t>
      </w:r>
    </w:p>
    <w:p w14:paraId="6614A3F7" w14:textId="4A3DCD22" w:rsidR="004F43A3" w:rsidRDefault="004F43A3" w:rsidP="00031822">
      <w:pPr>
        <w:rPr>
          <w:rFonts w:eastAsiaTheme="minorEastAsia"/>
        </w:rPr>
      </w:pPr>
      <w:r>
        <w:t xml:space="preserve">I assume that the two dealers are identical except for their inventory positions. All market participants have constant </w:t>
      </w:r>
      <w:r w:rsidR="00781E75">
        <w:t>absolute</w:t>
      </w:r>
      <w:r>
        <w:t xml:space="preserve"> risk aversion </w:t>
      </w:r>
      <w:r w:rsidR="005C11C0">
        <w:t>(C</w:t>
      </w:r>
      <w:r w:rsidR="00781E75">
        <w:t>A</w:t>
      </w:r>
      <w:r w:rsidR="005C11C0">
        <w:t xml:space="preserve">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sidR="00781E75">
        <w:t xml:space="preserve">, where </w:t>
      </w:r>
      <m:oMath>
        <m:r>
          <w:rPr>
            <w:rFonts w:ascii="Cambria Math" w:hAnsi="Cambria Math"/>
          </w:rPr>
          <m:t>w</m:t>
        </m:r>
      </m:oMath>
      <w:r w:rsidR="00781E75">
        <w:t xml:space="preserve"> is the trader’s wealth and </w:t>
      </w:r>
      <m:oMath>
        <m:r>
          <w:rPr>
            <w:rFonts w:ascii="Cambria Math" w:hAnsi="Cambria Math"/>
          </w:rPr>
          <m:t>α</m:t>
        </m:r>
      </m:oMath>
      <w:r w:rsidR="00781E75">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29F443F4" w:rsidR="004F43A3" w:rsidRDefault="004F43A3" w:rsidP="00031822">
      <w:r>
        <w:lastRenderedPageBreak/>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1253DCC9" w:rsidR="004F43A3" w:rsidRDefault="00781E75" w:rsidP="00031822">
      <w:r>
        <w:t>w</w:t>
      </w:r>
      <w:r w:rsidR="004F43A3">
        <w:t xml:space="preserve">here </w:t>
      </w:r>
      <m:oMath>
        <m:r>
          <w:rPr>
            <w:rFonts w:ascii="Cambria Math" w:hAnsi="Cambria Math"/>
          </w:rPr>
          <m:t>L-Q</m:t>
        </m:r>
      </m:oMath>
      <w:r w:rsidR="004F43A3">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rsidR="004F43A3">
        <w:t xml:space="preserve"> is the cash from selling </w:t>
      </w:r>
      <m:oMath>
        <m:r>
          <w:rPr>
            <w:rFonts w:ascii="Cambria Math" w:hAnsi="Cambria Math"/>
          </w:rPr>
          <m:t>Q</m:t>
        </m:r>
      </m:oMath>
      <w:r w:rsidR="004F43A3">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rsidR="004F43A3">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3AF1B0C7" w:rsidR="004F43A3" w:rsidRPr="00D83385" w:rsidRDefault="00781E75" w:rsidP="00031822">
      <w:r>
        <w:t>w</w:t>
      </w:r>
      <w:r w:rsidR="004F43A3">
        <w:t xml:space="preserve">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3FF36892" w:rsidR="004F43A3" w:rsidRDefault="00781E75" w:rsidP="00031822">
      <w:r>
        <w:t xml:space="preserve">In the </w:t>
      </w:r>
      <w:r w:rsidR="004F43A3">
        <w:t xml:space="preserve">case of </w:t>
      </w:r>
      <w:r w:rsidR="005C11C0">
        <w:t xml:space="preserve">the reservation quote for </w:t>
      </w:r>
      <w:r w:rsidR="004F43A3">
        <w:t>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77FF6CFF" w:rsidR="004F43A3" w:rsidRDefault="00781E75" w:rsidP="00031822">
      <w:r>
        <w:t>w</w:t>
      </w:r>
      <w:r w:rsidR="004F43A3">
        <w:t xml:space="preserve">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rsidR="004F43A3">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004F43A3">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F43A3">
        <w:t xml:space="preserve"> is his random inventory position (a number between </w:t>
      </w:r>
      <m:oMath>
        <m:r>
          <w:rPr>
            <w:rFonts w:ascii="Cambria Math" w:hAnsi="Cambria Math"/>
          </w:rPr>
          <m:t>[-R, R]</m:t>
        </m:r>
      </m:oMath>
      <w:r w:rsidR="004F43A3">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1D05692D" w:rsidR="004F43A3" w:rsidRDefault="005C11C0" w:rsidP="00031822">
      <w:r>
        <w:t>D</w:t>
      </w:r>
      <w:r w:rsidR="004F43A3">
        <w:t xml:space="preserve">ealer </w:t>
      </w:r>
      <w:r>
        <w:t xml:space="preserve">1 </w:t>
      </w:r>
      <w:r w:rsidR="004F43A3">
        <w:t xml:space="preserve">is indifferent between trading and not trading when the expected utility from both actions </w:t>
      </w:r>
      <w:r w:rsidR="00781E75">
        <w:t>is</w:t>
      </w:r>
      <w:r w:rsidR="004F43A3">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3A0A475" w:rsidR="004F43A3" w:rsidRDefault="00781E75" w:rsidP="00031822">
      <w:r>
        <w:t>w</w:t>
      </w:r>
      <w:r w:rsidR="004F43A3">
        <w:t xml:space="preserve">here the price is subscripted with </w:t>
      </w:r>
      <m:oMath>
        <m:r>
          <w:rPr>
            <w:rFonts w:ascii="Cambria Math" w:hAnsi="Cambria Math"/>
          </w:rPr>
          <m:t>r</m:t>
        </m:r>
      </m:oMath>
      <w:r w:rsidR="004F43A3">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2C1DBF03" w:rsidR="004F43A3" w:rsidRDefault="00781E75" w:rsidP="00031822">
      <w:r>
        <w:t>a</w:t>
      </w:r>
      <w:r w:rsidR="004F43A3">
        <w:t xml:space="preserve">nd in </w:t>
      </w:r>
      <w:r w:rsidR="005C11C0">
        <w:t>general,</w:t>
      </w:r>
      <w:r w:rsidR="004F43A3">
        <w:t xml:space="preserve"> for dealer </w:t>
      </w:r>
      <m:oMath>
        <m:r>
          <w:rPr>
            <w:rFonts w:ascii="Cambria Math" w:hAnsi="Cambria Math"/>
          </w:rPr>
          <m:t>i</m:t>
        </m:r>
      </m:oMath>
      <w:r w:rsidR="004F43A3">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1A4F0AB4" w:rsidR="004F43A3" w:rsidRDefault="005C11C0" w:rsidP="00031822">
      <w:pPr>
        <w:rPr>
          <w:rFonts w:eastAsiaTheme="minorEastAsia"/>
        </w:rPr>
      </w:pPr>
      <w:r>
        <w:rPr>
          <w:rFonts w:eastAsiaTheme="minorEastAsia"/>
        </w:rPr>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w:t>
      </w:r>
      <w:r w:rsidR="004F43A3">
        <w:lastRenderedPageBreak/>
        <w:t xml:space="preserve">from </w:t>
      </w:r>
      <m:oMath>
        <m:r>
          <w:rPr>
            <w:rFonts w:ascii="Cambria Math" w:hAnsi="Cambria Math"/>
          </w:rPr>
          <m:t>[-R,R]</m:t>
        </m:r>
      </m:oMath>
      <w:r w:rsidR="004F43A3">
        <w:rPr>
          <w:rFonts w:eastAsiaTheme="minorEastAsia"/>
        </w:rPr>
        <w:t xml:space="preserve">. 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00A2C68C" w:rsidR="004F43A3" w:rsidRDefault="00781E75" w:rsidP="00031822">
      <w:r>
        <w:t>a</w:t>
      </w:r>
      <w:r w:rsidR="004F43A3">
        <w:t xml:space="preserve">nd in general, the optimal bid and ask quotes for dealer </w:t>
      </w:r>
      <m:oMath>
        <m:r>
          <w:rPr>
            <w:rFonts w:ascii="Cambria Math" w:hAnsi="Cambria Math"/>
          </w:rPr>
          <m:t>i</m:t>
        </m:r>
      </m:oMath>
      <w:r w:rsidR="004F43A3">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3B5E30D9" w:rsidR="004F43A3" w:rsidRPr="00143C59" w:rsidRDefault="00234D83" w:rsidP="00031822">
      <w:pPr>
        <w:pStyle w:val="Heading3"/>
      </w:pPr>
      <w:r>
        <w:t>W</w:t>
      </w:r>
      <w:r w:rsidR="00834DE5">
        <w:t xml:space="preserve">ith </w:t>
      </w:r>
      <w:r w:rsidR="004F43A3" w:rsidRPr="00143C59">
        <w:t>counterparty risk</w:t>
      </w:r>
    </w:p>
    <w:p w14:paraId="74FDE32D" w14:textId="3C18494F"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AB12F9">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32CDAE2F" w:rsidR="004F43A3" w:rsidRDefault="004F43A3" w:rsidP="00031822">
      <w:r>
        <w:t>I develop an original model of price volatility.</w:t>
      </w:r>
      <w:r w:rsidR="00234D83">
        <w:t xml:space="preserve"> </w:t>
      </w:r>
      <w:r>
        <w:t xml:space="preserve">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t>Price Volatility in Markets with Counterparty Risk</w:t>
      </w:r>
    </w:p>
    <w:p w14:paraId="3532D677" w14:textId="7172347E" w:rsidR="004F43A3" w:rsidRDefault="004F43A3" w:rsidP="00031822">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lastRenderedPageBreak/>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9C0453">
      <w:pPr>
        <w:pStyle w:val="Heading1"/>
        <w:numPr>
          <w:ilvl w:val="0"/>
          <w:numId w:val="33"/>
        </w:numPr>
      </w:pPr>
      <w:bookmarkStart w:id="5" w:name="_Ref157719088"/>
      <w:r>
        <w:t>Identification Strategy</w:t>
      </w:r>
      <w:bookmarkEnd w:id="5"/>
    </w:p>
    <w:p w14:paraId="0FBD61B0" w14:textId="129E3EB6" w:rsidR="00CD17A1" w:rsidRPr="00CD17A1" w:rsidRDefault="00CD17A1" w:rsidP="00AB12F9">
      <w:pPr>
        <w:pStyle w:val="Heading2"/>
      </w:pPr>
      <w:r>
        <w:t>Pricing</w:t>
      </w:r>
    </w:p>
    <w:p w14:paraId="23FD4740" w14:textId="551FD82C" w:rsidR="00EF140B" w:rsidRDefault="00EF140B" w:rsidP="00031822">
      <w:r>
        <w:t xml:space="preserve">I investigate the </w:t>
      </w:r>
      <w:r w:rsidR="006D47F1">
        <w:t xml:space="preserve">causal </w:t>
      </w:r>
      <w:r>
        <w:t xml:space="preserve">impact of the central clearing mandate on the interest rate swap prices by comparing the premium </w:t>
      </w:r>
      <w:r w:rsidR="006D47F1">
        <w:t xml:space="preserve">above the fair rate </w:t>
      </w:r>
      <w:r>
        <w:t>(</w:t>
      </w:r>
      <w:r w:rsidR="006D47F1">
        <w:t xml:space="preserve">that is, </w:t>
      </w:r>
      <w:r>
        <w:t xml:space="preserve">the difference between the </w:t>
      </w:r>
      <w:r w:rsidR="006D47F1">
        <w:t>“</w:t>
      </w:r>
      <w:r w:rsidR="008335A2">
        <w:t xml:space="preserve">riskless </w:t>
      </w:r>
      <w:r w:rsidR="006D47F1">
        <w:t xml:space="preserve">fixed </w:t>
      </w:r>
      <w:r w:rsidR="008335A2">
        <w:t>rate</w:t>
      </w:r>
      <w:r w:rsidR="006D47F1">
        <w:t>”</w:t>
      </w:r>
      <w:r w:rsidR="008335A2">
        <w:t xml:space="preserve"> described in </w:t>
      </w:r>
      <w:r w:rsidR="008335A2">
        <w:fldChar w:fldCharType="begin"/>
      </w:r>
      <w:r w:rsidR="008335A2">
        <w:instrText xml:space="preserve"> REF _Ref154527935 \r \h </w:instrText>
      </w:r>
      <w:r w:rsidR="008335A2">
        <w:fldChar w:fldCharType="separate"/>
      </w:r>
      <w:r w:rsidR="008335A2">
        <w:t>3.1.1</w:t>
      </w:r>
      <w:r w:rsidR="008335A2">
        <w:fldChar w:fldCharType="end"/>
      </w:r>
      <w:r w:rsidR="008335A2">
        <w:t xml:space="preserve"> </w:t>
      </w:r>
      <w:r>
        <w:t xml:space="preserve">and the </w:t>
      </w:r>
      <w:r w:rsidR="008B5A3B">
        <w:t xml:space="preserve">observed </w:t>
      </w:r>
      <w:r>
        <w:t>fixed rate</w:t>
      </w:r>
      <w:r w:rsidR="008B5A3B">
        <w:t xml:space="preserve"> on an actual contract</w:t>
      </w:r>
      <w:r>
        <w:t xml:space="preserve">) on USD denominated swaps versus </w:t>
      </w:r>
      <w:r w:rsidR="006D47F1">
        <w:t xml:space="preserve">the premium on </w:t>
      </w:r>
      <w:r>
        <w:t xml:space="preserve">CAD denominated swaps before and after the mandate. </w:t>
      </w:r>
      <w:r w:rsidR="00625ECF">
        <w:t>I</w:t>
      </w:r>
      <w:r>
        <w:t xml:space="preserve"> employ a difference-in-differences (DiD) identification strategy, </w:t>
      </w:r>
      <w:r w:rsidR="006D47F1">
        <w:t xml:space="preserve">with the CAD </w:t>
      </w:r>
      <w:r w:rsidR="00B75FC5">
        <w:t>denominated</w:t>
      </w:r>
      <w:r w:rsidR="006D47F1">
        <w:t xml:space="preserve"> swaps acting as the control group, </w:t>
      </w:r>
      <w:r>
        <w:t xml:space="preserve">which allows </w:t>
      </w:r>
      <w:r w:rsidR="00625ECF">
        <w:t>me</w:t>
      </w:r>
      <w:r>
        <w:t xml:space="preserve"> to </w:t>
      </w:r>
      <w:r w:rsidR="008B5A3B">
        <w:t xml:space="preserve">plausibly </w:t>
      </w:r>
      <w:r>
        <w:t>isolate the causal effect of the mandate on the swap premiums by exploiting the variation in the timing of the policy implementation.</w:t>
      </w:r>
    </w:p>
    <w:p w14:paraId="0D8AA38E" w14:textId="12EFC6D5" w:rsidR="00B75FC5" w:rsidRDefault="00625ECF" w:rsidP="004A2BFC">
      <w:r>
        <w:t xml:space="preserve">I </w:t>
      </w:r>
      <w:r w:rsidR="00EF140B">
        <w:t xml:space="preserve">begin by selecting a sample of interest rate swaps denominated in both USD and CAD from the </w:t>
      </w:r>
      <w:r>
        <w:t xml:space="preserve">ten trading days </w:t>
      </w:r>
      <w:r w:rsidR="00EF140B">
        <w:t xml:space="preserve">before and after the central clearing mandate was implemented. </w:t>
      </w:r>
      <w:r>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w:t>
      </w:r>
      <w:r>
        <w:t>I</w:t>
      </w:r>
      <w:r w:rsidR="00EF140B">
        <w:t xml:space="preserve"> can </w:t>
      </w:r>
      <w:r w:rsidR="00A05111">
        <w:t xml:space="preserve">plausibly </w:t>
      </w:r>
      <w:r w:rsidR="00EF140B">
        <w:t xml:space="preserve">identify the causal effect of the policy on swap premiums </w:t>
      </w:r>
      <w:r w:rsidR="00E6619F">
        <w:t>if</w:t>
      </w:r>
      <w:r w:rsidR="00EF140B">
        <w:t xml:space="preserve"> both groups would have followed parallel trends in the absence of the </w:t>
      </w:r>
      <w:r w:rsidR="008335A2">
        <w:t>clearing mandate</w:t>
      </w:r>
      <w:r w:rsidR="00EF140B">
        <w:t>.</w:t>
      </w:r>
    </w:p>
    <w:p w14:paraId="78989354" w14:textId="064E1BEB" w:rsidR="00EF140B" w:rsidRDefault="00EF140B" w:rsidP="00031822">
      <w:r>
        <w:t xml:space="preserve">To estimate the causal effect of the central clearing mandate on swap premiums, </w:t>
      </w:r>
      <w:r w:rsidR="00625ECF">
        <w:t>I</w:t>
      </w:r>
      <w:r>
        <w:t xml:space="preserve"> employ a DiD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1C55AA08"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w:t>
      </w:r>
      <w:r>
        <w:lastRenderedPageBreak/>
        <w:t xml:space="preserve">groups and conducting placebo tests. Additionally, </w:t>
      </w:r>
      <w:r w:rsidR="00625ECF">
        <w:t>I</w:t>
      </w:r>
      <w:r>
        <w:t xml:space="preserve"> perform several robustness checks, such as using alternative control groups, and</w:t>
      </w:r>
      <w:r w:rsidR="004A2BFC">
        <w:t xml:space="preserve"> placebo </w:t>
      </w:r>
      <w:proofErr w:type="spellStart"/>
      <w:r w:rsidR="004A2BFC">
        <w:t>DiD</w:t>
      </w:r>
      <w:proofErr w:type="spellEnd"/>
      <w:r>
        <w:t>.</w:t>
      </w:r>
    </w:p>
    <w:p w14:paraId="05F862AB" w14:textId="75CDFCE9" w:rsidR="00CF1F18" w:rsidRDefault="00CF1F18" w:rsidP="00AB12F9">
      <w:pPr>
        <w:pStyle w:val="Heading2"/>
      </w:pPr>
      <w:r>
        <w:t>Liquidity</w:t>
      </w:r>
    </w:p>
    <w:p w14:paraId="2E09D527" w14:textId="5528C0C6" w:rsidR="00CF1F18" w:rsidRDefault="008B5A3B" w:rsidP="00031822">
      <w:r>
        <w:t>Identification strategy goes here.</w:t>
      </w:r>
    </w:p>
    <w:p w14:paraId="6BB52863" w14:textId="760D00C0" w:rsidR="005A5A35" w:rsidRDefault="005A5A35" w:rsidP="00AB12F9">
      <w:pPr>
        <w:pStyle w:val="Heading2"/>
      </w:pPr>
      <w:r>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9C0453">
      <w:pPr>
        <w:pStyle w:val="Heading1"/>
        <w:numPr>
          <w:ilvl w:val="0"/>
          <w:numId w:val="33"/>
        </w:numPr>
      </w:pPr>
      <w:bookmarkStart w:id="6" w:name="_Ref157719326"/>
      <w:r>
        <w:t>Data</w:t>
      </w:r>
      <w:bookmarkEnd w:id="6"/>
    </w:p>
    <w:p w14:paraId="02FB73A2" w14:textId="234C9367" w:rsidR="008A79F1" w:rsidRDefault="00935E65" w:rsidP="00031822">
      <w:r w:rsidRPr="00935E65">
        <w:t xml:space="preserve">The Commodity Futures Trading Commission's (CFTC) clearing mandate on IR swaps became effective on March 11, 2013. The regulation was implemented in three phases. Phase 1 mandated clearing for certain IR swaps involving swap dealers (SD), major swap participants (MSP), or active funds. Phase 2 extended the mandate to additional entities, </w:t>
      </w:r>
      <w:r w:rsidR="008C6991">
        <w:t xml:space="preserve">including commodity pool operators, banks and other financial institutions, </w:t>
      </w:r>
      <w:r w:rsidRPr="00935E65">
        <w:t>while Phase 3 covered all remaining entities</w:t>
      </w:r>
      <w:r w:rsidR="00544B00">
        <w:t xml:space="preserve"> (</w:t>
      </w:r>
      <w:r w:rsidRPr="00935E65">
        <w:t>unless exempted</w:t>
      </w:r>
      <w:r w:rsidR="00544B00">
        <w:t>)</w:t>
      </w:r>
      <w:r w:rsidRPr="00935E65">
        <w:t xml:space="preserve">. </w:t>
      </w:r>
      <w:r w:rsidR="008B5A3B">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w:t>
      </w:r>
      <w:r w:rsidR="00EF7BA6">
        <w:t xml:space="preserve">including no dual currencies, no conditional notional amount and no optionality. </w:t>
      </w:r>
      <w:r w:rsidRPr="00935E65">
        <w:t xml:space="preserve">The IR swaps covered by the mandate were the largest </w:t>
      </w:r>
      <w:r w:rsidR="004A2BFC">
        <w:t>categories</w:t>
      </w:r>
      <w:r w:rsidRPr="00935E65">
        <w:t xml:space="preserve"> by volume.</w:t>
      </w:r>
    </w:p>
    <w:p w14:paraId="038FAF33" w14:textId="06AFD936" w:rsidR="008A79F1" w:rsidRPr="0004387C" w:rsidRDefault="0004387C" w:rsidP="00031822">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 xml:space="preserve">USD and CAD denominated swaps – the largest regulated and unregulated markets, respectively. To minimize the impact of interest rate policy and other macroeconomic variables, I analyze </w:t>
      </w:r>
      <w:r w:rsidR="009F7AFA">
        <w:t xml:space="preserve">a small </w:t>
      </w:r>
      <w:r w:rsidR="008C6991" w:rsidRPr="0004387C">
        <w:t>ten-day</w:t>
      </w:r>
      <w:r w:rsidR="009F7AFA">
        <w:t xml:space="preserve"> </w:t>
      </w:r>
      <w:r w:rsidR="005356E2" w:rsidRPr="0004387C">
        <w:t xml:space="preserve">trading </w:t>
      </w:r>
      <w:r w:rsidR="009F7AFA">
        <w:t xml:space="preserve">window </w:t>
      </w:r>
      <w:r w:rsidR="005356E2" w:rsidRPr="0004387C">
        <w:t>before (Feb 25 – Mar 8</w:t>
      </w:r>
      <w:r w:rsidR="00D024F1">
        <w:t>, May 27 – Jun 7</w:t>
      </w:r>
      <w:r w:rsidR="008C6991">
        <w:t xml:space="preserve"> </w:t>
      </w:r>
      <w:r w:rsidR="00D024F1">
        <w:t>and Aug 26 – Sep 6</w:t>
      </w:r>
      <w:r w:rsidR="005356E2" w:rsidRPr="0004387C">
        <w:t>) and after (Mar 11 – Mar 22</w:t>
      </w:r>
      <w:r w:rsidR="00D024F1">
        <w:t>, Jun 10 – Jun</w:t>
      </w:r>
      <w:r w:rsidR="008C6991">
        <w:t xml:space="preserve"> </w:t>
      </w:r>
      <w:r w:rsidR="00D024F1">
        <w:t>21</w:t>
      </w:r>
      <w:r w:rsidR="008C6991">
        <w:t xml:space="preserve"> </w:t>
      </w:r>
      <w:r w:rsidR="00D024F1">
        <w:t xml:space="preserve">and Sep 9 </w:t>
      </w:r>
      <w:r w:rsidR="008C6991">
        <w:t xml:space="preserve">– </w:t>
      </w:r>
      <w:r w:rsidR="00D024F1">
        <w:t>Sep 20</w:t>
      </w:r>
      <w:r w:rsidR="005356E2" w:rsidRPr="0004387C">
        <w:t>) the regulation's effective date</w:t>
      </w:r>
      <w:r w:rsidR="003B1DFC">
        <w:t xml:space="preserve"> in each phase</w:t>
      </w:r>
      <w:r w:rsidR="005356E2" w:rsidRPr="0004387C">
        <w:t>.</w:t>
      </w:r>
      <w:r w:rsidR="008335A2">
        <w:t xml:space="preserve"> The data are reported by the Depository Trust and Clearing Corporation Swaps Data Repository (DTCC SDR) and obtained using the SDR screen of the Bloomberg terminal.</w:t>
      </w:r>
    </w:p>
    <w:p w14:paraId="71DAE32C" w14:textId="77777777" w:rsidR="009F7AFA" w:rsidRDefault="005356E2" w:rsidP="00031822">
      <w:r w:rsidRPr="0004387C">
        <w:lastRenderedPageBreak/>
        <w:t xml:space="preserve">To calculate the </w:t>
      </w:r>
      <w:r w:rsidR="008335A2">
        <w:t xml:space="preserve">theoretical counterparty-riskless </w:t>
      </w:r>
      <w:r w:rsidRPr="0004387C">
        <w:t xml:space="preserve">price of IR swaps, I forecast future floating rate payments and discount the payments using the </w:t>
      </w:r>
      <w:r w:rsidR="0004387C">
        <w:t>appropriate</w:t>
      </w:r>
      <w:r w:rsidRPr="0004387C">
        <w:t xml:space="preserve"> yield curve. I use a single curve method, the prevalent pricing method during the study period. For USD swaps, I obtain the USD semiannual fixed-floating rate curve </w:t>
      </w:r>
      <w:r w:rsidR="009F7AFA">
        <w:t xml:space="preserve">(curve __) </w:t>
      </w:r>
      <w:r w:rsidRPr="0004387C">
        <w:t>for each trading day from Bloomberg. For CAD denominated swaps, I obtain the Canadian yield curve from the Bloomberg Terminal.</w:t>
      </w:r>
    </w:p>
    <w:p w14:paraId="3A40E47D" w14:textId="389258D6" w:rsidR="008A79F1" w:rsidRPr="0004387C" w:rsidRDefault="005356E2" w:rsidP="00031822">
      <w:r w:rsidRPr="0004387C">
        <w:t xml:space="preserve">I use the </w:t>
      </w:r>
      <w:proofErr w:type="spellStart"/>
      <w:r w:rsidRPr="0004387C">
        <w:t>QuantLib</w:t>
      </w:r>
      <w:proofErr w:type="spellEnd"/>
      <w:r w:rsidRPr="0004387C">
        <w:t xml:space="preserve">-python library to construct </w:t>
      </w:r>
      <w:r w:rsidR="009F7AFA">
        <w:t xml:space="preserve">the forward </w:t>
      </w:r>
      <w:r w:rsidRPr="0004387C">
        <w:t>curve.</w:t>
      </w:r>
      <w:r w:rsidR="009F7AFA">
        <w:t xml:space="preserve"> For the USD swaps curve, the short-end (3M or less) of the curve is anchored by LIBOR rates</w:t>
      </w:r>
      <w:r w:rsidR="00AA454A">
        <w:t>;</w:t>
      </w:r>
      <w:r w:rsidR="009F7AFA">
        <w:t xml:space="preserve"> </w:t>
      </w:r>
      <w:r w:rsidR="00286E2A">
        <w:t xml:space="preserve">the </w:t>
      </w:r>
      <w:r w:rsidR="009F7AFA">
        <w:t>medium</w:t>
      </w:r>
      <w:r w:rsidR="00286E2A">
        <w:t xml:space="preserve">-end </w:t>
      </w:r>
      <w:r w:rsidR="009F7AFA">
        <w:t>(6M – 18M)</w:t>
      </w:r>
      <w:r w:rsidR="00AA454A">
        <w:t xml:space="preserve"> of </w:t>
      </w:r>
      <w:r w:rsidR="00286E2A">
        <w:t xml:space="preserve">the curve is anchored by Eurodollar </w:t>
      </w:r>
      <w:r w:rsidR="00AA454A">
        <w:t>f</w:t>
      </w:r>
      <w:r w:rsidR="00286E2A">
        <w:t>utures</w:t>
      </w:r>
      <w:r w:rsidR="00AA454A">
        <w:t xml:space="preserve">; and the </w:t>
      </w:r>
      <w:r w:rsidR="00286E2A">
        <w:t xml:space="preserve">long-end (24M onward) </w:t>
      </w:r>
      <w:r w:rsidR="00AA454A">
        <w:t xml:space="preserve">of </w:t>
      </w:r>
      <w:r w:rsidR="00286E2A">
        <w:t>the curve is anchored by US swap rates. Values between the anchor points need to be interpolated. I use piecewise linear interpolation.</w:t>
      </w:r>
    </w:p>
    <w:p w14:paraId="668A5947" w14:textId="1B00ECC0" w:rsidR="008A79F1" w:rsidRDefault="00FF211F" w:rsidP="00031822">
      <w:r w:rsidRPr="0004387C">
        <w:t xml:space="preserve">The data elements </w:t>
      </w:r>
      <w:r w:rsidR="000A7FDC">
        <w:t xml:space="preserve">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 xml:space="preserve">swaps </w:t>
      </w:r>
      <w:r w:rsidR="0004387C">
        <w:t xml:space="preserve">such as those </w:t>
      </w:r>
      <w:r w:rsidRPr="0004387C">
        <w:t>that make a single payment at maturity (i.e., payment frequency is 1T</w:t>
      </w:r>
      <w:r w:rsidR="003B1DFC">
        <w:t>)</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CF1F18" w:rsidRPr="0004387C">
        <w:rPr>
          <w:color w:val="000000" w:themeColor="text1"/>
        </w:rPr>
        <w:t xml:space="preserve">Table </w:t>
      </w:r>
      <w:r w:rsidR="00CF1F18" w:rsidRPr="0004387C">
        <w:rPr>
          <w:noProof/>
          <w:color w:val="000000" w:themeColor="text1"/>
        </w:rPr>
        <w:t>3</w:t>
      </w:r>
      <w:r w:rsidR="00CF1F18">
        <w:fldChar w:fldCharType="end"/>
      </w:r>
      <w:r w:rsidR="00CF1F18">
        <w:t xml:space="preserve"> </w:t>
      </w:r>
      <w:r w:rsidRPr="0004387C">
        <w:t>shows the notional value and number of trades captured in my data.</w:t>
      </w:r>
    </w:p>
    <w:p w14:paraId="3D9655CF" w14:textId="378884C2" w:rsidR="008335A2" w:rsidRDefault="00AA454A" w:rsidP="00031822">
      <w:r>
        <w:t xml:space="preserve">There are several limitations to the DTCC SDR dataset. Firstly, the dataset does not identify the counterparties. The identity of the counterparty (and more importantly, its </w:t>
      </w:r>
      <w:r w:rsidR="000A7FDC">
        <w:t>creditworthiness</w:t>
      </w:r>
      <w:r>
        <w:t>)</w:t>
      </w:r>
      <w:r w:rsidR="000A7FDC">
        <w:t xml:space="preserve"> </w:t>
      </w:r>
      <w:r w:rsidR="00841768">
        <w:t xml:space="preserve">could </w:t>
      </w:r>
      <w:r w:rsidR="000A7FDC">
        <w:t xml:space="preserve">have a significant impact on the </w:t>
      </w:r>
      <w:r w:rsidR="00841768">
        <w:t xml:space="preserve">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w:t>
      </w:r>
      <w:r w:rsidR="00506DDF">
        <w:t xml:space="preserve">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w:t>
      </w:r>
    </w:p>
    <w:p w14:paraId="124731DE" w14:textId="5050D0BD" w:rsidR="00AE2A76" w:rsidRDefault="00AE2A76">
      <w:pPr>
        <w:spacing w:line="240" w:lineRule="auto"/>
        <w:ind w:firstLine="0"/>
        <w:jc w:val="left"/>
      </w:pPr>
      <w:r>
        <w:br w:type="page"/>
      </w:r>
    </w:p>
    <w:p w14:paraId="4764BA40" w14:textId="77777777" w:rsidR="00AE2A76" w:rsidRPr="0004387C" w:rsidRDefault="00AE2A76" w:rsidP="00031822"/>
    <w:p w14:paraId="648FED74" w14:textId="6C90DEE5" w:rsidR="008A79F1" w:rsidRDefault="008A79F1" w:rsidP="00031822">
      <w:pPr>
        <w:pStyle w:val="Caption"/>
        <w:keepNext/>
        <w:jc w:val="center"/>
        <w:rPr>
          <w:noProof/>
          <w:color w:val="000000" w:themeColor="text1"/>
        </w:rPr>
      </w:pPr>
      <w:bookmarkStart w:id="7"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DB74D5">
        <w:rPr>
          <w:noProof/>
          <w:color w:val="000000" w:themeColor="text1"/>
        </w:rPr>
        <w:t>4</w:t>
      </w:r>
      <w:r w:rsidRPr="0004387C">
        <w:rPr>
          <w:noProof/>
          <w:color w:val="000000" w:themeColor="text1"/>
        </w:rPr>
        <w:fldChar w:fldCharType="end"/>
      </w:r>
      <w:bookmarkEnd w:id="7"/>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7DE98A0B" w14:textId="77777777" w:rsidR="008335A2" w:rsidRDefault="008335A2" w:rsidP="00031822">
      <w:pPr>
        <w:rPr>
          <w:color w:val="000000" w:themeColor="text1"/>
        </w:rPr>
      </w:pPr>
    </w:p>
    <w:p w14:paraId="390DDF6F" w14:textId="7F1A57BC" w:rsidR="00A96B98" w:rsidRPr="0004387C" w:rsidRDefault="0006794D" w:rsidP="00031822">
      <w:pPr>
        <w:rPr>
          <w:color w:val="000000" w:themeColor="text1"/>
        </w:rPr>
      </w:pPr>
      <w:r>
        <w:rPr>
          <w:color w:val="000000" w:themeColor="text1"/>
        </w:rPr>
        <w:lastRenderedPageBreak/>
        <w:t xml:space="preserve">Note that before the regulation is passed, (voluntary) clearing in USD-denominated swaps is a little less than 61%. After phase 1 implementation, clearing increases to around 78%. After phase 2 implementation, </w:t>
      </w:r>
      <w:r w:rsidR="0047037D">
        <w:rPr>
          <w:color w:val="000000" w:themeColor="text1"/>
        </w:rPr>
        <w:t xml:space="preserve">clearing </w:t>
      </w:r>
      <w:r>
        <w:rPr>
          <w:color w:val="000000" w:themeColor="text1"/>
        </w:rPr>
        <w:t>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3C87E4A9" w14:textId="2DF31044" w:rsidR="00A96B98" w:rsidRPr="0004387C" w:rsidRDefault="00A96B98" w:rsidP="009C0453">
      <w:pPr>
        <w:pStyle w:val="Heading1"/>
        <w:numPr>
          <w:ilvl w:val="0"/>
          <w:numId w:val="33"/>
        </w:numPr>
      </w:pPr>
      <w:bookmarkStart w:id="8" w:name="_Ref157719497"/>
      <w:r w:rsidRPr="00D024F1">
        <w:t>Results</w:t>
      </w:r>
      <w:bookmarkEnd w:id="8"/>
    </w:p>
    <w:p w14:paraId="6324256F" w14:textId="77777777" w:rsidR="002F3376" w:rsidRPr="0004387C" w:rsidRDefault="002F3376" w:rsidP="00AB12F9">
      <w:pPr>
        <w:pStyle w:val="Heading2"/>
      </w:pPr>
      <w:r w:rsidRPr="00D024F1">
        <w:t>Prices</w:t>
      </w:r>
    </w:p>
    <w:p w14:paraId="59B879B0" w14:textId="6782984C" w:rsidR="00417DAA" w:rsidRDefault="00417DAA" w:rsidP="00031822">
      <w:r>
        <w:t xml:space="preserve">For analyzing the impact of </w:t>
      </w:r>
      <w:r w:rsidR="000F28B2">
        <w:t xml:space="preserve">the clearing mandate on prices, I compare the USD LIBOR denominated </w:t>
      </w:r>
      <w:r w:rsidR="0047037D">
        <w:t xml:space="preserve">contracts against the BA-CDOR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40D4D5CA" w:rsidR="00A03CBF" w:rsidRDefault="00A03CBF" w:rsidP="00031822">
      <w:r>
        <w:fldChar w:fldCharType="begin"/>
      </w:r>
      <w:r>
        <w:instrText xml:space="preserve"> REF _Ref149507984 \h </w:instrText>
      </w:r>
      <w:r w:rsidR="00031822">
        <w:instrText xml:space="preserve"> \* MERGEFORMAT </w:instrText>
      </w:r>
      <w:r>
        <w:fldChar w:fldCharType="separate"/>
      </w:r>
      <w:r>
        <w:t xml:space="preserve">Table </w:t>
      </w:r>
      <w:r>
        <w:rPr>
          <w:noProof/>
        </w:rPr>
        <w:t>4</w:t>
      </w:r>
      <w:r>
        <w:fldChar w:fldCharType="end"/>
      </w:r>
      <w:r>
        <w:t xml:space="preserve"> lists the basic DiD </w:t>
      </w:r>
      <w:r w:rsidR="007C0BF5">
        <w:t xml:space="preserve">results </w:t>
      </w:r>
      <w:r>
        <w:t>for prices</w:t>
      </w:r>
      <w:r w:rsidR="007C0BF5">
        <w:t xml:space="preserve"> (or premia over fair price described in the theory section)</w:t>
      </w:r>
      <w:r>
        <w:t>.</w:t>
      </w:r>
      <w:r w:rsidR="007C0BF5">
        <w:t xml:space="preserve"> Column 1 shows the basic results without any other controls. The clearing mandate causes a ~12 bps rise in premia. As expected, reducing the riskiness of the contract increases its price. Column 2 shows the effects additional controls, such as the notional value of the contrac</w:t>
      </w:r>
      <w:r w:rsidR="004050F2">
        <w:t>t, day and period of trading and whether the notional value was “capped” (i.e. the exact value was not reported to the trade repo). The results are robust to such controls.</w:t>
      </w:r>
    </w:p>
    <w:p w14:paraId="1F049E33" w14:textId="1F3928B8" w:rsidR="007C0BF5" w:rsidRDefault="004050F2" w:rsidP="00031822">
      <w:r>
        <w:fldChar w:fldCharType="begin"/>
      </w:r>
      <w:r>
        <w:instrText xml:space="preserve"> REF _Ref149509644 \h </w:instrText>
      </w:r>
      <w:r w:rsidR="00031822">
        <w:instrText xml:space="preserve"> \* MERGEFORMAT </w:instrText>
      </w:r>
      <w:r>
        <w:fldChar w:fldCharType="separate"/>
      </w:r>
      <w:r>
        <w:t xml:space="preserve">Table </w:t>
      </w:r>
      <w:r>
        <w:rPr>
          <w:noProof/>
        </w:rPr>
        <w:t>5</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w:t>
      </w:r>
      <w:r w:rsidR="0092248B">
        <w:lastRenderedPageBreak/>
        <w:t xml:space="preserve">have </w:t>
      </w:r>
      <w:r w:rsidR="00AE2A76">
        <w:t>influenced</w:t>
      </w:r>
      <w:r w:rsidR="0092248B">
        <w:t xml:space="preserve"> perceptions of riskiness of IR swaps, but phase 2 and phase 3 results are consistent with expectations.</w:t>
      </w:r>
    </w:p>
    <w:p w14:paraId="0DECA66E" w14:textId="39EFE786" w:rsidR="00A03CBF" w:rsidRDefault="00A03CBF" w:rsidP="00031822">
      <w:pPr>
        <w:pStyle w:val="Caption"/>
        <w:keepNext/>
      </w:pPr>
      <w:bookmarkStart w:id="9" w:name="_Ref149507984"/>
      <w:r>
        <w:t xml:space="preserve">Table </w:t>
      </w:r>
      <w:r>
        <w:fldChar w:fldCharType="begin"/>
      </w:r>
      <w:r>
        <w:instrText xml:space="preserve"> SEQ Table \* ARABIC </w:instrText>
      </w:r>
      <w:r>
        <w:fldChar w:fldCharType="separate"/>
      </w:r>
      <w:r w:rsidR="00DB74D5">
        <w:rPr>
          <w:noProof/>
        </w:rPr>
        <w:t>5</w:t>
      </w:r>
      <w:r>
        <w:rPr>
          <w:noProof/>
        </w:rPr>
        <w:fldChar w:fldCharType="end"/>
      </w:r>
      <w:bookmarkEnd w:id="9"/>
      <w:r>
        <w:rPr>
          <w:noProof/>
        </w:rPr>
        <w:t xml:space="preserve"> Difference-in-Difference Result</w:t>
      </w:r>
    </w:p>
    <w:p w14:paraId="5179D58C" w14:textId="2292060C" w:rsidR="00A03CBF" w:rsidRDefault="00A03CBF" w:rsidP="00031822">
      <w:pPr>
        <w:jc w:val="center"/>
      </w:pPr>
      <w:r>
        <w:rPr>
          <w:noProof/>
        </w:rPr>
        <w:drawing>
          <wp:inline distT="0" distB="0" distL="0" distR="0" wp14:anchorId="243CC935" wp14:editId="6F71C501">
            <wp:extent cx="5295217" cy="5089585"/>
            <wp:effectExtent l="0" t="0" r="0" b="3175"/>
            <wp:docPr id="19629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0077" b="15611"/>
                    <a:stretch/>
                  </pic:blipFill>
                  <pic:spPr bwMode="auto">
                    <a:xfrm>
                      <a:off x="0" y="0"/>
                      <a:ext cx="5306751" cy="5100671"/>
                    </a:xfrm>
                    <a:prstGeom prst="rect">
                      <a:avLst/>
                    </a:prstGeom>
                    <a:noFill/>
                    <a:ln>
                      <a:noFill/>
                    </a:ln>
                    <a:extLst>
                      <a:ext uri="{53640926-AAD7-44D8-BBD7-CCE9431645EC}">
                        <a14:shadowObscured xmlns:a14="http://schemas.microsoft.com/office/drawing/2010/main"/>
                      </a:ext>
                    </a:extLst>
                  </pic:spPr>
                </pic:pic>
              </a:graphicData>
            </a:graphic>
          </wp:inline>
        </w:drawing>
      </w:r>
    </w:p>
    <w:p w14:paraId="5B61C362" w14:textId="73E08939" w:rsidR="004050F2" w:rsidRDefault="004050F2" w:rsidP="00031822">
      <w:pPr>
        <w:pStyle w:val="Caption"/>
        <w:keepNext/>
      </w:pPr>
      <w:bookmarkStart w:id="10" w:name="_Ref149509644"/>
      <w:r>
        <w:lastRenderedPageBreak/>
        <w:t xml:space="preserve">Table </w:t>
      </w:r>
      <w:r>
        <w:fldChar w:fldCharType="begin"/>
      </w:r>
      <w:r>
        <w:instrText xml:space="preserve"> SEQ Table \* ARABIC </w:instrText>
      </w:r>
      <w:r>
        <w:fldChar w:fldCharType="separate"/>
      </w:r>
      <w:r w:rsidR="00DB74D5">
        <w:rPr>
          <w:noProof/>
        </w:rPr>
        <w:t>6</w:t>
      </w:r>
      <w:r>
        <w:rPr>
          <w:noProof/>
        </w:rPr>
        <w:fldChar w:fldCharType="end"/>
      </w:r>
      <w:bookmarkEnd w:id="10"/>
      <w:r>
        <w:rPr>
          <w:noProof/>
        </w:rPr>
        <w:t xml:space="preserve"> By Phase DiD Results</w:t>
      </w:r>
    </w:p>
    <w:p w14:paraId="3672CE26" w14:textId="299803CC" w:rsidR="004050F2" w:rsidRDefault="004050F2" w:rsidP="00031822">
      <w:pPr>
        <w:jc w:val="center"/>
      </w:pPr>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p>
    <w:p w14:paraId="76550830" w14:textId="491EE3D7" w:rsidR="002853F0" w:rsidRDefault="002853F0" w:rsidP="00031822">
      <w:r>
        <w:t>(Robustness Checks Here)</w:t>
      </w:r>
    </w:p>
    <w:p w14:paraId="40466E11" w14:textId="610068B4" w:rsidR="002853F0" w:rsidRDefault="002853F0" w:rsidP="00AB12F9">
      <w:pPr>
        <w:pStyle w:val="Heading2"/>
      </w:pPr>
      <w:r>
        <w:t>Liquidity</w:t>
      </w:r>
    </w:p>
    <w:p w14:paraId="7390CEB8" w14:textId="224DA688" w:rsidR="002853F0" w:rsidRDefault="002853F0" w:rsidP="00031822">
      <w:r>
        <w:t>Liquidity Results Here</w:t>
      </w:r>
    </w:p>
    <w:p w14:paraId="7F78FE30" w14:textId="1BDED5DB" w:rsidR="002853F0" w:rsidRDefault="002853F0" w:rsidP="00AB12F9">
      <w:pPr>
        <w:pStyle w:val="Heading2"/>
      </w:pPr>
      <w:r>
        <w:t>Price Volatility</w:t>
      </w:r>
    </w:p>
    <w:p w14:paraId="0F321A6C" w14:textId="287B5BD6" w:rsidR="002853F0" w:rsidRPr="002853F0" w:rsidRDefault="002853F0" w:rsidP="00031822">
      <w:r>
        <w:t>Price Volatility Results Here</w:t>
      </w:r>
    </w:p>
    <w:p w14:paraId="46EB96B1" w14:textId="14F41234" w:rsidR="00A96B98" w:rsidRDefault="00A96B98" w:rsidP="009C0453">
      <w:pPr>
        <w:pStyle w:val="Heading1"/>
        <w:numPr>
          <w:ilvl w:val="0"/>
          <w:numId w:val="33"/>
        </w:numPr>
      </w:pPr>
      <w:bookmarkStart w:id="11" w:name="_Ref157719507"/>
      <w:r>
        <w:t>Conclusion</w:t>
      </w:r>
      <w:bookmarkEnd w:id="11"/>
    </w:p>
    <w:p w14:paraId="04B82C4A" w14:textId="3D7E79AC" w:rsidR="00AE2A76" w:rsidRDefault="00AE2A76" w:rsidP="00AE2A76">
      <w:r>
        <w:t xml:space="preserve">Conclusion goes </w:t>
      </w:r>
      <w:proofErr w:type="gramStart"/>
      <w:r>
        <w:t>here</w:t>
      </w:r>
      <w:proofErr w:type="gramEnd"/>
    </w:p>
    <w:p w14:paraId="2F054196" w14:textId="77777777" w:rsidR="00B9115F" w:rsidRDefault="00B9115F" w:rsidP="00AE2A76"/>
    <w:p w14:paraId="013C1347" w14:textId="78BC429D" w:rsidR="00B9115F" w:rsidRDefault="00B9115F">
      <w:pPr>
        <w:spacing w:line="240" w:lineRule="auto"/>
        <w:ind w:firstLine="0"/>
        <w:jc w:val="left"/>
      </w:pPr>
      <w:r>
        <w:br w:type="page"/>
      </w:r>
    </w:p>
    <w:p w14:paraId="59861535" w14:textId="77777777" w:rsidR="00AB5DFD" w:rsidRPr="00AB5DFD" w:rsidRDefault="00B9115F" w:rsidP="00AB5DFD">
      <w:pPr>
        <w:pStyle w:val="Bibliography"/>
      </w:pPr>
      <w:r>
        <w:lastRenderedPageBreak/>
        <w:fldChar w:fldCharType="begin"/>
      </w:r>
      <w:r>
        <w:instrText xml:space="preserve"> ADDIN ZOTERO_BIBL {"uncited":[],"omitted":[],"custom":[]} CSL_BIBLIOGRAPHY </w:instrText>
      </w:r>
      <w:r>
        <w:fldChar w:fldCharType="separate"/>
      </w:r>
      <w:r w:rsidR="00AB5DFD" w:rsidRPr="00AB5DFD">
        <w:t xml:space="preserve">Allen, Franklin, and Douglas Gale. 2000. “Financial Contagion.” </w:t>
      </w:r>
      <w:r w:rsidR="00AB5DFD" w:rsidRPr="00AB5DFD">
        <w:rPr>
          <w:i/>
          <w:iCs/>
        </w:rPr>
        <w:t>Journal of Political Economy</w:t>
      </w:r>
      <w:r w:rsidR="00AB5DFD" w:rsidRPr="00AB5DFD">
        <w:t xml:space="preserve"> 108 (1): 1–33. https://doi.org/10.1086/262109.</w:t>
      </w:r>
    </w:p>
    <w:p w14:paraId="07E8758A" w14:textId="77777777" w:rsidR="00AB5DFD" w:rsidRPr="00AB5DFD" w:rsidRDefault="00AB5DFD" w:rsidP="00AB5DFD">
      <w:pPr>
        <w:pStyle w:val="Bibliography"/>
      </w:pPr>
      <w:r w:rsidRPr="00AB5DFD">
        <w:t>Allen, Franklin, and Douglas M. Gale. 2007. “An Introduction to Financial Crises.” SSRN Scholarly Paper. Rochester, NY. https://doi.org/10.2139/ssrn.1008311.</w:t>
      </w:r>
    </w:p>
    <w:p w14:paraId="7BF1D618" w14:textId="77777777" w:rsidR="00AB5DFD" w:rsidRPr="00AB5DFD" w:rsidRDefault="00AB5DFD" w:rsidP="00AB5DFD">
      <w:pPr>
        <w:pStyle w:val="Bibliography"/>
      </w:pPr>
      <w:r w:rsidRPr="00AB5DFD">
        <w:t xml:space="preserve">Bernstein, Asaf, Eric Hughson, and Marc </w:t>
      </w:r>
      <w:proofErr w:type="spellStart"/>
      <w:r w:rsidRPr="00AB5DFD">
        <w:t>Weidenmier</w:t>
      </w:r>
      <w:proofErr w:type="spellEnd"/>
      <w:r w:rsidRPr="00AB5DFD">
        <w:t xml:space="preserve">. 2019. “Counterparty Risk and the Establishment of the New York Stock Exchange Clearinghouse.” </w:t>
      </w:r>
      <w:r w:rsidRPr="00AB5DFD">
        <w:rPr>
          <w:i/>
          <w:iCs/>
        </w:rPr>
        <w:t>Journal of Political Economy</w:t>
      </w:r>
      <w:r w:rsidRPr="00AB5DFD">
        <w:t xml:space="preserve"> 127 (2): 689–729. https://doi.org/10.1086/701033.</w:t>
      </w:r>
    </w:p>
    <w:p w14:paraId="07AF41F2" w14:textId="77777777" w:rsidR="00AB5DFD" w:rsidRPr="00AB5DFD" w:rsidRDefault="00AB5DFD" w:rsidP="00AB5DFD">
      <w:pPr>
        <w:pStyle w:val="Bibliography"/>
      </w:pPr>
      <w:proofErr w:type="spellStart"/>
      <w:r w:rsidRPr="00AB5DFD">
        <w:t>Biais</w:t>
      </w:r>
      <w:proofErr w:type="spellEnd"/>
      <w:r w:rsidRPr="00AB5DFD">
        <w:t xml:space="preserve">, Bruno. 1993. “Price Formation and Equilibrium Liquidity in Fragmented and Centralized Markets.” </w:t>
      </w:r>
      <w:r w:rsidRPr="00AB5DFD">
        <w:rPr>
          <w:i/>
          <w:iCs/>
        </w:rPr>
        <w:t>The Journal of Finance</w:t>
      </w:r>
      <w:r w:rsidRPr="00AB5DFD">
        <w:t xml:space="preserve"> 48 (1): 157–85. https://doi.org/10.1111/j.1540-6261.1993.tb04705.x.</w:t>
      </w:r>
    </w:p>
    <w:p w14:paraId="698191B1" w14:textId="77777777" w:rsidR="00AB5DFD" w:rsidRPr="00AB5DFD" w:rsidRDefault="00AB5DFD" w:rsidP="00AB5DFD">
      <w:pPr>
        <w:pStyle w:val="Bibliography"/>
      </w:pPr>
      <w:r w:rsidRPr="00AB5DFD">
        <w:t>Bolandnazar, Mohammadreza. 2020. “The Market Structure of Dealer-to-Client Interest Rate Swaps.” SSRN Scholarly Paper 3752367. Rochester, NY: Social Science Research Network. https://doi.org/10.2139/ssrn.3752367.</w:t>
      </w:r>
    </w:p>
    <w:p w14:paraId="2ABF16A8" w14:textId="77777777" w:rsidR="00AB5DFD" w:rsidRPr="00AB5DFD" w:rsidRDefault="00AB5DFD" w:rsidP="00AB5DFD">
      <w:pPr>
        <w:pStyle w:val="Bibliography"/>
      </w:pPr>
      <w:r w:rsidRPr="00AB5DFD">
        <w:t xml:space="preserve">Jackson, Matthew O., and Agathe </w:t>
      </w:r>
      <w:proofErr w:type="spellStart"/>
      <w:r w:rsidRPr="00AB5DFD">
        <w:t>Pernoud</w:t>
      </w:r>
      <w:proofErr w:type="spellEnd"/>
      <w:r w:rsidRPr="00AB5DFD">
        <w:t xml:space="preserve">. 2021. “Systemic Risk in Financial Networks: A Survey.” </w:t>
      </w:r>
      <w:r w:rsidRPr="00AB5DFD">
        <w:rPr>
          <w:i/>
          <w:iCs/>
        </w:rPr>
        <w:t>Annual Review of Economics</w:t>
      </w:r>
      <w:r w:rsidRPr="00AB5DFD">
        <w:t xml:space="preserve"> 13 (1): 171–202. https://doi.org/10.1146/annurev-economics-083120-111540.</w:t>
      </w:r>
    </w:p>
    <w:p w14:paraId="7FD4FF52" w14:textId="77777777" w:rsidR="00AB5DFD" w:rsidRPr="00AB5DFD" w:rsidRDefault="00AB5DFD" w:rsidP="00AB5DFD">
      <w:pPr>
        <w:pStyle w:val="Bibliography"/>
      </w:pPr>
      <w:r w:rsidRPr="00AB5DFD">
        <w:t xml:space="preserve">Kleist, </w:t>
      </w:r>
      <w:proofErr w:type="spellStart"/>
      <w:r w:rsidRPr="00AB5DFD">
        <w:t>Karsten</w:t>
      </w:r>
      <w:proofErr w:type="spellEnd"/>
      <w:r w:rsidRPr="00AB5DFD">
        <w:t xml:space="preserve"> von, and C. </w:t>
      </w:r>
      <w:proofErr w:type="spellStart"/>
      <w:r w:rsidRPr="00AB5DFD">
        <w:t>Mallo</w:t>
      </w:r>
      <w:proofErr w:type="spellEnd"/>
      <w:r w:rsidRPr="00AB5DFD">
        <w:t xml:space="preserve">. 2011. “OTC Derivatives Market Activity in the Second Half of 2010.” </w:t>
      </w:r>
      <w:r w:rsidRPr="00AB5DFD">
        <w:rPr>
          <w:i/>
          <w:iCs/>
        </w:rPr>
        <w:t>Bank for International Settlements, Monetary and Economic Department, May</w:t>
      </w:r>
      <w:r w:rsidRPr="00AB5DFD">
        <w:t>.</w:t>
      </w:r>
    </w:p>
    <w:p w14:paraId="2953FA41" w14:textId="77777777" w:rsidR="00AB5DFD" w:rsidRPr="00AB5DFD" w:rsidRDefault="00AB5DFD" w:rsidP="00AB5DFD">
      <w:pPr>
        <w:pStyle w:val="Bibliography"/>
      </w:pPr>
      <w:r w:rsidRPr="00AB5DFD">
        <w:t xml:space="preserve">Minton, Bernadette A. 1997. “An Empirical Examination of Basic Valuation Models for Plain Vanilla U.S. Interest Rate Swaps.” </w:t>
      </w:r>
      <w:r w:rsidRPr="00AB5DFD">
        <w:rPr>
          <w:i/>
          <w:iCs/>
        </w:rPr>
        <w:t>Journal of Financial Economics</w:t>
      </w:r>
      <w:r w:rsidRPr="00AB5DFD">
        <w:t xml:space="preserve"> 44 (2): 251–77. https://doi.org/10.1016/S0304-405X(97)00005-6.</w:t>
      </w:r>
    </w:p>
    <w:p w14:paraId="15B4670F" w14:textId="77777777" w:rsidR="00AB5DFD" w:rsidRPr="00AB5DFD" w:rsidRDefault="00AB5DFD" w:rsidP="00AB5DFD">
      <w:pPr>
        <w:pStyle w:val="Bibliography"/>
      </w:pPr>
      <w:r w:rsidRPr="00AB5DFD">
        <w:t xml:space="preserve">Rochet, Jean-Charles, and Jean </w:t>
      </w:r>
      <w:proofErr w:type="spellStart"/>
      <w:r w:rsidRPr="00AB5DFD">
        <w:t>Tirole</w:t>
      </w:r>
      <w:proofErr w:type="spellEnd"/>
      <w:r w:rsidRPr="00AB5DFD">
        <w:t xml:space="preserve">. 1996. “Interbank Lending and Systemic Risk.” </w:t>
      </w:r>
      <w:r w:rsidRPr="00AB5DFD">
        <w:rPr>
          <w:i/>
          <w:iCs/>
        </w:rPr>
        <w:t>Journal of Money, Credit and Banking</w:t>
      </w:r>
      <w:r w:rsidRPr="00AB5DFD">
        <w:t xml:space="preserve"> 28 (4): 733–62. https://doi.org/10.2307/2077918.</w:t>
      </w:r>
    </w:p>
    <w:p w14:paraId="44E25CF3" w14:textId="77777777" w:rsidR="00AB5DFD" w:rsidRPr="00AB5DFD" w:rsidRDefault="00AB5DFD" w:rsidP="00AB5DFD">
      <w:pPr>
        <w:pStyle w:val="Bibliography"/>
      </w:pPr>
      <w:proofErr w:type="spellStart"/>
      <w:r w:rsidRPr="00AB5DFD">
        <w:t>Skarr</w:t>
      </w:r>
      <w:proofErr w:type="spellEnd"/>
      <w:r w:rsidRPr="00AB5DFD">
        <w:t xml:space="preserve">, Doug, and Kristin </w:t>
      </w:r>
      <w:proofErr w:type="spellStart"/>
      <w:r w:rsidRPr="00AB5DFD">
        <w:t>Szakaly</w:t>
      </w:r>
      <w:proofErr w:type="spellEnd"/>
      <w:r w:rsidRPr="00AB5DFD">
        <w:t>-Moore. 2007. “Understanding Interest Rate Swap Math &amp; Pricing.” California Debt and Investment Advisory Commission. https://www.treasurer.ca.gov/cdiac/publications/math.pdf.</w:t>
      </w:r>
    </w:p>
    <w:p w14:paraId="3B14C074" w14:textId="77777777" w:rsidR="00AB5DFD" w:rsidRPr="00AB5DFD" w:rsidRDefault="00AB5DFD" w:rsidP="00AB5DFD">
      <w:pPr>
        <w:pStyle w:val="Bibliography"/>
      </w:pPr>
      <w:r w:rsidRPr="00AB5DFD">
        <w:t xml:space="preserve">Smith, Clifford W., Charles W. Smithson, and Lee Macdonald </w:t>
      </w:r>
      <w:proofErr w:type="spellStart"/>
      <w:r w:rsidRPr="00AB5DFD">
        <w:t>Wakeman</w:t>
      </w:r>
      <w:proofErr w:type="spellEnd"/>
      <w:r w:rsidRPr="00AB5DFD">
        <w:t xml:space="preserve">. 1988. “The Market for Interest Rate Swaps.” </w:t>
      </w:r>
      <w:r w:rsidRPr="00AB5DFD">
        <w:rPr>
          <w:i/>
          <w:iCs/>
        </w:rPr>
        <w:t>Financial Management</w:t>
      </w:r>
      <w:r w:rsidRPr="00AB5DFD">
        <w:t xml:space="preserve"> 17 (4): 34–44. https://doi.org/10.2307/3665765.</w:t>
      </w:r>
    </w:p>
    <w:p w14:paraId="6954673C" w14:textId="3A520262" w:rsidR="00B9115F" w:rsidRPr="00AE2A76" w:rsidRDefault="00B9115F" w:rsidP="00AE2A76">
      <w:r>
        <w:fldChar w:fldCharType="end"/>
      </w:r>
    </w:p>
    <w:sectPr w:rsidR="00B9115F" w:rsidRPr="00AE2A76">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7080D" w14:textId="77777777" w:rsidR="0028086E" w:rsidRDefault="0028086E" w:rsidP="00633D5C">
      <w:r>
        <w:separator/>
      </w:r>
    </w:p>
  </w:endnote>
  <w:endnote w:type="continuationSeparator" w:id="0">
    <w:p w14:paraId="7AAF7B3D" w14:textId="77777777" w:rsidR="0028086E" w:rsidRDefault="0028086E" w:rsidP="00633D5C">
      <w:r>
        <w:continuationSeparator/>
      </w:r>
    </w:p>
  </w:endnote>
  <w:endnote w:type="continuationNotice" w:id="1">
    <w:p w14:paraId="6098F99A" w14:textId="77777777" w:rsidR="0028086E" w:rsidRDefault="002808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BF313" w14:textId="77777777" w:rsidR="0028086E" w:rsidRDefault="0028086E" w:rsidP="00633D5C">
      <w:r>
        <w:separator/>
      </w:r>
    </w:p>
  </w:footnote>
  <w:footnote w:type="continuationSeparator" w:id="0">
    <w:p w14:paraId="0C41C19A" w14:textId="77777777" w:rsidR="0028086E" w:rsidRDefault="0028086E" w:rsidP="00633D5C">
      <w:r>
        <w:continuationSeparator/>
      </w:r>
    </w:p>
  </w:footnote>
  <w:footnote w:type="continuationNotice" w:id="1">
    <w:p w14:paraId="7039DB1C" w14:textId="77777777" w:rsidR="0028086E" w:rsidRDefault="002808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D4B0DD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D20CBD"/>
    <w:multiLevelType w:val="multilevel"/>
    <w:tmpl w:val="0E4256F6"/>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5" w15:restartNumberingAfterBreak="0">
    <w:nsid w:val="45EF2A73"/>
    <w:multiLevelType w:val="multilevel"/>
    <w:tmpl w:val="991C736A"/>
    <w:styleLink w:val="CurrentList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64A40"/>
    <w:multiLevelType w:val="multilevel"/>
    <w:tmpl w:val="95A8E0A2"/>
    <w:styleLink w:val="CurrentList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1F1B9E"/>
    <w:multiLevelType w:val="multilevel"/>
    <w:tmpl w:val="95A8E0A2"/>
    <w:styleLink w:val="CurrentList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1"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923D1"/>
    <w:multiLevelType w:val="multilevel"/>
    <w:tmpl w:val="67548EC2"/>
    <w:styleLink w:val="CurrentList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0B56FF"/>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C60E59"/>
    <w:multiLevelType w:val="multilevel"/>
    <w:tmpl w:val="67548EC2"/>
    <w:styleLink w:val="CurrentList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40346"/>
    <w:multiLevelType w:val="hybridMultilevel"/>
    <w:tmpl w:val="91E0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389"/>
    <w:multiLevelType w:val="multilevel"/>
    <w:tmpl w:val="95A8E0A2"/>
    <w:styleLink w:val="CurrentList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4C450A"/>
    <w:multiLevelType w:val="multilevel"/>
    <w:tmpl w:val="DF2C4EB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F937E45"/>
    <w:multiLevelType w:val="multilevel"/>
    <w:tmpl w:val="0E4256F6"/>
    <w:styleLink w:val="CurrentList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50257530">
    <w:abstractNumId w:val="12"/>
  </w:num>
  <w:num w:numId="2" w16cid:durableId="707800307">
    <w:abstractNumId w:val="18"/>
  </w:num>
  <w:num w:numId="3" w16cid:durableId="1322077080">
    <w:abstractNumId w:val="32"/>
  </w:num>
  <w:num w:numId="4" w16cid:durableId="1060834225">
    <w:abstractNumId w:val="16"/>
  </w:num>
  <w:num w:numId="5" w16cid:durableId="1677343865">
    <w:abstractNumId w:val="22"/>
  </w:num>
  <w:num w:numId="6" w16cid:durableId="2085032138">
    <w:abstractNumId w:val="27"/>
  </w:num>
  <w:num w:numId="7" w16cid:durableId="1248348664">
    <w:abstractNumId w:val="11"/>
  </w:num>
  <w:num w:numId="8" w16cid:durableId="2079209417">
    <w:abstractNumId w:val="26"/>
  </w:num>
  <w:num w:numId="9" w16cid:durableId="1911109467">
    <w:abstractNumId w:val="38"/>
  </w:num>
  <w:num w:numId="10" w16cid:durableId="832453860">
    <w:abstractNumId w:val="21"/>
  </w:num>
  <w:num w:numId="11" w16cid:durableId="846746752">
    <w:abstractNumId w:val="37"/>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33"/>
  </w:num>
  <w:num w:numId="25" w16cid:durableId="640575445">
    <w:abstractNumId w:val="19"/>
  </w:num>
  <w:num w:numId="26" w16cid:durableId="906114339">
    <w:abstractNumId w:val="23"/>
  </w:num>
  <w:num w:numId="27" w16cid:durableId="792283900">
    <w:abstractNumId w:val="30"/>
  </w:num>
  <w:num w:numId="28" w16cid:durableId="1811096657">
    <w:abstractNumId w:val="24"/>
  </w:num>
  <w:num w:numId="29" w16cid:durableId="1874683835">
    <w:abstractNumId w:val="15"/>
  </w:num>
  <w:num w:numId="30" w16cid:durableId="958071259">
    <w:abstractNumId w:val="31"/>
  </w:num>
  <w:num w:numId="31" w16cid:durableId="484783320">
    <w:abstractNumId w:val="13"/>
  </w:num>
  <w:num w:numId="32" w16cid:durableId="2087652039">
    <w:abstractNumId w:val="14"/>
  </w:num>
  <w:num w:numId="33" w16cid:durableId="952904288">
    <w:abstractNumId w:val="39"/>
  </w:num>
  <w:num w:numId="34" w16cid:durableId="875972154">
    <w:abstractNumId w:val="35"/>
  </w:num>
  <w:num w:numId="35" w16cid:durableId="1505244892">
    <w:abstractNumId w:val="20"/>
  </w:num>
  <w:num w:numId="36" w16cid:durableId="2020421305">
    <w:abstractNumId w:val="42"/>
  </w:num>
  <w:num w:numId="37" w16cid:durableId="719131364">
    <w:abstractNumId w:val="25"/>
  </w:num>
  <w:num w:numId="38" w16cid:durableId="684021213">
    <w:abstractNumId w:val="40"/>
  </w:num>
  <w:num w:numId="39" w16cid:durableId="1033916744">
    <w:abstractNumId w:val="41"/>
  </w:num>
  <w:num w:numId="40" w16cid:durableId="775759245">
    <w:abstractNumId w:val="29"/>
  </w:num>
  <w:num w:numId="41" w16cid:durableId="783571490">
    <w:abstractNumId w:val="28"/>
  </w:num>
  <w:num w:numId="42" w16cid:durableId="1242183747">
    <w:abstractNumId w:val="41"/>
  </w:num>
  <w:num w:numId="43" w16cid:durableId="555774281">
    <w:abstractNumId w:val="36"/>
  </w:num>
  <w:num w:numId="44" w16cid:durableId="11516761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5"/>
  <w:proofState w:spelling="clean" w:grammar="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03C90"/>
    <w:rsid w:val="00012529"/>
    <w:rsid w:val="00016AE6"/>
    <w:rsid w:val="000212F8"/>
    <w:rsid w:val="00022852"/>
    <w:rsid w:val="00025AA4"/>
    <w:rsid w:val="00031822"/>
    <w:rsid w:val="00033177"/>
    <w:rsid w:val="00034DC8"/>
    <w:rsid w:val="00035E4A"/>
    <w:rsid w:val="0004387C"/>
    <w:rsid w:val="00044125"/>
    <w:rsid w:val="00046423"/>
    <w:rsid w:val="000510E8"/>
    <w:rsid w:val="00053C4A"/>
    <w:rsid w:val="00057A12"/>
    <w:rsid w:val="000614F4"/>
    <w:rsid w:val="00061729"/>
    <w:rsid w:val="0006794D"/>
    <w:rsid w:val="000712B2"/>
    <w:rsid w:val="000761CF"/>
    <w:rsid w:val="00077879"/>
    <w:rsid w:val="0008027D"/>
    <w:rsid w:val="0008096F"/>
    <w:rsid w:val="000816B7"/>
    <w:rsid w:val="000939CA"/>
    <w:rsid w:val="00096D58"/>
    <w:rsid w:val="0009785E"/>
    <w:rsid w:val="000A41CF"/>
    <w:rsid w:val="000A5607"/>
    <w:rsid w:val="000A7150"/>
    <w:rsid w:val="000A7FDC"/>
    <w:rsid w:val="000B5142"/>
    <w:rsid w:val="000B7B5D"/>
    <w:rsid w:val="000C07B7"/>
    <w:rsid w:val="000C5086"/>
    <w:rsid w:val="000C584E"/>
    <w:rsid w:val="000C76FB"/>
    <w:rsid w:val="000D4B1B"/>
    <w:rsid w:val="000D7CEC"/>
    <w:rsid w:val="000E2133"/>
    <w:rsid w:val="000E6933"/>
    <w:rsid w:val="000F0F21"/>
    <w:rsid w:val="000F28B2"/>
    <w:rsid w:val="0010299E"/>
    <w:rsid w:val="001124E1"/>
    <w:rsid w:val="0011666A"/>
    <w:rsid w:val="0012752B"/>
    <w:rsid w:val="001317B0"/>
    <w:rsid w:val="00131FCD"/>
    <w:rsid w:val="00143C59"/>
    <w:rsid w:val="00147694"/>
    <w:rsid w:val="00161437"/>
    <w:rsid w:val="0016169B"/>
    <w:rsid w:val="00164132"/>
    <w:rsid w:val="001655FC"/>
    <w:rsid w:val="00166D41"/>
    <w:rsid w:val="00170083"/>
    <w:rsid w:val="00184052"/>
    <w:rsid w:val="00191190"/>
    <w:rsid w:val="00191C9A"/>
    <w:rsid w:val="00194EB9"/>
    <w:rsid w:val="001A25AE"/>
    <w:rsid w:val="001A7F55"/>
    <w:rsid w:val="001B775F"/>
    <w:rsid w:val="001C1D1C"/>
    <w:rsid w:val="001C24F9"/>
    <w:rsid w:val="001C74A9"/>
    <w:rsid w:val="001D3062"/>
    <w:rsid w:val="001D57E1"/>
    <w:rsid w:val="001F4D2E"/>
    <w:rsid w:val="001F7299"/>
    <w:rsid w:val="00200D6D"/>
    <w:rsid w:val="002112FE"/>
    <w:rsid w:val="00220BDA"/>
    <w:rsid w:val="00220F82"/>
    <w:rsid w:val="00232831"/>
    <w:rsid w:val="00233C90"/>
    <w:rsid w:val="002343F4"/>
    <w:rsid w:val="00234D83"/>
    <w:rsid w:val="00243E6E"/>
    <w:rsid w:val="00246F90"/>
    <w:rsid w:val="0025043C"/>
    <w:rsid w:val="00265F4A"/>
    <w:rsid w:val="002718B1"/>
    <w:rsid w:val="0027378C"/>
    <w:rsid w:val="00275B46"/>
    <w:rsid w:val="0028086E"/>
    <w:rsid w:val="00284488"/>
    <w:rsid w:val="002853F0"/>
    <w:rsid w:val="00286E2A"/>
    <w:rsid w:val="00290667"/>
    <w:rsid w:val="00290E18"/>
    <w:rsid w:val="00293578"/>
    <w:rsid w:val="002938B2"/>
    <w:rsid w:val="002B03E9"/>
    <w:rsid w:val="002B63F1"/>
    <w:rsid w:val="002C58F6"/>
    <w:rsid w:val="002C726E"/>
    <w:rsid w:val="002D4411"/>
    <w:rsid w:val="002D4CD7"/>
    <w:rsid w:val="002E0CE1"/>
    <w:rsid w:val="002F3376"/>
    <w:rsid w:val="002F4ED0"/>
    <w:rsid w:val="002F6C5B"/>
    <w:rsid w:val="00301A1C"/>
    <w:rsid w:val="00305FCA"/>
    <w:rsid w:val="0031486E"/>
    <w:rsid w:val="00320206"/>
    <w:rsid w:val="003314C1"/>
    <w:rsid w:val="00336313"/>
    <w:rsid w:val="0034098A"/>
    <w:rsid w:val="00343A08"/>
    <w:rsid w:val="003520EC"/>
    <w:rsid w:val="00357E12"/>
    <w:rsid w:val="00362ED7"/>
    <w:rsid w:val="00366CA0"/>
    <w:rsid w:val="00377D40"/>
    <w:rsid w:val="00380D21"/>
    <w:rsid w:val="00381A4D"/>
    <w:rsid w:val="0039332A"/>
    <w:rsid w:val="003936A2"/>
    <w:rsid w:val="0039392E"/>
    <w:rsid w:val="0039580A"/>
    <w:rsid w:val="003B1DFC"/>
    <w:rsid w:val="003C3888"/>
    <w:rsid w:val="003E0920"/>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0E83"/>
    <w:rsid w:val="00441C17"/>
    <w:rsid w:val="00445059"/>
    <w:rsid w:val="00446E24"/>
    <w:rsid w:val="0044741C"/>
    <w:rsid w:val="004521B3"/>
    <w:rsid w:val="00455F39"/>
    <w:rsid w:val="004567C0"/>
    <w:rsid w:val="00456AFB"/>
    <w:rsid w:val="0047037D"/>
    <w:rsid w:val="00470CAE"/>
    <w:rsid w:val="00475EE6"/>
    <w:rsid w:val="004776E9"/>
    <w:rsid w:val="00482903"/>
    <w:rsid w:val="00487EF1"/>
    <w:rsid w:val="004A2BFC"/>
    <w:rsid w:val="004C093C"/>
    <w:rsid w:val="004C1AD0"/>
    <w:rsid w:val="004D2D2D"/>
    <w:rsid w:val="004D458D"/>
    <w:rsid w:val="004E5AEE"/>
    <w:rsid w:val="004F0BE2"/>
    <w:rsid w:val="004F43A3"/>
    <w:rsid w:val="00502B0A"/>
    <w:rsid w:val="00506DDF"/>
    <w:rsid w:val="00525BB3"/>
    <w:rsid w:val="005356E2"/>
    <w:rsid w:val="005364E5"/>
    <w:rsid w:val="00540C73"/>
    <w:rsid w:val="00540DEF"/>
    <w:rsid w:val="00544B00"/>
    <w:rsid w:val="00550DA4"/>
    <w:rsid w:val="00552C5E"/>
    <w:rsid w:val="005534B7"/>
    <w:rsid w:val="005651C7"/>
    <w:rsid w:val="00566732"/>
    <w:rsid w:val="00575523"/>
    <w:rsid w:val="00577089"/>
    <w:rsid w:val="0057724B"/>
    <w:rsid w:val="005812DC"/>
    <w:rsid w:val="00581A36"/>
    <w:rsid w:val="00586A9D"/>
    <w:rsid w:val="00593184"/>
    <w:rsid w:val="005A0C96"/>
    <w:rsid w:val="005A5A35"/>
    <w:rsid w:val="005A6ADC"/>
    <w:rsid w:val="005A7D26"/>
    <w:rsid w:val="005A7F47"/>
    <w:rsid w:val="005C11C0"/>
    <w:rsid w:val="005D43C4"/>
    <w:rsid w:val="005E0C46"/>
    <w:rsid w:val="005F14CA"/>
    <w:rsid w:val="005F327C"/>
    <w:rsid w:val="005F6B4A"/>
    <w:rsid w:val="0060706F"/>
    <w:rsid w:val="00607456"/>
    <w:rsid w:val="00622956"/>
    <w:rsid w:val="00625ECF"/>
    <w:rsid w:val="00627579"/>
    <w:rsid w:val="00633D5C"/>
    <w:rsid w:val="0063560A"/>
    <w:rsid w:val="0063608A"/>
    <w:rsid w:val="00644114"/>
    <w:rsid w:val="006450BA"/>
    <w:rsid w:val="00671C67"/>
    <w:rsid w:val="006722D1"/>
    <w:rsid w:val="006738CB"/>
    <w:rsid w:val="00674BB7"/>
    <w:rsid w:val="006875A1"/>
    <w:rsid w:val="0069541B"/>
    <w:rsid w:val="006A345A"/>
    <w:rsid w:val="006B6124"/>
    <w:rsid w:val="006C0D52"/>
    <w:rsid w:val="006C1963"/>
    <w:rsid w:val="006C395A"/>
    <w:rsid w:val="006D47F1"/>
    <w:rsid w:val="006E06F9"/>
    <w:rsid w:val="006E44BE"/>
    <w:rsid w:val="006F1F0C"/>
    <w:rsid w:val="00700348"/>
    <w:rsid w:val="0070689F"/>
    <w:rsid w:val="00715923"/>
    <w:rsid w:val="0072700E"/>
    <w:rsid w:val="00733F0D"/>
    <w:rsid w:val="00747315"/>
    <w:rsid w:val="007475B0"/>
    <w:rsid w:val="0075597E"/>
    <w:rsid w:val="00755BED"/>
    <w:rsid w:val="0076305C"/>
    <w:rsid w:val="007721E7"/>
    <w:rsid w:val="00781C1A"/>
    <w:rsid w:val="00781E75"/>
    <w:rsid w:val="00782C1A"/>
    <w:rsid w:val="007A0DBE"/>
    <w:rsid w:val="007A4E27"/>
    <w:rsid w:val="007B2C40"/>
    <w:rsid w:val="007B359F"/>
    <w:rsid w:val="007C0619"/>
    <w:rsid w:val="007C099B"/>
    <w:rsid w:val="007C0BF5"/>
    <w:rsid w:val="007D359F"/>
    <w:rsid w:val="007E1203"/>
    <w:rsid w:val="007E2F87"/>
    <w:rsid w:val="007E3CB7"/>
    <w:rsid w:val="007E6044"/>
    <w:rsid w:val="007E64B2"/>
    <w:rsid w:val="007E6980"/>
    <w:rsid w:val="007F6DDE"/>
    <w:rsid w:val="00804046"/>
    <w:rsid w:val="008057C4"/>
    <w:rsid w:val="00810636"/>
    <w:rsid w:val="008138CB"/>
    <w:rsid w:val="00821AC5"/>
    <w:rsid w:val="00827924"/>
    <w:rsid w:val="008335A2"/>
    <w:rsid w:val="00834DE5"/>
    <w:rsid w:val="00836236"/>
    <w:rsid w:val="00841768"/>
    <w:rsid w:val="0085075E"/>
    <w:rsid w:val="0086025D"/>
    <w:rsid w:val="0086454B"/>
    <w:rsid w:val="00864A3C"/>
    <w:rsid w:val="0086750E"/>
    <w:rsid w:val="00876F18"/>
    <w:rsid w:val="00877DDF"/>
    <w:rsid w:val="00882716"/>
    <w:rsid w:val="0088504F"/>
    <w:rsid w:val="0089167A"/>
    <w:rsid w:val="0089422D"/>
    <w:rsid w:val="00896370"/>
    <w:rsid w:val="00896FE8"/>
    <w:rsid w:val="008A0C37"/>
    <w:rsid w:val="008A0DFD"/>
    <w:rsid w:val="008A5DF5"/>
    <w:rsid w:val="008A6B76"/>
    <w:rsid w:val="008A79F1"/>
    <w:rsid w:val="008B5A3B"/>
    <w:rsid w:val="008B7733"/>
    <w:rsid w:val="008C2ACA"/>
    <w:rsid w:val="008C32AF"/>
    <w:rsid w:val="008C6991"/>
    <w:rsid w:val="008C6CD4"/>
    <w:rsid w:val="008D1C73"/>
    <w:rsid w:val="008D236F"/>
    <w:rsid w:val="008E3043"/>
    <w:rsid w:val="008E38DA"/>
    <w:rsid w:val="008E6500"/>
    <w:rsid w:val="008F79E0"/>
    <w:rsid w:val="008F7BF3"/>
    <w:rsid w:val="00905428"/>
    <w:rsid w:val="00914E91"/>
    <w:rsid w:val="009150D9"/>
    <w:rsid w:val="0092248B"/>
    <w:rsid w:val="00935B7D"/>
    <w:rsid w:val="00935E65"/>
    <w:rsid w:val="00936FB0"/>
    <w:rsid w:val="00941B60"/>
    <w:rsid w:val="0095406B"/>
    <w:rsid w:val="009561B4"/>
    <w:rsid w:val="00956D41"/>
    <w:rsid w:val="00962018"/>
    <w:rsid w:val="00974463"/>
    <w:rsid w:val="00981EFF"/>
    <w:rsid w:val="00991610"/>
    <w:rsid w:val="009A69FA"/>
    <w:rsid w:val="009A7D6A"/>
    <w:rsid w:val="009B3B11"/>
    <w:rsid w:val="009C0453"/>
    <w:rsid w:val="009C1462"/>
    <w:rsid w:val="009C4761"/>
    <w:rsid w:val="009C4BAC"/>
    <w:rsid w:val="009C7A56"/>
    <w:rsid w:val="009F06E5"/>
    <w:rsid w:val="009F1DA7"/>
    <w:rsid w:val="009F7AFA"/>
    <w:rsid w:val="009F7D7F"/>
    <w:rsid w:val="00A000EF"/>
    <w:rsid w:val="00A03CBF"/>
    <w:rsid w:val="00A05111"/>
    <w:rsid w:val="00A219EC"/>
    <w:rsid w:val="00A21F7B"/>
    <w:rsid w:val="00A271B6"/>
    <w:rsid w:val="00A41FF7"/>
    <w:rsid w:val="00A4495A"/>
    <w:rsid w:val="00A53B21"/>
    <w:rsid w:val="00A66524"/>
    <w:rsid w:val="00A73855"/>
    <w:rsid w:val="00A74B49"/>
    <w:rsid w:val="00A81AE5"/>
    <w:rsid w:val="00A8236C"/>
    <w:rsid w:val="00A8682C"/>
    <w:rsid w:val="00A930AB"/>
    <w:rsid w:val="00A96B98"/>
    <w:rsid w:val="00AA193A"/>
    <w:rsid w:val="00AA1B8E"/>
    <w:rsid w:val="00AA454A"/>
    <w:rsid w:val="00AA4B78"/>
    <w:rsid w:val="00AA5AFB"/>
    <w:rsid w:val="00AA717C"/>
    <w:rsid w:val="00AB12F9"/>
    <w:rsid w:val="00AB38FA"/>
    <w:rsid w:val="00AB5DFD"/>
    <w:rsid w:val="00AB7061"/>
    <w:rsid w:val="00AC06CC"/>
    <w:rsid w:val="00AE15AA"/>
    <w:rsid w:val="00AE2A76"/>
    <w:rsid w:val="00AE5664"/>
    <w:rsid w:val="00AE5AFF"/>
    <w:rsid w:val="00AF1FA3"/>
    <w:rsid w:val="00AF63FA"/>
    <w:rsid w:val="00B0289A"/>
    <w:rsid w:val="00B1262B"/>
    <w:rsid w:val="00B13BAB"/>
    <w:rsid w:val="00B15828"/>
    <w:rsid w:val="00B3359E"/>
    <w:rsid w:val="00B44C24"/>
    <w:rsid w:val="00B54FB7"/>
    <w:rsid w:val="00B75FC5"/>
    <w:rsid w:val="00B83199"/>
    <w:rsid w:val="00B837CA"/>
    <w:rsid w:val="00B86FA9"/>
    <w:rsid w:val="00B9115F"/>
    <w:rsid w:val="00B91280"/>
    <w:rsid w:val="00B92576"/>
    <w:rsid w:val="00B92B7B"/>
    <w:rsid w:val="00B93079"/>
    <w:rsid w:val="00B9520A"/>
    <w:rsid w:val="00BA0B5F"/>
    <w:rsid w:val="00BA0BB3"/>
    <w:rsid w:val="00BA72D6"/>
    <w:rsid w:val="00BB0ACE"/>
    <w:rsid w:val="00BB66F3"/>
    <w:rsid w:val="00BC008A"/>
    <w:rsid w:val="00BC5B75"/>
    <w:rsid w:val="00BD12A4"/>
    <w:rsid w:val="00BD52BB"/>
    <w:rsid w:val="00BE1A00"/>
    <w:rsid w:val="00BF5982"/>
    <w:rsid w:val="00BF6365"/>
    <w:rsid w:val="00BF72AE"/>
    <w:rsid w:val="00C06844"/>
    <w:rsid w:val="00C106ED"/>
    <w:rsid w:val="00C142C4"/>
    <w:rsid w:val="00C16C25"/>
    <w:rsid w:val="00C20541"/>
    <w:rsid w:val="00C223E8"/>
    <w:rsid w:val="00C2255E"/>
    <w:rsid w:val="00C3286E"/>
    <w:rsid w:val="00C32ED2"/>
    <w:rsid w:val="00C363CC"/>
    <w:rsid w:val="00C45CCE"/>
    <w:rsid w:val="00C519BF"/>
    <w:rsid w:val="00C527DB"/>
    <w:rsid w:val="00C538FA"/>
    <w:rsid w:val="00C57E03"/>
    <w:rsid w:val="00C63A02"/>
    <w:rsid w:val="00C64F72"/>
    <w:rsid w:val="00C651D2"/>
    <w:rsid w:val="00C74168"/>
    <w:rsid w:val="00C758C6"/>
    <w:rsid w:val="00C87249"/>
    <w:rsid w:val="00C90716"/>
    <w:rsid w:val="00C94F24"/>
    <w:rsid w:val="00CA40C2"/>
    <w:rsid w:val="00CB305A"/>
    <w:rsid w:val="00CC1AF2"/>
    <w:rsid w:val="00CC29A8"/>
    <w:rsid w:val="00CC31E9"/>
    <w:rsid w:val="00CC46F2"/>
    <w:rsid w:val="00CC69F0"/>
    <w:rsid w:val="00CD17A1"/>
    <w:rsid w:val="00CD1B3E"/>
    <w:rsid w:val="00CD4470"/>
    <w:rsid w:val="00CD5006"/>
    <w:rsid w:val="00CE10FD"/>
    <w:rsid w:val="00CF1F18"/>
    <w:rsid w:val="00D024F1"/>
    <w:rsid w:val="00D14F43"/>
    <w:rsid w:val="00D200EE"/>
    <w:rsid w:val="00D34404"/>
    <w:rsid w:val="00D41237"/>
    <w:rsid w:val="00D4375C"/>
    <w:rsid w:val="00D459AC"/>
    <w:rsid w:val="00D5154E"/>
    <w:rsid w:val="00D52B48"/>
    <w:rsid w:val="00D643C8"/>
    <w:rsid w:val="00D645CF"/>
    <w:rsid w:val="00D8044D"/>
    <w:rsid w:val="00D9234D"/>
    <w:rsid w:val="00DA4FC3"/>
    <w:rsid w:val="00DB01F2"/>
    <w:rsid w:val="00DB74D5"/>
    <w:rsid w:val="00DC2E73"/>
    <w:rsid w:val="00DC42EB"/>
    <w:rsid w:val="00DC7AD2"/>
    <w:rsid w:val="00DE43A2"/>
    <w:rsid w:val="00DE61E9"/>
    <w:rsid w:val="00DE6F94"/>
    <w:rsid w:val="00DE705F"/>
    <w:rsid w:val="00DF452F"/>
    <w:rsid w:val="00DF4848"/>
    <w:rsid w:val="00DF6C13"/>
    <w:rsid w:val="00DF7A69"/>
    <w:rsid w:val="00E02555"/>
    <w:rsid w:val="00E460D7"/>
    <w:rsid w:val="00E52B02"/>
    <w:rsid w:val="00E5597A"/>
    <w:rsid w:val="00E56F5E"/>
    <w:rsid w:val="00E6619F"/>
    <w:rsid w:val="00E66D23"/>
    <w:rsid w:val="00E670C0"/>
    <w:rsid w:val="00E70534"/>
    <w:rsid w:val="00E819EF"/>
    <w:rsid w:val="00E95A6F"/>
    <w:rsid w:val="00EA0CB2"/>
    <w:rsid w:val="00EA1749"/>
    <w:rsid w:val="00EB004A"/>
    <w:rsid w:val="00EB1407"/>
    <w:rsid w:val="00EB53A2"/>
    <w:rsid w:val="00EB5A7B"/>
    <w:rsid w:val="00EB7DDA"/>
    <w:rsid w:val="00EC01D7"/>
    <w:rsid w:val="00EC5C21"/>
    <w:rsid w:val="00EC78C0"/>
    <w:rsid w:val="00ED4D27"/>
    <w:rsid w:val="00EF140B"/>
    <w:rsid w:val="00EF2D93"/>
    <w:rsid w:val="00EF6757"/>
    <w:rsid w:val="00EF7BA6"/>
    <w:rsid w:val="00F040B1"/>
    <w:rsid w:val="00F15E32"/>
    <w:rsid w:val="00F27E22"/>
    <w:rsid w:val="00F31111"/>
    <w:rsid w:val="00F458EF"/>
    <w:rsid w:val="00F57F30"/>
    <w:rsid w:val="00F6394F"/>
    <w:rsid w:val="00F71C54"/>
    <w:rsid w:val="00F872C2"/>
    <w:rsid w:val="00FB01B7"/>
    <w:rsid w:val="00FB04CE"/>
    <w:rsid w:val="00FC644E"/>
    <w:rsid w:val="00FD4074"/>
    <w:rsid w:val="00FD62E9"/>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168"/>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C74168"/>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C74168"/>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C74168"/>
    <w:pPr>
      <w:spacing w:before="260"/>
      <w:ind w:firstLine="0"/>
      <w:outlineLvl w:val="2"/>
    </w:pPr>
    <w:rPr>
      <w:rFonts w:eastAsia="Times New Roman"/>
      <w:bCs/>
    </w:rPr>
  </w:style>
  <w:style w:type="paragraph" w:styleId="Heading4">
    <w:name w:val="heading 4"/>
    <w:basedOn w:val="Normal"/>
    <w:next w:val="Normal"/>
    <w:link w:val="Heading4Char"/>
    <w:qFormat/>
    <w:rsid w:val="00C74168"/>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numPr>
        <w:ilvl w:val="4"/>
        <w:numId w:val="39"/>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numPr>
        <w:ilvl w:val="5"/>
        <w:numId w:val="39"/>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numPr>
        <w:ilvl w:val="6"/>
        <w:numId w:val="39"/>
      </w:numPr>
      <w:spacing w:before="240" w:after="60"/>
      <w:outlineLvl w:val="6"/>
    </w:pPr>
  </w:style>
  <w:style w:type="paragraph" w:styleId="Heading8">
    <w:name w:val="heading 8"/>
    <w:basedOn w:val="Normal"/>
    <w:next w:val="Normal"/>
    <w:link w:val="Heading8Char"/>
    <w:uiPriority w:val="9"/>
    <w:semiHidden/>
    <w:unhideWhenUsed/>
    <w:qFormat/>
    <w:rsid w:val="00AA717C"/>
    <w:pPr>
      <w:numPr>
        <w:ilvl w:val="7"/>
        <w:numId w:val="39"/>
      </w:numPr>
      <w:spacing w:before="240" w:after="60"/>
      <w:outlineLvl w:val="7"/>
    </w:pPr>
    <w:rPr>
      <w:i/>
      <w:iCs/>
    </w:rPr>
  </w:style>
  <w:style w:type="paragraph" w:styleId="Heading9">
    <w:name w:val="heading 9"/>
    <w:basedOn w:val="Normal"/>
    <w:next w:val="Normal"/>
    <w:link w:val="Heading9Char"/>
    <w:uiPriority w:val="9"/>
    <w:semiHidden/>
    <w:unhideWhenUsed/>
    <w:qFormat/>
    <w:rsid w:val="00AA717C"/>
    <w:pPr>
      <w:numPr>
        <w:ilvl w:val="8"/>
        <w:numId w:val="39"/>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C7416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C74168"/>
  </w:style>
  <w:style w:type="character" w:customStyle="1" w:styleId="Heading2Char">
    <w:name w:val="Heading 2 Char"/>
    <w:basedOn w:val="DefaultParagraphFont"/>
    <w:link w:val="Heading2"/>
    <w:rsid w:val="00C74168"/>
    <w:rPr>
      <w:rFonts w:ascii="Times New Roman" w:eastAsia="Times New Roman" w:hAnsi="Times New Roman"/>
      <w:bCs/>
      <w:i/>
      <w:color w:val="000000"/>
      <w:sz w:val="24"/>
      <w:szCs w:val="26"/>
      <w:lang w:bidi="ar-SA"/>
    </w:rPr>
  </w:style>
  <w:style w:type="paragraph" w:styleId="Title">
    <w:name w:val="Title"/>
    <w:next w:val="Author"/>
    <w:link w:val="TitleChar"/>
    <w:qFormat/>
    <w:rsid w:val="00C74168"/>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C74168"/>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C74168"/>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C74168"/>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C74168"/>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C74168"/>
    <w:pPr>
      <w:spacing w:line="180" w:lineRule="atLeast"/>
    </w:pPr>
    <w:rPr>
      <w:sz w:val="16"/>
    </w:rPr>
  </w:style>
  <w:style w:type="character" w:customStyle="1" w:styleId="FootnoteTextChar">
    <w:name w:val="Footnote Text Char"/>
    <w:basedOn w:val="DefaultParagraphFont"/>
    <w:link w:val="FootnoteText"/>
    <w:semiHidden/>
    <w:rsid w:val="00C74168"/>
    <w:rPr>
      <w:rFonts w:ascii="Times New Roman" w:eastAsia="Calisto MT" w:hAnsi="Times New Roman"/>
      <w:sz w:val="16"/>
      <w:szCs w:val="24"/>
      <w:lang w:bidi="ar-SA"/>
    </w:rPr>
  </w:style>
  <w:style w:type="character" w:styleId="FootnoteReference">
    <w:name w:val="footnote reference"/>
    <w:basedOn w:val="DefaultParagraphFont"/>
    <w:semiHidden/>
    <w:rsid w:val="00C74168"/>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C74168"/>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C74168"/>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C74168"/>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C74168"/>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C74168"/>
    <w:pPr>
      <w:ind w:firstLine="0"/>
    </w:pPr>
  </w:style>
  <w:style w:type="paragraph" w:customStyle="1" w:styleId="Contact">
    <w:name w:val="Contact"/>
    <w:next w:val="Normal"/>
    <w:rsid w:val="00C74168"/>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C74168"/>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C74168"/>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C74168"/>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C74168"/>
    <w:pPr>
      <w:spacing w:after="120"/>
      <w:ind w:left="720" w:right="720" w:firstLine="0"/>
      <w:jc w:val="right"/>
    </w:pPr>
  </w:style>
  <w:style w:type="paragraph" w:customStyle="1" w:styleId="FigureTitle">
    <w:name w:val="Figure Title"/>
    <w:next w:val="Normal"/>
    <w:rsid w:val="00C74168"/>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C74168"/>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C74168"/>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C74168"/>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C74168"/>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C74168"/>
    <w:pPr>
      <w:numPr>
        <w:numId w:val="27"/>
      </w:numPr>
      <w:contextualSpacing/>
    </w:pPr>
  </w:style>
  <w:style w:type="paragraph" w:styleId="ListNumber">
    <w:name w:val="List Number"/>
    <w:basedOn w:val="Normal"/>
    <w:next w:val="Normal"/>
    <w:rsid w:val="00C74168"/>
    <w:pPr>
      <w:numPr>
        <w:numId w:val="28"/>
      </w:numPr>
      <w:tabs>
        <w:tab w:val="clear" w:pos="1195"/>
      </w:tabs>
      <w:spacing w:after="260"/>
      <w:ind w:left="1555" w:hanging="720"/>
    </w:pPr>
  </w:style>
  <w:style w:type="paragraph" w:customStyle="1" w:styleId="FigurePlaceholder">
    <w:name w:val="Figure Placeholder"/>
    <w:basedOn w:val="Normal"/>
    <w:next w:val="Normal"/>
    <w:qFormat/>
    <w:rsid w:val="00C74168"/>
    <w:pPr>
      <w:spacing w:before="260" w:after="260"/>
      <w:jc w:val="center"/>
    </w:pPr>
  </w:style>
  <w:style w:type="character" w:customStyle="1" w:styleId="TableFootLetter">
    <w:name w:val="Table FootLetter"/>
    <w:basedOn w:val="DefaultParagraphFont"/>
    <w:rsid w:val="00C74168"/>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C74168"/>
  </w:style>
  <w:style w:type="paragraph" w:customStyle="1" w:styleId="TablePlaceholder">
    <w:name w:val="Table Placeholder"/>
    <w:basedOn w:val="FigurePlaceholder"/>
    <w:next w:val="NoParagraphStyle"/>
    <w:qFormat/>
    <w:rsid w:val="00C74168"/>
  </w:style>
  <w:style w:type="paragraph" w:styleId="DocumentMap">
    <w:name w:val="Document Map"/>
    <w:basedOn w:val="Normal"/>
    <w:link w:val="DocumentMapChar"/>
    <w:uiPriority w:val="99"/>
    <w:semiHidden/>
    <w:rsid w:val="00C74168"/>
    <w:rPr>
      <w:rFonts w:ascii="Lucida Grande" w:hAnsi="Lucida Grande"/>
    </w:rPr>
  </w:style>
  <w:style w:type="character" w:customStyle="1" w:styleId="DocumentMapChar">
    <w:name w:val="Document Map Char"/>
    <w:basedOn w:val="DefaultParagraphFont"/>
    <w:link w:val="DocumentMap"/>
    <w:uiPriority w:val="99"/>
    <w:semiHidden/>
    <w:rsid w:val="00C74168"/>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C74168"/>
    <w:rPr>
      <w:sz w:val="18"/>
      <w:szCs w:val="18"/>
    </w:rPr>
  </w:style>
  <w:style w:type="paragraph" w:styleId="CommentText">
    <w:name w:val="annotation text"/>
    <w:basedOn w:val="Normal"/>
    <w:link w:val="CommentTextChar"/>
    <w:uiPriority w:val="99"/>
    <w:semiHidden/>
    <w:rsid w:val="00C74168"/>
  </w:style>
  <w:style w:type="character" w:customStyle="1" w:styleId="CommentTextChar">
    <w:name w:val="Comment Text Char"/>
    <w:basedOn w:val="DefaultParagraphFont"/>
    <w:link w:val="CommentText"/>
    <w:uiPriority w:val="99"/>
    <w:semiHidden/>
    <w:rsid w:val="00C74168"/>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C74168"/>
    <w:rPr>
      <w:b/>
      <w:bCs/>
      <w:sz w:val="20"/>
      <w:szCs w:val="20"/>
    </w:rPr>
  </w:style>
  <w:style w:type="character" w:customStyle="1" w:styleId="CommentSubjectChar">
    <w:name w:val="Comment Subject Char"/>
    <w:basedOn w:val="CommentTextChar"/>
    <w:link w:val="CommentSubject"/>
    <w:uiPriority w:val="99"/>
    <w:semiHidden/>
    <w:rsid w:val="00C74168"/>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C74168"/>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4168"/>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 w:type="numbering" w:customStyle="1" w:styleId="CurrentList1">
    <w:name w:val="Current List1"/>
    <w:rsid w:val="00AB12F9"/>
    <w:pPr>
      <w:numPr>
        <w:numId w:val="35"/>
      </w:numPr>
    </w:pPr>
  </w:style>
  <w:style w:type="numbering" w:customStyle="1" w:styleId="CurrentList2">
    <w:name w:val="Current List2"/>
    <w:rsid w:val="00AB12F9"/>
    <w:pPr>
      <w:numPr>
        <w:numId w:val="36"/>
      </w:numPr>
    </w:pPr>
  </w:style>
  <w:style w:type="numbering" w:customStyle="1" w:styleId="CurrentList3">
    <w:name w:val="Current List3"/>
    <w:rsid w:val="00AB12F9"/>
    <w:pPr>
      <w:numPr>
        <w:numId w:val="37"/>
      </w:numPr>
    </w:pPr>
  </w:style>
  <w:style w:type="numbering" w:customStyle="1" w:styleId="CurrentList4">
    <w:name w:val="Current List4"/>
    <w:rsid w:val="00AB12F9"/>
    <w:pPr>
      <w:numPr>
        <w:numId w:val="38"/>
      </w:numPr>
    </w:pPr>
  </w:style>
  <w:style w:type="numbering" w:styleId="ArticleSection">
    <w:name w:val="Outline List 3"/>
    <w:basedOn w:val="NoList"/>
    <w:uiPriority w:val="99"/>
    <w:semiHidden/>
    <w:unhideWhenUsed/>
    <w:rsid w:val="00AB12F9"/>
    <w:pPr>
      <w:numPr>
        <w:numId w:val="39"/>
      </w:numPr>
    </w:pPr>
  </w:style>
  <w:style w:type="numbering" w:customStyle="1" w:styleId="CurrentList5">
    <w:name w:val="Current List5"/>
    <w:rsid w:val="00AB12F9"/>
    <w:pPr>
      <w:numPr>
        <w:numId w:val="40"/>
      </w:numPr>
    </w:pPr>
  </w:style>
  <w:style w:type="numbering" w:customStyle="1" w:styleId="CurrentList6">
    <w:name w:val="Current List6"/>
    <w:rsid w:val="00AB12F9"/>
    <w:pPr>
      <w:numPr>
        <w:numId w:val="41"/>
      </w:numPr>
    </w:pPr>
  </w:style>
  <w:style w:type="numbering" w:customStyle="1" w:styleId="CurrentList7">
    <w:name w:val="Current List7"/>
    <w:rsid w:val="00AB12F9"/>
    <w:pPr>
      <w:numPr>
        <w:numId w:val="43"/>
      </w:numPr>
    </w:pPr>
  </w:style>
  <w:style w:type="numbering" w:customStyle="1" w:styleId="CurrentList8">
    <w:name w:val="Current List8"/>
    <w:rsid w:val="00AB12F9"/>
    <w:pPr>
      <w:numPr>
        <w:numId w:val="44"/>
      </w:numPr>
    </w:pPr>
  </w:style>
  <w:style w:type="paragraph" w:styleId="Bibliography">
    <w:name w:val="Bibliography"/>
    <w:basedOn w:val="Normal"/>
    <w:next w:val="Normal"/>
    <w:uiPriority w:val="37"/>
    <w:unhideWhenUsed/>
    <w:rsid w:val="00B9115F"/>
    <w:pPr>
      <w:spacing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3554</TotalTime>
  <Pages>27</Pages>
  <Words>10371</Words>
  <Characters>59119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59</cp:revision>
  <dcterms:created xsi:type="dcterms:W3CDTF">2023-12-09T16:13:00Z</dcterms:created>
  <dcterms:modified xsi:type="dcterms:W3CDTF">2024-03-02T12:27:00Z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zotero-version="6.0.33"&gt;&lt;session id="SFDNgD9x"/&gt;&lt;style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