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r>
        <w:t>Arnob L. Alam</w:t>
      </w:r>
    </w:p>
    <w:p w14:paraId="41D45335" w14:textId="208BA672" w:rsidR="00BB66F3" w:rsidRDefault="00BB66F3" w:rsidP="009561B4">
      <w:pPr>
        <w:pStyle w:val="Heading1"/>
        <w:numPr>
          <w:ilvl w:val="0"/>
          <w:numId w:val="33"/>
        </w:numPr>
      </w:pPr>
      <w:r>
        <w:t>Introduction</w:t>
      </w:r>
    </w:p>
    <w:p w14:paraId="797D49B7" w14:textId="267AC8D6"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 This study investigates the causal impact of this clearing mandate on</w:t>
      </w:r>
      <w:r w:rsidR="00E56F5E">
        <w:t xml:space="preserve"> prices</w:t>
      </w:r>
      <w:r w:rsidRPr="00246F90">
        <w:t xml:space="preserve">, volatility </w:t>
      </w:r>
      <w:r w:rsidR="00E56F5E">
        <w:t xml:space="preserve">and liquidity </w:t>
      </w:r>
      <w:r w:rsidRPr="00246F90">
        <w:t xml:space="preserve">in the interest rate (IR) swaps market, a major derivatives market used for hedging or speculating on interest rate risk. </w:t>
      </w:r>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r w:rsidR="00A81AE5">
        <w:t xml:space="preserve">liquidity and </w:t>
      </w:r>
      <w:r w:rsidRPr="000A41CF">
        <w:t>price volatility in the IR swaps market.</w:t>
      </w:r>
    </w:p>
    <w:p w14:paraId="76BA511D" w14:textId="2860945B"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develops the theory of pricing, price volatility and liquidity for interest rate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0" w:name="_Ref157718856"/>
      <w:r w:rsidRPr="009C0453">
        <w:lastRenderedPageBreak/>
        <w:t>Background</w:t>
      </w:r>
      <w:bookmarkEnd w:id="0"/>
    </w:p>
    <w:p w14:paraId="48EFF618" w14:textId="10335675" w:rsidR="0012752B" w:rsidRDefault="00981EFF" w:rsidP="009561B4">
      <w:pPr>
        <w:pStyle w:val="Heading2"/>
      </w:pPr>
      <w:r>
        <w:t>Interest Rate Swaps</w:t>
      </w:r>
    </w:p>
    <w:p w14:paraId="351EFEAC" w14:textId="240BBDA4" w:rsidR="007C099B" w:rsidRDefault="005A0C96" w:rsidP="00031822">
      <w:r w:rsidRPr="005A0C96">
        <w:t xml:space="preserve">Interest rate </w:t>
      </w:r>
      <w:r w:rsidR="0039392E">
        <w:t xml:space="preserve">(IR) </w:t>
      </w:r>
      <w:r w:rsidRPr="005A0C96">
        <w:t xml:space="preserve">swaps are financial derivatives used to hedge or speculate on interest rate movements. The </w:t>
      </w:r>
      <w:r w:rsidR="00EB53A2">
        <w:t xml:space="preserve">three </w:t>
      </w:r>
      <w:r w:rsidRPr="005A0C96">
        <w:t xml:space="preserve">most common types </w:t>
      </w:r>
      <w:r w:rsidR="0039392E">
        <w:t xml:space="preserve">of IR swaps </w:t>
      </w:r>
      <w:r w:rsidRPr="005A0C96">
        <w:t>include vanilla fixed-for-floating swaps, basis swaps, and cross-currency basis swaps. Vanilla fixed-for-floating swaps are the most prevalent</w:t>
      </w:r>
      <w:r w:rsidR="00446E24">
        <w:t>.</w:t>
      </w:r>
      <w:r w:rsidRPr="005A0C96">
        <w:t xml:space="preserve"> </w:t>
      </w:r>
      <w:r w:rsidR="00446E24">
        <w:t>In this type of swap,</w:t>
      </w:r>
      <w:r w:rsidRPr="005A0C96">
        <w:t xml:space="preserve"> one party exchanges fixed-rate coupon payments for floating-rate payments on a notional principal. </w:t>
      </w:r>
      <w:r w:rsidR="00DE61E9">
        <w:t xml:space="preserve"> </w:t>
      </w:r>
      <w:r w:rsidRPr="005A0C96">
        <w:t>Firms use these instruments to convert floating-rate risk to fixed-rate risk, and vice versa.</w:t>
      </w:r>
      <w:r w:rsidR="00EF6757">
        <w:t xml:space="preserve"> </w:t>
      </w:r>
      <w:r w:rsidR="000712B2">
        <w:t xml:space="preserve"> </w:t>
      </w:r>
      <w:r w:rsidR="00016AE6" w:rsidRPr="00016AE6">
        <w:t xml:space="preserve">For 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(this could be because firm A owns assets such as fixed-income securities while firm B owns assets that pay a variable rate such as variable rate notes,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16126F61" w14:textId="7D302318" w:rsidR="007E1203" w:rsidRDefault="00161437" w:rsidP="00D459AC">
      <w:r w:rsidRPr="00161437">
        <w:t>IR swaps are usually bespoke contracts, customizable to individual needs. As the largest over-the-counter 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D459AC">
        <w:instrText xml:space="preserve"> ADDIN ZOTERO_ITEM CSL_CITATION {"citationID":"Vd9kFWHG","properties":{"formattedCitation":"(von Kleist and Mallo 2011)","plainCitation":"(von Kleist and Mallo 2011)","noteIndex":0},"citationItems":[{"id":861,"uris":["http://zotero.org/users/1226582/items/MIV8DAGL"],"itemData":{"id":861,"type":"article-journal","container-title":"Bank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 Contracts are available in multiple currencies, with specific market conventions for each.</w:t>
      </w:r>
      <w:r w:rsidR="00E70534">
        <w:t xml:space="preserve">  </w:t>
      </w:r>
      <w:r w:rsidR="007E6044" w:rsidRPr="007E6044">
        <w:t>The market is dealer-dominated, with dealer-customer and dealer-dealer trades accounting for 80% of notional value</w:t>
      </w:r>
      <w:r w:rsidR="00D459AC">
        <w:t xml:space="preserve"> </w:t>
      </w:r>
      <w:r w:rsidR="00D459AC">
        <w:fldChar w:fldCharType="begin"/>
      </w:r>
      <w:r w:rsidR="00D459AC">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D459AC">
        <w:t xml:space="preserve">  Larger dealers might be able to reduce search </w:t>
      </w:r>
      <w:r w:rsidR="00C64F72">
        <w:t xml:space="preserve">costs (easily finding counterparties to take the opposite side of a trade, given their large client base) </w:t>
      </w:r>
      <w:r w:rsidR="00D459AC">
        <w:t>and transactions costs</w:t>
      </w:r>
      <w:r w:rsidR="00C64F72">
        <w:t xml:space="preserve"> (economizing over administrative and warehousing costs)</w:t>
      </w:r>
      <w:r w:rsidR="00D459AC">
        <w:t xml:space="preserve">, thereby reducing premia.  However, because of their </w:t>
      </w:r>
      <w:r w:rsidR="00D459AC">
        <w:lastRenderedPageBreak/>
        <w:t xml:space="preserve">dominant market position, they might also be able charge </w:t>
      </w:r>
      <w:r w:rsidR="00C64F72">
        <w:t>above their marginal cost. The failure of a large dealer (or a dealer’s major counterparty) could also drastically reduce liquidity in the system and increase transactions costs.</w:t>
      </w:r>
    </w:p>
    <w:p w14:paraId="4CDB6FA5" w14:textId="1A2BA8EC" w:rsidR="00DC42EB" w:rsidRDefault="00DC42EB" w:rsidP="00AB12F9">
      <w:pPr>
        <w:pStyle w:val="Heading2"/>
      </w:pPr>
      <w:r>
        <w:t>Central Clearing</w:t>
      </w:r>
    </w:p>
    <w:p w14:paraId="531EF8A7" w14:textId="582A3D64" w:rsidR="002C58F6" w:rsidRDefault="00377D40" w:rsidP="00B15828">
      <w:r w:rsidRPr="00377D40">
        <w:t xml:space="preserve">When a swap is cleared, the contract between the two </w:t>
      </w:r>
      <w:r w:rsidR="005812DC">
        <w:t xml:space="preserve">initial </w:t>
      </w:r>
      <w:r w:rsidRPr="00377D40">
        <w:t xml:space="preserve">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 or DCO).</w:t>
      </w:r>
      <w:r w:rsidR="00877DDF">
        <w:t xml:space="preserve">  If one party fails to 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counterparty. </w:t>
      </w:r>
      <w:r w:rsidR="00C90716">
        <w:t>When counterparties clear their trade through a CCP, they must put up collateral</w:t>
      </w:r>
      <w:r w:rsidR="007E6980">
        <w:t xml:space="preserve"> and </w:t>
      </w:r>
      <w:r w:rsidR="00C90716">
        <w:t xml:space="preserve">contribute to a default fund.  The CCP also has equity (CCP capital) and access to other lines of credit.  </w:t>
      </w:r>
      <w:r w:rsidR="00D8044D">
        <w:t xml:space="preserve">The combination of these resources (collateral, default fund, CCP capital and other lines of credit) make it unlikely that the failure of one counterparty would drastically affect the </w:t>
      </w:r>
      <w:r w:rsidR="00B15828">
        <w:t xml:space="preserve">whole </w:t>
      </w:r>
      <w:r w:rsidR="00D8044D">
        <w:t xml:space="preserve">market. </w:t>
      </w:r>
      <w:r w:rsidR="00B15828">
        <w:t>Also, i</w:t>
      </w:r>
      <w:r w:rsidR="00C64F72">
        <w:t>n addition</w:t>
      </w:r>
      <w:r w:rsidR="00D8044D">
        <w:t xml:space="preserve"> to these financial resources</w:t>
      </w:r>
      <w:r w:rsidR="00C64F72">
        <w:t>, c</w:t>
      </w:r>
      <w:r w:rsidRPr="00377D40">
        <w:t>learinghouses</w:t>
      </w:r>
      <w:r w:rsidR="007475B0">
        <w:t xml:space="preserve"> are</w:t>
      </w:r>
      <w:r w:rsidRPr="00377D40">
        <w:t xml:space="preserve"> </w:t>
      </w:r>
      <w:r w:rsidR="00C64F72">
        <w:t xml:space="preserve">generally </w:t>
      </w:r>
      <w:r w:rsidRPr="00377D40">
        <w:t xml:space="preserve">large financial institutions </w:t>
      </w:r>
      <w:r w:rsidR="00C106ED">
        <w:t>that</w:t>
      </w:r>
      <w:r w:rsidR="007475B0">
        <w:t xml:space="preserve"> are supposed to exercise </w:t>
      </w:r>
      <w:r w:rsidRPr="00377D40">
        <w:t>prudent risk control measures</w:t>
      </w:r>
      <w:r w:rsidR="00D8044D">
        <w:t xml:space="preserve"> </w:t>
      </w:r>
      <w:r w:rsidR="002F4ED0">
        <w:t>such as</w:t>
      </w:r>
      <w:r w:rsidR="00D8044D">
        <w:t xml:space="preserve"> monitoring members trading positions and liquidating distressed </w:t>
      </w:r>
      <w:r w:rsidR="002F4ED0">
        <w:t xml:space="preserve">assets </w:t>
      </w:r>
      <w:r w:rsidR="00D8044D">
        <w:t>in an orderly fashion</w:t>
      </w:r>
      <w:r w:rsidRPr="00377D40">
        <w:t xml:space="preserve">. </w:t>
      </w:r>
      <w:r w:rsidR="00B15828">
        <w:t xml:space="preserve">Clearing can also reduce demand for collateral through a practice called netting. </w:t>
      </w:r>
      <w:r w:rsidR="002F4ED0">
        <w:t>There are two types of netting practices common in the industry.  Cross-product n</w:t>
      </w:r>
      <w:r w:rsidR="00B15828">
        <w:t xml:space="preserve">etting </w:t>
      </w:r>
      <w:r w:rsidR="002F4ED0">
        <w:t xml:space="preserve">involves netting </w:t>
      </w:r>
      <w:r w:rsidR="00B15828">
        <w:t xml:space="preserve">across </w:t>
      </w:r>
      <w:r w:rsidR="002F4ED0">
        <w:t xml:space="preserve">different types of derivatives </w:t>
      </w:r>
      <w:r w:rsidR="00B15828">
        <w:t xml:space="preserve">products. For example, if firm A owes the CCP $10 million in collateral for IR swaps, but the CCP owes firm A $8 million for CD swaps, then firm A can just pay the CCP $2 million in net collateral.  </w:t>
      </w:r>
      <w:r w:rsidR="002F4ED0">
        <w:t>Multilateral n</w:t>
      </w:r>
      <w:r w:rsidR="00B15828">
        <w:t xml:space="preserve">etting </w:t>
      </w:r>
      <w:r w:rsidR="002F4ED0">
        <w:t>involves netting payments across multiple firms</w:t>
      </w:r>
      <w:r w:rsidR="00B15828">
        <w:t xml:space="preserve">. For example, consider the following series of debts: firm A owes firm B $100 million and firm C $200 million; firm B owes firm A $50 million and firm C $150 million; firm C owes firm A $100 million and firm B $100 million. Without multilateral netting, the following payments would need to be </w:t>
      </w:r>
      <w:proofErr w:type="gramStart"/>
      <w:r w:rsidR="002F4ED0">
        <w:t>made:</w:t>
      </w:r>
      <w:proofErr w:type="gramEnd"/>
      <w:r w:rsidR="00B15828">
        <w:t xml:space="preserve"> </w:t>
      </w:r>
      <w:r w:rsidR="00782C1A">
        <w:t>firm A would pay firm B ($100 - $50) = $50 million and firm C ($200 - $100) = $100 million; firm B would pay firm C ($150 - $100) = $50 million. The total collateral demand would be $200 million. With multilateral netting, firm A would pay the CCP $150 million and the CCP would pay firm C $150 million (while firm B would not make any payments</w:t>
      </w:r>
      <w:r w:rsidR="002F4ED0">
        <w:t xml:space="preserve"> at all</w:t>
      </w:r>
      <w:r w:rsidR="00782C1A">
        <w:t xml:space="preserve">). The total collateral demand would be $150 million. </w:t>
      </w:r>
      <w:r w:rsidR="00B15828">
        <w:t>Thus, c</w:t>
      </w:r>
      <w:r w:rsidRPr="00377D40">
        <w:t xml:space="preserve">learing transforms </w:t>
      </w:r>
      <w:r w:rsidR="00D8044D">
        <w:t xml:space="preserve">derivatives </w:t>
      </w:r>
      <w:r w:rsidRPr="00377D40">
        <w:t>trading by mutualizing counterparty risk</w:t>
      </w:r>
      <w:r w:rsidR="00D8044D">
        <w:t xml:space="preserve"> </w:t>
      </w:r>
      <w:r w:rsidRPr="00377D40">
        <w:t xml:space="preserve">and potentially reducing volatility </w:t>
      </w:r>
      <w:r w:rsidR="00782C1A">
        <w:t xml:space="preserve">by reducing collateral demand and preventing </w:t>
      </w:r>
      <w:r w:rsidR="00D8044D">
        <w:t>fire</w:t>
      </w:r>
      <w:r w:rsidR="00B15828">
        <w:t xml:space="preserve"> </w:t>
      </w:r>
      <w:r w:rsidR="00D8044D">
        <w:t>sales of distressed assets</w:t>
      </w:r>
      <w:r w:rsidRPr="00377D40">
        <w:t>.</w:t>
      </w:r>
    </w:p>
    <w:p w14:paraId="3D23A101" w14:textId="065B74DA" w:rsidR="00DC42EB" w:rsidRDefault="0025043C" w:rsidP="00A8682C">
      <w:r w:rsidRPr="0025043C">
        <w:lastRenderedPageBreak/>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mandating central clearing of derivatives. Mandated clearing may have macro and micro effects on the 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78A0E963" w:rsidR="00BF6365" w:rsidRDefault="0086750E" w:rsidP="00031822">
      <w:r w:rsidRPr="0086750E">
        <w:t xml:space="preserve">Following the financial crisis, Congress passed the DFA to enhance the US financial system's reliability. Since </w:t>
      </w:r>
      <w:proofErr w:type="gramStart"/>
      <w:r w:rsidR="00C519BF">
        <w:t>over-the-counter</w:t>
      </w:r>
      <w:proofErr w:type="gramEnd"/>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5A00BB6A"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the Securities and Exchange Commission (SEC)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381A4D">
        <w:t xml:space="preserve">,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1F4FDEDF" w:rsidR="000C5086" w:rsidRDefault="000C5086" w:rsidP="00031822">
      <w:pPr>
        <w:pStyle w:val="Caption"/>
        <w:keepNext/>
      </w:pPr>
      <w:bookmarkStart w:id="1" w:name="_Ref149505424"/>
      <w:r>
        <w:lastRenderedPageBreak/>
        <w:t xml:space="preserve">Table </w:t>
      </w:r>
      <w:r>
        <w:fldChar w:fldCharType="begin"/>
      </w:r>
      <w:r>
        <w:instrText xml:space="preserve"> SEQ Table \* ARABIC </w:instrText>
      </w:r>
      <w:r>
        <w:fldChar w:fldCharType="separate"/>
      </w:r>
      <w:r w:rsidR="004050F2">
        <w:rPr>
          <w:noProof/>
        </w:rPr>
        <w:t>1</w:t>
      </w:r>
      <w:r>
        <w:rPr>
          <w:noProof/>
        </w:rPr>
        <w:fldChar w:fldCharType="end"/>
      </w:r>
      <w:bookmarkEnd w:id="1"/>
      <w:r>
        <w:rPr>
          <w:noProof/>
        </w:rPr>
        <w:t xml:space="preserve"> Major Dodd-Frank Act Rulemaking Areas</w:t>
      </w:r>
    </w:p>
    <w:tbl>
      <w:tblPr>
        <w:tblStyle w:val="GridTable1Light"/>
        <w:tblW w:w="0" w:type="auto"/>
        <w:tblLook w:val="06A0" w:firstRow="1" w:lastRow="0" w:firstColumn="1" w:lastColumn="0" w:noHBand="1" w:noVBand="1"/>
      </w:tblPr>
      <w:tblGrid>
        <w:gridCol w:w="3724"/>
        <w:gridCol w:w="5626"/>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pPr>
              <w:spacing w:line="240" w:lineRule="auto"/>
              <w:jc w:val="left"/>
            </w:pPr>
            <w:r>
              <w:t>Rulemaking Area</w:t>
            </w:r>
          </w:p>
        </w:tc>
        <w:tc>
          <w:tcPr>
            <w:tcW w:w="0" w:type="auto"/>
          </w:tcPr>
          <w:p w14:paraId="40B6BE9D" w14:textId="574B7AB7" w:rsidR="0072700E" w:rsidRDefault="0040630A" w:rsidP="00381A4D">
            <w:pPr>
              <w:spacing w:line="240" w:lineRule="auto"/>
              <w:jc w:val="left"/>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pPr>
              <w:spacing w:line="240" w:lineRule="auto"/>
              <w:jc w:val="left"/>
            </w:pPr>
            <w:r>
              <w:t>Swaps Dealers and Major Swaps Participants</w:t>
            </w:r>
          </w:p>
        </w:tc>
        <w:tc>
          <w:tcPr>
            <w:tcW w:w="0" w:type="auto"/>
          </w:tcPr>
          <w:p w14:paraId="1CC1D0A4"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pPr>
              <w:spacing w:line="240" w:lineRule="auto"/>
              <w:jc w:val="left"/>
            </w:pPr>
            <w:r>
              <w:t>Data</w:t>
            </w:r>
            <w:r w:rsidR="009A69FA">
              <w:t xml:space="preserve"> Requirements</w:t>
            </w:r>
          </w:p>
        </w:tc>
        <w:tc>
          <w:tcPr>
            <w:tcW w:w="0" w:type="auto"/>
          </w:tcPr>
          <w:p w14:paraId="73448B7D" w14:textId="5BAD1CEA" w:rsidR="0072700E" w:rsidRDefault="0075597E"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r w:rsidR="00F6394F">
              <w:t>r</w:t>
            </w:r>
            <w:r>
              <w:t>equirements</w:t>
            </w:r>
          </w:p>
          <w:p w14:paraId="2D37A9FF" w14:textId="77777777" w:rsidR="006C0D52"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pPr>
              <w:spacing w:line="240" w:lineRule="auto"/>
              <w:jc w:val="left"/>
            </w:pPr>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spacing w:line="240" w:lineRule="auto"/>
              <w:jc w:val="left"/>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pPr>
              <w:spacing w:line="240" w:lineRule="auto"/>
              <w:jc w:val="left"/>
            </w:pPr>
            <w:r>
              <w:t>Trading</w:t>
            </w:r>
            <w:r w:rsidR="009A69FA">
              <w:t xml:space="preserve"> Requirements</w:t>
            </w:r>
          </w:p>
        </w:tc>
        <w:tc>
          <w:tcPr>
            <w:tcW w:w="0" w:type="auto"/>
          </w:tcPr>
          <w:p w14:paraId="1E12FD34" w14:textId="4800AE27" w:rsidR="0072700E" w:rsidRDefault="00EB7DDA"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pPr>
              <w:spacing w:line="240" w:lineRule="auto"/>
              <w:jc w:val="left"/>
            </w:pPr>
            <w:r>
              <w:t>Position Limits</w:t>
            </w:r>
          </w:p>
        </w:tc>
        <w:tc>
          <w:tcPr>
            <w:tcW w:w="0" w:type="auto"/>
          </w:tcPr>
          <w:p w14:paraId="28954981" w14:textId="0C0ED67E"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pPr>
              <w:spacing w:line="240" w:lineRule="auto"/>
              <w:jc w:val="left"/>
            </w:pPr>
            <w:r>
              <w:t>Enforcement</w:t>
            </w:r>
          </w:p>
        </w:tc>
        <w:tc>
          <w:tcPr>
            <w:tcW w:w="0" w:type="auto"/>
          </w:tcPr>
          <w:p w14:paraId="6C389A93" w14:textId="77777777" w:rsidR="0072700E"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pPr>
              <w:spacing w:line="240" w:lineRule="auto"/>
              <w:jc w:val="left"/>
            </w:pPr>
            <w:r>
              <w:t>Other</w:t>
            </w:r>
          </w:p>
        </w:tc>
        <w:tc>
          <w:tcPr>
            <w:tcW w:w="0" w:type="auto"/>
          </w:tcPr>
          <w:p w14:paraId="5DAF0B9E" w14:textId="77777777" w:rsidR="0072700E"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6D9CF4B1"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424910BC" w:rsidR="000C5086" w:rsidRDefault="000C5086" w:rsidP="00031822">
      <w:pPr>
        <w:pStyle w:val="Caption"/>
        <w:keepNext/>
      </w:pPr>
      <w:bookmarkStart w:id="2" w:name="_Ref149505461"/>
      <w:r>
        <w:lastRenderedPageBreak/>
        <w:t xml:space="preserve">Table </w:t>
      </w:r>
      <w:r>
        <w:fldChar w:fldCharType="begin"/>
      </w:r>
      <w:r>
        <w:instrText xml:space="preserve"> SEQ Table \* ARABIC </w:instrText>
      </w:r>
      <w:r>
        <w:fldChar w:fldCharType="separate"/>
      </w:r>
      <w:r w:rsidR="004050F2">
        <w:rPr>
          <w:noProof/>
        </w:rPr>
        <w:t>2</w:t>
      </w:r>
      <w:r>
        <w:rPr>
          <w:noProof/>
        </w:rPr>
        <w:fldChar w:fldCharType="end"/>
      </w:r>
      <w:bookmarkEnd w:id="2"/>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pPr>
              <w:spacing w:line="240" w:lineRule="auto"/>
              <w:jc w:val="left"/>
            </w:pPr>
            <w:r>
              <w:t>Jurisdiction</w:t>
            </w:r>
          </w:p>
        </w:tc>
        <w:tc>
          <w:tcPr>
            <w:tcW w:w="3629" w:type="pct"/>
          </w:tcPr>
          <w:p w14:paraId="29C692E2" w14:textId="438BE187" w:rsidR="00577089" w:rsidRDefault="000F0F21" w:rsidP="0010299E">
            <w:pPr>
              <w:spacing w:line="240" w:lineRule="auto"/>
              <w:jc w:val="left"/>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pPr>
              <w:spacing w:line="240" w:lineRule="auto"/>
              <w:jc w:val="left"/>
            </w:pPr>
            <w:r>
              <w:t>North America</w:t>
            </w:r>
          </w:p>
        </w:tc>
        <w:tc>
          <w:tcPr>
            <w:tcW w:w="3629" w:type="pct"/>
          </w:tcPr>
          <w:p w14:paraId="4F3D0F54" w14:textId="267C561C"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EUR and JPY LIBOR </w:t>
            </w:r>
            <w:r w:rsidR="008C6CD4">
              <w:t>by September 2013</w:t>
            </w:r>
            <w:r>
              <w:t>.</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pPr>
              <w:spacing w:line="240" w:lineRule="auto"/>
              <w:jc w:val="left"/>
            </w:pPr>
            <w:r>
              <w:t>Europe</w:t>
            </w:r>
          </w:p>
        </w:tc>
        <w:tc>
          <w:tcPr>
            <w:tcW w:w="3629" w:type="pct"/>
          </w:tcPr>
          <w:p w14:paraId="69EDAE43" w14:textId="2929F1F3" w:rsidR="00577089" w:rsidRDefault="00622956"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passed in 2012</w:t>
            </w:r>
            <w:r w:rsidR="0010299E">
              <w:t xml:space="preserve"> requiring clearing of IR swaps contracts.</w:t>
            </w:r>
            <w:r w:rsidR="00781E75">
              <w:t xml:space="preserve">  Regulations come into effect in March 2013.</w:t>
            </w:r>
          </w:p>
          <w:p w14:paraId="25F2959D" w14:textId="6CAFA258" w:rsidR="00C519BF" w:rsidRDefault="00781E75"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pPr>
              <w:spacing w:line="240" w:lineRule="auto"/>
              <w:jc w:val="left"/>
            </w:pPr>
            <w:r>
              <w:t>Asia</w:t>
            </w:r>
          </w:p>
        </w:tc>
        <w:tc>
          <w:tcPr>
            <w:tcW w:w="3629" w:type="pct"/>
          </w:tcPr>
          <w:p w14:paraId="663D319C" w14:textId="684126DA" w:rsidR="00577089" w:rsidRDefault="0010299E"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JFSA </w:t>
            </w:r>
            <w:r w:rsidR="001655FC">
              <w:t>requires yen denominated IR swaps referencing LIBOR to be cleared by end of 2012.</w:t>
            </w:r>
          </w:p>
          <w:p w14:paraId="431C6759" w14:textId="602ED0DF" w:rsidR="001655FC" w:rsidRDefault="000A7150"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 xml:space="preserve">SFC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0C969C89" w14:textId="0201350B" w:rsidR="00502B0A" w:rsidRDefault="00502B0A" w:rsidP="0010299E">
            <w:pPr>
              <w:pStyle w:val="ListParagraph"/>
              <w:numPr>
                <w:ilvl w:val="0"/>
                <w:numId w:val="9"/>
              </w:numPr>
              <w:spacing w:line="240" w:lineRule="auto"/>
              <w:jc w:val="left"/>
              <w:cnfStyle w:val="000000000000" w:firstRow="0" w:lastRow="0" w:firstColumn="0" w:lastColumn="0" w:oddVBand="0" w:evenVBand="0" w:oddHBand="0" w:evenHBand="0" w:firstRowFirstColumn="0" w:firstRowLastColumn="0" w:lastRowFirstColumn="0" w:lastRowLastColumn="0"/>
            </w:pPr>
            <w:r>
              <w:t>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pPr>
              <w:spacing w:line="240" w:lineRule="auto"/>
              <w:jc w:val="left"/>
            </w:pPr>
            <w:r>
              <w:t>Australia</w:t>
            </w:r>
          </w:p>
        </w:tc>
        <w:tc>
          <w:tcPr>
            <w:tcW w:w="3629" w:type="pct"/>
          </w:tcPr>
          <w:p w14:paraId="272F3547" w14:textId="78E38DAF" w:rsidR="00577089" w:rsidRDefault="00BD12A4" w:rsidP="0010299E">
            <w:pPr>
              <w:pStyle w:val="ListParagraph"/>
              <w:numPr>
                <w:ilvl w:val="0"/>
                <w:numId w:val="10"/>
              </w:numPr>
              <w:spacing w:line="240" w:lineRule="auto"/>
              <w:jc w:val="left"/>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3" w:name="_Ref157719057"/>
      <w:r w:rsidRPr="0027378C">
        <w:t>Theory</w:t>
      </w:r>
      <w:bookmarkEnd w:id="3"/>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4" w:name="_Ref154527935"/>
      <w:r>
        <w:t>W</w:t>
      </w:r>
      <w:r w:rsidR="0027378C">
        <w:t>ithout credit risks</w:t>
      </w:r>
      <w:bookmarkEnd w:id="4"/>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w:lastRenderedPageBreak/>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77777777" w:rsidR="0027378C" w:rsidRDefault="0027378C" w:rsidP="00031822">
      <w:pPr>
        <w:rPr>
          <w:rFonts w:eastAsiaTheme="minorEastAsia"/>
        </w:rPr>
      </w:pPr>
      <w:r>
        <w:t>The net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734B52CB" w:rsidR="0034098A" w:rsidRDefault="0027378C" w:rsidP="002F4ED0">
      <w:r>
        <w:t xml:space="preserve">Floating rate payments are unknown in advance but are usually determined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assumed payments,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The interest rate swap market is dominated by a handful of substantial swap dealers (SDs) and Major Swap Participants (MSPs) rather than many atomistic market participants. These SDs and MSPs offer buy and sell quotes for swaps, potentially finding other participants to balance their swap exposures. Figure 1 depicts a hypothetical network model of such a market.</w:t>
      </w:r>
      <w:r w:rsidRPr="008719B6">
        <w:rPr>
          <w:noProof/>
        </w:rPr>
        <w:drawing>
          <wp:inline distT="0" distB="0" distL="0" distR="0" wp14:anchorId="1311FECF" wp14:editId="2E616550">
            <wp:extent cx="4169434" cy="165530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a:blip r:embed="rId8"/>
                    <a:stretch>
                      <a:fillRect/>
                    </a:stretch>
                  </pic:blipFill>
                  <pic:spPr>
                    <a:xfrm>
                      <a:off x="0" y="0"/>
                      <a:ext cx="4209672" cy="1671276"/>
                    </a:xfrm>
                    <a:prstGeom prst="rect">
                      <a:avLst/>
                    </a:prstGeom>
                  </pic:spPr>
                </pic:pic>
              </a:graphicData>
            </a:graphic>
          </wp:inline>
        </w:drawing>
      </w:r>
    </w:p>
    <w:p w14:paraId="66A49EA7" w14:textId="00CCB97A"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w:t>
      </w:r>
      <w:r w:rsidR="0027378C">
        <w:lastRenderedPageBreak/>
        <w:t xml:space="preserve">markets </w:t>
      </w:r>
      <w:r w:rsidR="00143C59">
        <w:t xml:space="preserve">trading </w:t>
      </w:r>
      <w:r>
        <w:t xml:space="preserve">(not shown) </w:t>
      </w:r>
      <w:r w:rsidR="0027378C">
        <w:t>for cash flow or risk management</w:t>
      </w:r>
      <w:r>
        <w:t xml:space="preserve"> purposes.</w:t>
      </w:r>
      <w:r w:rsidR="0027378C">
        <w:t xml:space="preserve"> </w:t>
      </w:r>
      <w:r>
        <w:t xml:space="preserve"> C</w:t>
      </w:r>
      <w:r w:rsidR="0027378C">
        <w:t xml:space="preserve">ustomers might 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68AC16EF" w14:textId="77777777" w:rsidR="00AB7061" w:rsidRDefault="0027378C" w:rsidP="00031822">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p>
    <w:p w14:paraId="54674BC0" w14:textId="2E64B623" w:rsidR="0027378C" w:rsidRDefault="0027378C" w:rsidP="00031822">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5AC8A803"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f a</w:t>
      </w:r>
      <w:r w:rsidR="0027378C">
        <w:t xml:space="preserve"> counterparty </w:t>
      </w:r>
      <w:r>
        <w:t>defaults,</w:t>
      </w:r>
      <w:r w:rsidR="00AB7061">
        <w:t xml:space="preserve"> </w:t>
      </w:r>
      <w:r w:rsidR="00876F18">
        <w:t>this means that the party also does not have to make its obligated payments, which would increase the value of the contact, called a Debit Value Adjustment [DBA]).</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lastRenderedPageBreak/>
        <w:drawing>
          <wp:inline distT="0" distB="0" distL="0" distR="0" wp14:anchorId="3E745CB0" wp14:editId="1F4C9F25">
            <wp:extent cx="5193102" cy="2286407"/>
            <wp:effectExtent l="0" t="0" r="1270" b="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a:blip r:embed="rId9"/>
                    <a:stretch>
                      <a:fillRect/>
                    </a:stretch>
                  </pic:blipFill>
                  <pic:spPr>
                    <a:xfrm>
                      <a:off x="0" y="0"/>
                      <a:ext cx="5282130" cy="2325604"/>
                    </a:xfrm>
                    <a:prstGeom prst="rect">
                      <a:avLst/>
                    </a:prstGeom>
                  </pic:spPr>
                </pic:pic>
              </a:graphicData>
            </a:graphic>
          </wp:inline>
        </w:drawing>
      </w:r>
    </w:p>
    <w:p w14:paraId="075F445A" w14:textId="6C42BE0B" w:rsidR="00AA5AFB" w:rsidRDefault="00AA5AFB" w:rsidP="00AA5AFB">
      <w:r>
        <w:t xml:space="preserve">If </w:t>
      </w:r>
      <w:r w:rsidR="0034098A">
        <w:t>clearinghouses can</w:t>
      </w:r>
      <w:r>
        <w:t xml:space="preserve"> </w:t>
      </w:r>
      <w:r w:rsidR="0034098A">
        <w:t>reduce or eliminate counterparty risk, swaps values should be closer to the risk-free case rather than the case with counterparty risk.  Even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454EFC3A" w:rsidR="004F43A3" w:rsidRDefault="004F43A3" w:rsidP="00031822">
      <w:r>
        <w:t xml:space="preserve">I adapt the model from </w:t>
      </w:r>
      <w:proofErr w:type="spellStart"/>
      <w:r>
        <w:t>Biais</w:t>
      </w:r>
      <w:proofErr w:type="spellEnd"/>
      <w:r>
        <w:t xml:space="preserve">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7BB3AFB"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w:t>
      </w:r>
      <w:r>
        <w:rPr>
          <w:rFonts w:eastAsiaTheme="minorEastAsia"/>
        </w:rPr>
        <w:lastRenderedPageBreak/>
        <w:t xml:space="preserve">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0085EDFD"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4546F3ED"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25F6AD85" w:rsidR="004F43A3" w:rsidRDefault="00781E75" w:rsidP="00031822">
      <w:r>
        <w:t xml:space="preserve">In the </w:t>
      </w:r>
      <w:r w:rsidR="004F43A3">
        <w:t xml:space="preserve">case of </w:t>
      </w:r>
      <w:r w:rsidR="005C11C0">
        <w:t xml:space="preserve">the reservation quote for </w:t>
      </w:r>
      <w:r w:rsidR="004F43A3">
        <w:t>dealer 1, competing over a market buy order.  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4EC83E9B"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531BB510"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218A799"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0B1B5422" w:rsidR="004F43A3" w:rsidRDefault="005C11C0" w:rsidP="00031822">
      <w:pPr>
        <w:rPr>
          <w:rFonts w:eastAsiaTheme="minorEastAsia"/>
        </w:rPr>
      </w:pPr>
      <w:r>
        <w:rPr>
          <w:rFonts w:eastAsiaTheme="minorEastAsia"/>
        </w:rPr>
        <w:lastRenderedPageBreak/>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RHS of the above equation 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77777777"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514BB9A0"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7777777"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7777777" w:rsidR="004F43A3" w:rsidRDefault="004F43A3" w:rsidP="00031822">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p>
    <w:p w14:paraId="0779E071" w14:textId="77777777" w:rsidR="004F43A3" w:rsidRDefault="004F43A3" w:rsidP="00031822">
      <w:r>
        <w:t>The expression for the price chance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r w:rsidRPr="00E45497">
        <w:rPr>
          <w:vertAlign w:val="superscript"/>
        </w:rPr>
        <w:t>rd</w:t>
      </w:r>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5" w:name="_Ref157719088"/>
      <w:r>
        <w:t>Identification Strategy</w:t>
      </w:r>
      <w:bookmarkEnd w:id="5"/>
    </w:p>
    <w:p w14:paraId="0FBD61B0" w14:textId="129E3EB6" w:rsidR="00CD17A1" w:rsidRPr="00CD17A1" w:rsidRDefault="00CD17A1" w:rsidP="00AB12F9">
      <w:pPr>
        <w:pStyle w:val="Heading2"/>
      </w:pPr>
      <w:r>
        <w:t>Pricing</w:t>
      </w:r>
    </w:p>
    <w:p w14:paraId="23FD4740" w14:textId="364FD215" w:rsidR="00EF140B" w:rsidRDefault="00EF140B" w:rsidP="00031822">
      <w:r>
        <w:t xml:space="preserve">I investigate the impact of the central clearing mandate on the interest rate swap prices by comparing the premium (the difference between the </w:t>
      </w:r>
      <w:r w:rsidR="008335A2">
        <w:t xml:space="preserve">counterparty riskless rate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actual quoted fixed rate) on USD denominated swaps versus CAD denominated swaps before and after the mandate. To achieve this, </w:t>
      </w:r>
      <w:r w:rsidR="00625ECF">
        <w:t>I</w:t>
      </w:r>
      <w:r>
        <w:t xml:space="preserve"> employ a difference-in-differences (</w:t>
      </w:r>
      <w:proofErr w:type="spellStart"/>
      <w:r>
        <w:t>DiD</w:t>
      </w:r>
      <w:proofErr w:type="spellEnd"/>
      <w:r>
        <w:t xml:space="preserve">) identification strategy, which allows </w:t>
      </w:r>
      <w:r w:rsidR="00625ECF">
        <w:t>me</w:t>
      </w:r>
      <w:r>
        <w:t xml:space="preserve"> to isolate the causal effect of the mandate on the swap premiums by exploiting the variation in the timing of the policy implementation.</w:t>
      </w:r>
    </w:p>
    <w:p w14:paraId="6300DB0E" w14:textId="6A02CD92" w:rsidR="00EF140B" w:rsidRDefault="00625ECF" w:rsidP="008335A2">
      <w:r>
        <w:t xml:space="preserve">I </w:t>
      </w:r>
      <w:r w:rsidR="00EF140B">
        <w:t xml:space="preserve">begin by selecting a sample of interest rate swaps denominated in both USD and CAD with similar characteristics, such as contract maturity, </w:t>
      </w:r>
      <w:r w:rsidR="008335A2">
        <w:t xml:space="preserve">trade date and time, and notional value </w:t>
      </w:r>
      <w:r w:rsidR="00EF140B">
        <w:t xml:space="preserve">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6909CB7B" w:rsidR="00EF140B" w:rsidRDefault="00EF140B" w:rsidP="00031822">
      <w:r>
        <w:lastRenderedPageBreak/>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applying different sample selection criteria, and employing alternative econometric techniques, such as propensity score matching and synthetic control methods.</w:t>
      </w:r>
    </w:p>
    <w:p w14:paraId="05F862AB" w14:textId="75CDFCE9" w:rsidR="00CF1F18" w:rsidRDefault="00CF1F18" w:rsidP="00AB12F9">
      <w:pPr>
        <w:pStyle w:val="Heading2"/>
      </w:pPr>
      <w:r>
        <w:t>Liquidity</w:t>
      </w:r>
    </w:p>
    <w:p w14:paraId="2E09D527" w14:textId="239CD6BD" w:rsidR="00CF1F18" w:rsidRDefault="00CF1F18" w:rsidP="00031822">
      <w:r>
        <w:t>Identification of liquidity strategy goes here.</w:t>
      </w:r>
    </w:p>
    <w:p w14:paraId="6BB52863" w14:textId="760D00C0" w:rsidR="005A5A35" w:rsidRDefault="005A5A35" w:rsidP="00AB12F9">
      <w:pPr>
        <w:pStyle w:val="Heading2"/>
      </w:pPr>
      <w:r>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6" w:name="_Ref157719326"/>
      <w:r>
        <w:t>Data</w:t>
      </w:r>
      <w:bookmarkEnd w:id="6"/>
    </w:p>
    <w:p w14:paraId="02FB73A2" w14:textId="31C3F567" w:rsidR="008A79F1" w:rsidRDefault="00935E65" w:rsidP="00031822">
      <w:r w:rsidRPr="00935E65">
        <w:t>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while Phase 3 covered all remaining entities</w:t>
      </w:r>
      <w:r w:rsidR="00544B00">
        <w:t xml:space="preserve"> (</w:t>
      </w:r>
      <w:r w:rsidRPr="00935E65">
        <w:t>unless exempted</w:t>
      </w:r>
      <w:r w:rsidR="00544B00">
        <w:t>)</w:t>
      </w:r>
      <w:r w:rsidRPr="00935E65">
        <w:t>. The IR swaps covered by the mandate were the largest group by volume, denominated in USD, EUR, GBP, and JPY.</w:t>
      </w:r>
    </w:p>
    <w:p w14:paraId="038FAF33" w14:textId="60FC76D5"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USD and CAD denominated swaps – the largest regulated and unregulated markets, respectively. To minimize the impact of interest rate policy and other macroeconomic variables, I analyze ten trading days before (Feb 25, 2013 – Mar 8, 2013</w:t>
      </w:r>
      <w:r w:rsidR="00D024F1">
        <w:t xml:space="preserve">, May 27, 2013 – June 7, </w:t>
      </w:r>
      <w:proofErr w:type="gramStart"/>
      <w:r w:rsidR="00D024F1">
        <w:t>2013</w:t>
      </w:r>
      <w:proofErr w:type="gramEnd"/>
      <w:r w:rsidR="00D024F1">
        <w:t xml:space="preserve"> and August 26, 2013 – September 6, 2013</w:t>
      </w:r>
      <w:r w:rsidR="005356E2" w:rsidRPr="0004387C">
        <w:t>) and after (Mar 11 – Mar 22, 2013</w:t>
      </w:r>
      <w:r w:rsidR="00D024F1">
        <w:t>, June 10, 2013 – June 21, 2013 and September 9, 2013 to September 20, 2013</w:t>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3A40E47D" w14:textId="653F310C" w:rsidR="008A79F1" w:rsidRPr="0004387C"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w:t>
      </w:r>
      <w:r w:rsidRPr="0004387C">
        <w:lastRenderedPageBreak/>
        <w:t xml:space="preserve">the prevalent pricing method during the study period. For USD swaps, I obtain the USD semiannual fixed-floating rate curve for each trading day from Bloomberg. For CAD denominated swaps, I obtain the Canadian yield curve from the Bloomberg Terminal. I use the </w:t>
      </w:r>
      <w:proofErr w:type="spellStart"/>
      <w:r w:rsidRPr="0004387C">
        <w:t>QuantLib</w:t>
      </w:r>
      <w:proofErr w:type="spellEnd"/>
      <w:r w:rsidRPr="0004387C">
        <w:t>-python library to construct a piecewise linear forward curve.</w:t>
      </w:r>
    </w:p>
    <w:p w14:paraId="668A5947" w14:textId="47F24B96" w:rsidR="008A79F1" w:rsidRDefault="00FF211F" w:rsidP="00031822">
      <w:r w:rsidRPr="0004387C">
        <w:t xml:space="preserve">I acquire trading data from the </w:t>
      </w:r>
      <w:r w:rsidR="0004387C">
        <w:t>DTCC SDR</w:t>
      </w:r>
      <w:r w:rsidRPr="0004387C">
        <w:t xml:space="preserve">. The data elements include swap currency, trade date and time, effective date, maturity date, fixed rate, payment frequencies, clearing status, notional value, and capped notional indicator. For USD swaps, USD LIBOR is the floating rate index for 98% of swaps, while for CAD swaps, CDOR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558F66C1" w14:textId="77777777" w:rsidR="008335A2" w:rsidRDefault="008335A2" w:rsidP="00031822"/>
    <w:p w14:paraId="512538F6" w14:textId="77777777" w:rsidR="008335A2" w:rsidRDefault="008335A2" w:rsidP="00031822"/>
    <w:p w14:paraId="2A90FFC1" w14:textId="77777777" w:rsidR="008335A2" w:rsidRDefault="008335A2" w:rsidP="00031822"/>
    <w:p w14:paraId="13786EB5" w14:textId="77777777" w:rsidR="008335A2" w:rsidRDefault="008335A2" w:rsidP="00031822"/>
    <w:p w14:paraId="1918BE11" w14:textId="77777777" w:rsidR="008335A2" w:rsidRDefault="008335A2" w:rsidP="00031822"/>
    <w:p w14:paraId="1C9EAEA7" w14:textId="77777777" w:rsidR="008335A2" w:rsidRDefault="008335A2" w:rsidP="00031822"/>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77B55771" w:rsidR="008A79F1" w:rsidRDefault="008A79F1" w:rsidP="00031822">
      <w:pPr>
        <w:pStyle w:val="Caption"/>
        <w:keepNext/>
        <w:jc w:val="center"/>
        <w:rPr>
          <w:noProof/>
          <w:color w:val="000000" w:themeColor="text1"/>
        </w:rPr>
      </w:pPr>
      <w:bookmarkStart w:id="7"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4050F2">
        <w:rPr>
          <w:noProof/>
          <w:color w:val="000000" w:themeColor="text1"/>
        </w:rPr>
        <w:t>3</w:t>
      </w:r>
      <w:r w:rsidRPr="0004387C">
        <w:rPr>
          <w:noProof/>
          <w:color w:val="000000" w:themeColor="text1"/>
        </w:rPr>
        <w:fldChar w:fldCharType="end"/>
      </w:r>
      <w:bookmarkEnd w:id="7"/>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ind w:firstLine="0"/>
        <w:jc w:val="center"/>
      </w:pPr>
      <w:r>
        <w:t>(</w:t>
      </w:r>
      <w:r w:rsidR="008E38DA">
        <w:t>Pre-Phase</w:t>
      </w:r>
      <w:r>
        <w:t xml:space="preserve"> 1)</w:t>
      </w:r>
    </w:p>
    <w:tbl>
      <w:tblPr>
        <w:tblW w:w="0" w:type="auto"/>
        <w:tblLook w:val="04A0" w:firstRow="1" w:lastRow="0" w:firstColumn="1" w:lastColumn="0" w:noHBand="0" w:noVBand="1"/>
      </w:tblPr>
      <w:tblGrid>
        <w:gridCol w:w="1032"/>
        <w:gridCol w:w="2490"/>
        <w:gridCol w:w="1003"/>
        <w:gridCol w:w="1268"/>
        <w:gridCol w:w="1263"/>
        <w:gridCol w:w="1293"/>
        <w:gridCol w:w="1011"/>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spacing w:line="240" w:lineRule="auto"/>
              <w:ind w:firstLine="0"/>
              <w:jc w:val="center"/>
              <w:rPr>
                <w:rFonts w:ascii="Calibri" w:eastAsia="Times New Roman" w:hAnsi="Calibri" w:cs="Calibri"/>
                <w:b/>
                <w:bCs/>
                <w:sz w:val="22"/>
                <w:szCs w:val="22"/>
              </w:rPr>
            </w:pPr>
            <w:r w:rsidRPr="00191C9A">
              <w:rPr>
                <w:rFonts w:ascii="Calibri" w:eastAsia="Times New Roman" w:hAnsi="Calibri" w:cs="Calibri"/>
                <w:b/>
                <w:bCs/>
                <w:sz w:val="22"/>
                <w:szCs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spacing w:line="240" w:lineRule="auto"/>
              <w:ind w:firstLine="0"/>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spacing w:line="240" w:lineRule="auto"/>
              <w:ind w:firstLine="0"/>
              <w:jc w:val="left"/>
              <w:rPr>
                <w:rFonts w:ascii="Calibri" w:eastAsia="Times New Roman" w:hAnsi="Calibri" w:cs="Calibri"/>
                <w:b/>
                <w:bCs/>
                <w:sz w:val="22"/>
                <w:szCs w:val="22"/>
              </w:rPr>
            </w:pPr>
            <w:r w:rsidRPr="00191C9A">
              <w:rPr>
                <w:rFonts w:ascii="Calibri" w:eastAsia="Times New Roman" w:hAnsi="Calibri" w:cs="Calibri"/>
                <w:b/>
                <w:bCs/>
                <w:sz w:val="22"/>
                <w:szCs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203,345.9</w:t>
            </w:r>
            <w:r>
              <w:rPr>
                <w:rFonts w:ascii="Calibri" w:eastAsia="Times New Roman" w:hAnsi="Calibri" w:cs="Calibri"/>
                <w:color w:val="000000"/>
                <w:sz w:val="22"/>
                <w:szCs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EF7EA3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57E00D2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9646EB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16</w:t>
            </w:r>
          </w:p>
        </w:tc>
        <w:tc>
          <w:tcPr>
            <w:tcW w:w="0" w:type="auto"/>
            <w:shd w:val="clear" w:color="auto" w:fill="auto"/>
            <w:noWrap/>
            <w:vAlign w:val="center"/>
            <w:hideMark/>
          </w:tcPr>
          <w:p w14:paraId="2CF890D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2,183.00</w:t>
            </w:r>
          </w:p>
        </w:tc>
        <w:tc>
          <w:tcPr>
            <w:tcW w:w="0" w:type="auto"/>
            <w:shd w:val="clear" w:color="auto" w:fill="auto"/>
            <w:noWrap/>
            <w:vAlign w:val="bottom"/>
            <w:hideMark/>
          </w:tcPr>
          <w:p w14:paraId="56D9559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1FCAD36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31C3A7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CFC5F6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68E46F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1EA770F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USD-PRIME-H15</w:t>
            </w:r>
          </w:p>
        </w:tc>
        <w:tc>
          <w:tcPr>
            <w:tcW w:w="0" w:type="auto"/>
            <w:shd w:val="clear" w:color="auto" w:fill="auto"/>
            <w:noWrap/>
            <w:vAlign w:val="center"/>
            <w:hideMark/>
          </w:tcPr>
          <w:p w14:paraId="29E7895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328DDC6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74D1B8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3427030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57AB37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 SPRDL MANUAL</w:t>
            </w:r>
          </w:p>
        </w:tc>
        <w:tc>
          <w:tcPr>
            <w:tcW w:w="0" w:type="auto"/>
            <w:shd w:val="clear" w:color="auto" w:fill="auto"/>
            <w:noWrap/>
            <w:vAlign w:val="center"/>
            <w:hideMark/>
          </w:tcPr>
          <w:p w14:paraId="781F66B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7B439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8030E5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784A6E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5A85F1B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USD-AAA_MUNI-</w:t>
            </w:r>
          </w:p>
        </w:tc>
        <w:tc>
          <w:tcPr>
            <w:tcW w:w="0" w:type="auto"/>
            <w:shd w:val="clear" w:color="auto" w:fill="auto"/>
            <w:noWrap/>
            <w:vAlign w:val="center"/>
            <w:hideMark/>
          </w:tcPr>
          <w:p w14:paraId="26F6F0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A6E8D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2E36355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w:t>
            </w:r>
          </w:p>
        </w:tc>
        <w:tc>
          <w:tcPr>
            <w:tcW w:w="0" w:type="auto"/>
            <w:shd w:val="clear" w:color="auto" w:fill="auto"/>
            <w:noWrap/>
            <w:vAlign w:val="center"/>
            <w:hideMark/>
          </w:tcPr>
          <w:p w14:paraId="70A866E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31.00</w:t>
            </w:r>
          </w:p>
        </w:tc>
        <w:tc>
          <w:tcPr>
            <w:tcW w:w="0" w:type="auto"/>
            <w:shd w:val="clear" w:color="auto" w:fill="auto"/>
            <w:noWrap/>
            <w:vAlign w:val="bottom"/>
            <w:hideMark/>
          </w:tcPr>
          <w:p w14:paraId="077F8249"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USD-OIS-3</w:t>
            </w:r>
          </w:p>
        </w:tc>
        <w:tc>
          <w:tcPr>
            <w:tcW w:w="0" w:type="auto"/>
            <w:shd w:val="clear" w:color="auto" w:fill="auto"/>
            <w:noWrap/>
            <w:vAlign w:val="center"/>
            <w:hideMark/>
          </w:tcPr>
          <w:p w14:paraId="1591315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7E1E1078"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626ACB3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360223E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6.00</w:t>
            </w:r>
          </w:p>
        </w:tc>
        <w:tc>
          <w:tcPr>
            <w:tcW w:w="0" w:type="auto"/>
            <w:shd w:val="clear" w:color="auto" w:fill="auto"/>
            <w:noWrap/>
            <w:vAlign w:val="bottom"/>
            <w:hideMark/>
          </w:tcPr>
          <w:p w14:paraId="0B27BCC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IBR</w:t>
            </w:r>
          </w:p>
        </w:tc>
        <w:tc>
          <w:tcPr>
            <w:tcW w:w="0" w:type="auto"/>
            <w:shd w:val="clear" w:color="auto" w:fill="auto"/>
            <w:noWrap/>
            <w:vAlign w:val="center"/>
            <w:hideMark/>
          </w:tcPr>
          <w:p w14:paraId="6E92F0D6"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62E31E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053D8E5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w:t>
            </w:r>
          </w:p>
        </w:tc>
        <w:tc>
          <w:tcPr>
            <w:tcW w:w="0" w:type="auto"/>
            <w:shd w:val="clear" w:color="auto" w:fill="auto"/>
            <w:noWrap/>
            <w:vAlign w:val="center"/>
            <w:hideMark/>
          </w:tcPr>
          <w:p w14:paraId="258A5927"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200.00</w:t>
            </w:r>
          </w:p>
        </w:tc>
        <w:tc>
          <w:tcPr>
            <w:tcW w:w="0" w:type="auto"/>
            <w:shd w:val="clear" w:color="auto" w:fill="auto"/>
            <w:noWrap/>
            <w:vAlign w:val="bottom"/>
            <w:hideMark/>
          </w:tcPr>
          <w:p w14:paraId="478AF3D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CLICP</w:t>
            </w:r>
          </w:p>
        </w:tc>
        <w:tc>
          <w:tcPr>
            <w:tcW w:w="0" w:type="auto"/>
            <w:shd w:val="clear" w:color="auto" w:fill="auto"/>
            <w:noWrap/>
            <w:vAlign w:val="center"/>
            <w:hideMark/>
          </w:tcPr>
          <w:p w14:paraId="690F76DE"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15001E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5650FC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511ADC2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100.00</w:t>
            </w:r>
          </w:p>
        </w:tc>
        <w:tc>
          <w:tcPr>
            <w:tcW w:w="0" w:type="auto"/>
            <w:shd w:val="clear" w:color="auto" w:fill="auto"/>
            <w:noWrap/>
            <w:vAlign w:val="bottom"/>
            <w:hideMark/>
          </w:tcPr>
          <w:p w14:paraId="0E7C60A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TIS</w:t>
            </w:r>
          </w:p>
        </w:tc>
        <w:tc>
          <w:tcPr>
            <w:tcW w:w="0" w:type="auto"/>
            <w:shd w:val="clear" w:color="auto" w:fill="auto"/>
            <w:noWrap/>
            <w:vAlign w:val="center"/>
            <w:hideMark/>
          </w:tcPr>
          <w:p w14:paraId="5453191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12F7A87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20757F1"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2EC5898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1.00</w:t>
            </w:r>
          </w:p>
        </w:tc>
        <w:tc>
          <w:tcPr>
            <w:tcW w:w="0" w:type="auto"/>
            <w:shd w:val="clear" w:color="auto" w:fill="auto"/>
            <w:noWrap/>
            <w:vAlign w:val="bottom"/>
            <w:hideMark/>
          </w:tcPr>
          <w:p w14:paraId="6B3AA742"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USD-USPSA-BLOOMBERG</w:t>
            </w:r>
          </w:p>
        </w:tc>
        <w:tc>
          <w:tcPr>
            <w:tcW w:w="0" w:type="auto"/>
            <w:shd w:val="clear" w:color="auto" w:fill="auto"/>
            <w:noWrap/>
            <w:vAlign w:val="center"/>
            <w:hideMark/>
          </w:tcPr>
          <w:p w14:paraId="34E17E8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49BF51F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0.0</w:t>
            </w:r>
          </w:p>
        </w:tc>
        <w:tc>
          <w:tcPr>
            <w:tcW w:w="0" w:type="auto"/>
            <w:shd w:val="clear" w:color="auto" w:fill="auto"/>
            <w:noWrap/>
            <w:vAlign w:val="center"/>
            <w:hideMark/>
          </w:tcPr>
          <w:p w14:paraId="4BB92E0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w:t>
            </w:r>
          </w:p>
        </w:tc>
        <w:tc>
          <w:tcPr>
            <w:tcW w:w="0" w:type="auto"/>
            <w:shd w:val="clear" w:color="auto" w:fill="auto"/>
            <w:noWrap/>
            <w:vAlign w:val="center"/>
            <w:hideMark/>
          </w:tcPr>
          <w:p w14:paraId="1A288C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4.00</w:t>
            </w:r>
          </w:p>
        </w:tc>
        <w:tc>
          <w:tcPr>
            <w:tcW w:w="0" w:type="auto"/>
            <w:shd w:val="clear" w:color="auto" w:fill="auto"/>
            <w:noWrap/>
            <w:vAlign w:val="bottom"/>
            <w:hideMark/>
          </w:tcPr>
          <w:p w14:paraId="2092AF9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spacing w:line="240" w:lineRule="auto"/>
              <w:ind w:firstLine="0"/>
              <w:jc w:val="left"/>
              <w:rPr>
                <w:rFonts w:ascii="Calibri" w:eastAsia="Times New Roman" w:hAnsi="Calibri" w:cs="Calibri"/>
                <w:b/>
                <w:bCs/>
                <w:sz w:val="22"/>
                <w:szCs w:val="22"/>
              </w:rPr>
            </w:pPr>
            <w:r w:rsidRPr="005A5A35">
              <w:rPr>
                <w:rFonts w:ascii="Calibri" w:eastAsia="Times New Roman" w:hAnsi="Calibri" w:cs="Calibri"/>
                <w:b/>
                <w:bCs/>
                <w:sz w:val="22"/>
                <w:szCs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0" w:type="auto"/>
            <w:shd w:val="clear" w:color="auto" w:fill="auto"/>
            <w:noWrap/>
            <w:vAlign w:val="center"/>
            <w:hideMark/>
          </w:tcPr>
          <w:p w14:paraId="0D59C570"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225</w:t>
            </w:r>
          </w:p>
        </w:tc>
        <w:tc>
          <w:tcPr>
            <w:tcW w:w="0" w:type="auto"/>
            <w:shd w:val="clear" w:color="auto" w:fill="auto"/>
            <w:noWrap/>
            <w:vAlign w:val="center"/>
            <w:hideMark/>
          </w:tcPr>
          <w:p w14:paraId="47F81BED" w14:textId="35593DF3"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18,811.4</w:t>
            </w:r>
            <w:r w:rsidR="005A5A35">
              <w:rPr>
                <w:rFonts w:ascii="Calibri" w:eastAsia="Times New Roman" w:hAnsi="Calibri" w:cs="Calibri"/>
                <w:color w:val="000000"/>
                <w:sz w:val="22"/>
                <w:szCs w:val="22"/>
              </w:rPr>
              <w:t>0</w:t>
            </w:r>
          </w:p>
        </w:tc>
        <w:tc>
          <w:tcPr>
            <w:tcW w:w="0" w:type="auto"/>
            <w:shd w:val="clear" w:color="auto" w:fill="auto"/>
            <w:noWrap/>
            <w:vAlign w:val="center"/>
            <w:hideMark/>
          </w:tcPr>
          <w:p w14:paraId="14541C7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308</w:t>
            </w:r>
          </w:p>
        </w:tc>
        <w:tc>
          <w:tcPr>
            <w:tcW w:w="0" w:type="auto"/>
            <w:shd w:val="clear" w:color="auto" w:fill="auto"/>
            <w:noWrap/>
            <w:vAlign w:val="center"/>
            <w:hideMark/>
          </w:tcPr>
          <w:p w14:paraId="79D4614F"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20,363.10</w:t>
            </w:r>
          </w:p>
        </w:tc>
        <w:tc>
          <w:tcPr>
            <w:tcW w:w="0" w:type="auto"/>
            <w:shd w:val="clear" w:color="auto" w:fill="auto"/>
            <w:noWrap/>
            <w:vAlign w:val="bottom"/>
            <w:hideMark/>
          </w:tcPr>
          <w:p w14:paraId="63A6055D"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p>
        </w:tc>
        <w:tc>
          <w:tcPr>
            <w:tcW w:w="0" w:type="auto"/>
            <w:shd w:val="clear" w:color="auto" w:fill="auto"/>
            <w:noWrap/>
            <w:vAlign w:val="center"/>
            <w:hideMark/>
          </w:tcPr>
          <w:p w14:paraId="31CEB9AB"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CAD-REPO-CORRA</w:t>
            </w:r>
          </w:p>
        </w:tc>
        <w:tc>
          <w:tcPr>
            <w:tcW w:w="0" w:type="auto"/>
            <w:shd w:val="clear" w:color="auto" w:fill="auto"/>
            <w:noWrap/>
            <w:vAlign w:val="center"/>
            <w:hideMark/>
          </w:tcPr>
          <w:p w14:paraId="62B599FA"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c>
          <w:tcPr>
            <w:tcW w:w="0" w:type="auto"/>
            <w:shd w:val="clear" w:color="auto" w:fill="auto"/>
            <w:noWrap/>
            <w:vAlign w:val="center"/>
            <w:hideMark/>
          </w:tcPr>
          <w:p w14:paraId="6BE1093F" w14:textId="30587AAC"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r w:rsidR="005A5A35">
              <w:rPr>
                <w:rFonts w:ascii="Calibri" w:eastAsia="Times New Roman" w:hAnsi="Calibri" w:cs="Calibri"/>
                <w:color w:val="000000"/>
                <w:sz w:val="22"/>
                <w:szCs w:val="22"/>
              </w:rPr>
              <w:t>.00</w:t>
            </w:r>
          </w:p>
        </w:tc>
        <w:tc>
          <w:tcPr>
            <w:tcW w:w="0" w:type="auto"/>
            <w:shd w:val="clear" w:color="auto" w:fill="auto"/>
            <w:noWrap/>
            <w:vAlign w:val="center"/>
            <w:hideMark/>
          </w:tcPr>
          <w:p w14:paraId="332CB8A3"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3</w:t>
            </w:r>
          </w:p>
        </w:tc>
        <w:tc>
          <w:tcPr>
            <w:tcW w:w="0" w:type="auto"/>
            <w:shd w:val="clear" w:color="auto" w:fill="auto"/>
            <w:noWrap/>
            <w:vAlign w:val="center"/>
            <w:hideMark/>
          </w:tcPr>
          <w:p w14:paraId="55B41DB4"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410.00</w:t>
            </w:r>
          </w:p>
        </w:tc>
        <w:tc>
          <w:tcPr>
            <w:tcW w:w="0" w:type="auto"/>
            <w:shd w:val="clear" w:color="auto" w:fill="auto"/>
            <w:noWrap/>
            <w:vAlign w:val="bottom"/>
            <w:hideMark/>
          </w:tcPr>
          <w:p w14:paraId="79E47015" w14:textId="77777777" w:rsidR="00191C9A" w:rsidRPr="00191C9A" w:rsidRDefault="00191C9A" w:rsidP="00031822">
            <w:pPr>
              <w:spacing w:line="240" w:lineRule="auto"/>
              <w:ind w:firstLine="0"/>
              <w:jc w:val="right"/>
              <w:rPr>
                <w:rFonts w:ascii="Calibri" w:eastAsia="Times New Roman" w:hAnsi="Calibri" w:cs="Calibri"/>
                <w:color w:val="000000"/>
                <w:sz w:val="22"/>
                <w:szCs w:val="22"/>
              </w:rPr>
            </w:pPr>
            <w:r w:rsidRPr="00191C9A">
              <w:rPr>
                <w:rFonts w:ascii="Calibri" w:eastAsia="Times New Roman" w:hAnsi="Calibri" w:cs="Calibri"/>
                <w:color w:val="000000"/>
                <w:sz w:val="22"/>
                <w:szCs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ind w:firstLine="0"/>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7CE6D211" w14:textId="77777777" w:rsidR="00566732" w:rsidRDefault="00566732" w:rsidP="00031822">
      <w:pPr>
        <w:ind w:firstLine="0"/>
        <w:jc w:val="center"/>
      </w:pPr>
    </w:p>
    <w:p w14:paraId="75FCC286" w14:textId="35CC6260" w:rsidR="00191C9A" w:rsidRDefault="0009785E" w:rsidP="00031822">
      <w:pPr>
        <w:ind w:firstLine="0"/>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spacing w:line="240" w:lineRule="auto"/>
              <w:ind w:firstLine="0"/>
              <w:jc w:val="center"/>
              <w:rPr>
                <w:rFonts w:ascii="Calibri" w:eastAsia="Times New Roman" w:hAnsi="Calibri" w:cs="Calibri"/>
                <w:b/>
                <w:bCs/>
                <w:sz w:val="22"/>
                <w:szCs w:val="22"/>
              </w:rPr>
            </w:pPr>
            <w:r w:rsidRPr="0009785E">
              <w:rPr>
                <w:rFonts w:ascii="Calibri" w:eastAsia="Times New Roman" w:hAnsi="Calibri" w:cs="Calibri"/>
                <w:b/>
                <w:bCs/>
                <w:sz w:val="22"/>
                <w:szCs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spacing w:line="240" w:lineRule="auto"/>
              <w:ind w:firstLine="0"/>
              <w:jc w:val="right"/>
              <w:rPr>
                <w:rFonts w:ascii="Calibri" w:eastAsia="Times New Roman" w:hAnsi="Calibri" w:cs="Calibri"/>
                <w:b/>
                <w:bCs/>
                <w:color w:val="000000"/>
                <w:sz w:val="22"/>
                <w:szCs w:val="22"/>
              </w:rPr>
            </w:pPr>
            <w:r w:rsidRPr="005A5A35">
              <w:rPr>
                <w:rFonts w:ascii="Calibri" w:eastAsia="Times New Roman" w:hAnsi="Calibri" w:cs="Calibri"/>
                <w:b/>
                <w:bCs/>
                <w:color w:val="000000"/>
                <w:sz w:val="22"/>
                <w:szCs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7B164DC1" w14:textId="3FDF8FCC" w:rsidR="0009785E" w:rsidRDefault="0009785E" w:rsidP="00031822"/>
    <w:p w14:paraId="36E4850A" w14:textId="08B047A3" w:rsidR="008E38DA" w:rsidRDefault="008E38DA" w:rsidP="00031822">
      <w:pPr>
        <w:ind w:firstLine="0"/>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spacing w:line="240" w:lineRule="auto"/>
              <w:ind w:firstLine="0"/>
              <w:jc w:val="center"/>
              <w:rPr>
                <w:rFonts w:ascii="Calibri" w:eastAsia="Times New Roman" w:hAnsi="Calibri" w:cs="Calibri"/>
                <w:b/>
                <w:bCs/>
                <w:sz w:val="22"/>
                <w:szCs w:val="22"/>
              </w:rPr>
            </w:pPr>
            <w:r w:rsidRPr="000D4B1B">
              <w:rPr>
                <w:rFonts w:ascii="Calibri" w:eastAsia="Times New Roman" w:hAnsi="Calibri" w:cs="Calibri"/>
                <w:b/>
                <w:bCs/>
                <w:sz w:val="22"/>
                <w:szCs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spacing w:line="240" w:lineRule="auto"/>
              <w:ind w:firstLine="0"/>
              <w:jc w:val="right"/>
              <w:rPr>
                <w:rFonts w:ascii="Calibri" w:eastAsia="Times New Roman" w:hAnsi="Calibri" w:cs="Calibri"/>
                <w:b/>
                <w:bCs/>
                <w:color w:val="000000"/>
                <w:sz w:val="22"/>
                <w:szCs w:val="22"/>
              </w:rPr>
            </w:pPr>
            <w:r w:rsidRPr="0047037D">
              <w:rPr>
                <w:rFonts w:ascii="Calibri" w:eastAsia="Times New Roman" w:hAnsi="Calibri" w:cs="Calibri"/>
                <w:b/>
                <w:bCs/>
                <w:color w:val="000000"/>
                <w:sz w:val="22"/>
                <w:szCs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603AAA5D" w14:textId="77777777" w:rsidR="000D4B1B" w:rsidRDefault="000D4B1B" w:rsidP="00031822"/>
    <w:p w14:paraId="29B55E3D" w14:textId="641A99CE" w:rsidR="008E38DA" w:rsidRDefault="008E38DA" w:rsidP="00031822">
      <w:pPr>
        <w:ind w:firstLine="0"/>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spacing w:line="240" w:lineRule="auto"/>
              <w:ind w:firstLine="0"/>
              <w:jc w:val="center"/>
              <w:rPr>
                <w:rFonts w:ascii="Calibri" w:eastAsia="Times New Roman" w:hAnsi="Calibri" w:cs="Calibri"/>
                <w:b/>
                <w:bCs/>
                <w:sz w:val="22"/>
                <w:szCs w:val="22"/>
              </w:rPr>
            </w:pPr>
            <w:r w:rsidRPr="008E38DA">
              <w:rPr>
                <w:rFonts w:ascii="Calibri" w:eastAsia="Times New Roman" w:hAnsi="Calibri" w:cs="Calibri"/>
                <w:b/>
                <w:bCs/>
                <w:sz w:val="22"/>
                <w:szCs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spacing w:line="240" w:lineRule="auto"/>
              <w:ind w:firstLine="0"/>
              <w:jc w:val="right"/>
              <w:rPr>
                <w:rFonts w:ascii="Calibri" w:eastAsia="Times New Roman" w:hAnsi="Calibri" w:cs="Calibri"/>
                <w:b/>
                <w:bCs/>
                <w:color w:val="000000"/>
                <w:sz w:val="22"/>
                <w:szCs w:val="22"/>
              </w:rPr>
            </w:pPr>
            <w:r w:rsidRPr="00566732">
              <w:rPr>
                <w:rFonts w:ascii="Calibri" w:eastAsia="Times New Roman" w:hAnsi="Calibri" w:cs="Calibri"/>
                <w:b/>
                <w:bCs/>
                <w:color w:val="000000"/>
                <w:sz w:val="22"/>
                <w:szCs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1836806D"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8" w:name="_Ref157719497"/>
      <w:r w:rsidRPr="00D024F1">
        <w:lastRenderedPageBreak/>
        <w:t>Results</w:t>
      </w:r>
      <w:bookmarkEnd w:id="8"/>
    </w:p>
    <w:p w14:paraId="6324256F" w14:textId="77777777" w:rsidR="002F3376" w:rsidRPr="0004387C" w:rsidRDefault="002F3376" w:rsidP="00AB12F9">
      <w:pPr>
        <w:pStyle w:val="Heading2"/>
      </w:pPr>
      <w:r w:rsidRPr="00D024F1">
        <w:t>Prices</w:t>
      </w:r>
    </w:p>
    <w:p w14:paraId="59B879B0" w14:textId="5BB9E6C9"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p w14:paraId="38017BBC" w14:textId="354A9CA0"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additional controls, such as the notional value of the contrac</w:t>
      </w:r>
      <w:r w:rsidR="004050F2">
        <w:t>t, day and period of trading and whether the notional value was “capped” (i.e. the exact value was not reported to the trade repo).  The results are robust to such controls.</w:t>
      </w:r>
    </w:p>
    <w:p w14:paraId="1F049E33" w14:textId="0A676585"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on each phase of the data separately.  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banks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5424B9A7" w:rsidR="00A03CBF" w:rsidRDefault="00A03CBF" w:rsidP="00031822">
      <w:pPr>
        <w:pStyle w:val="Caption"/>
        <w:keepNext/>
      </w:pPr>
      <w:bookmarkStart w:id="9" w:name="_Ref149507984"/>
      <w:r>
        <w:lastRenderedPageBreak/>
        <w:t xml:space="preserve">Table </w:t>
      </w:r>
      <w:r>
        <w:fldChar w:fldCharType="begin"/>
      </w:r>
      <w:r>
        <w:instrText xml:space="preserve"> SEQ Table \* ARABIC </w:instrText>
      </w:r>
      <w:r>
        <w:fldChar w:fldCharType="separate"/>
      </w:r>
      <w:r w:rsidR="004050F2">
        <w:rPr>
          <w:noProof/>
        </w:rPr>
        <w:t>4</w:t>
      </w:r>
      <w:r>
        <w:rPr>
          <w:noProof/>
        </w:rPr>
        <w:fldChar w:fldCharType="end"/>
      </w:r>
      <w:bookmarkEnd w:id="9"/>
      <w:r>
        <w:rPr>
          <w:noProof/>
        </w:rPr>
        <w:t xml:space="preserve"> Difference-in-Difference Result</w:t>
      </w:r>
    </w:p>
    <w:p w14:paraId="5179D58C" w14:textId="2292060C" w:rsidR="00A03CBF" w:rsidRDefault="00A03CBF" w:rsidP="00031822">
      <w:pPr>
        <w:jc w:val="center"/>
      </w:pPr>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p>
    <w:p w14:paraId="5B61C362" w14:textId="0173647D" w:rsidR="004050F2" w:rsidRDefault="004050F2" w:rsidP="00031822">
      <w:pPr>
        <w:pStyle w:val="Caption"/>
        <w:keepNext/>
      </w:pPr>
      <w:bookmarkStart w:id="10" w:name="_Ref149509644"/>
      <w:r>
        <w:lastRenderedPageBreak/>
        <w:t xml:space="preserve">Table </w:t>
      </w:r>
      <w:r>
        <w:fldChar w:fldCharType="begin"/>
      </w:r>
      <w:r>
        <w:instrText xml:space="preserve"> SEQ Table \* ARABIC </w:instrText>
      </w:r>
      <w:r>
        <w:fldChar w:fldCharType="separate"/>
      </w:r>
      <w:r>
        <w:rPr>
          <w:noProof/>
        </w:rPr>
        <w:t>5</w:t>
      </w:r>
      <w:r>
        <w:rPr>
          <w:noProof/>
        </w:rPr>
        <w:fldChar w:fldCharType="end"/>
      </w:r>
      <w:bookmarkEnd w:id="10"/>
      <w:r>
        <w:rPr>
          <w:noProof/>
        </w:rPr>
        <w:t xml:space="preserve"> By Phase DiD Results</w:t>
      </w:r>
    </w:p>
    <w:p w14:paraId="3672CE26" w14:textId="299803CC" w:rsidR="004050F2" w:rsidRDefault="004050F2" w:rsidP="00031822">
      <w:pPr>
        <w:jc w:val="center"/>
      </w:pPr>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224DA688" w:rsidR="002853F0" w:rsidRDefault="002853F0" w:rsidP="00031822">
      <w:r>
        <w:t>Liquidity Results Here</w:t>
      </w:r>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11" w:name="_Ref157719507"/>
      <w:r>
        <w:t>Conclusion</w:t>
      </w:r>
      <w:bookmarkEnd w:id="11"/>
    </w:p>
    <w:sectPr w:rsidR="00A96B98" w:rsidRPr="00A96B98">
      <w:foot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0BC15C" w14:textId="77777777" w:rsidR="00003C90" w:rsidRDefault="00003C90" w:rsidP="00633D5C">
      <w:r>
        <w:separator/>
      </w:r>
    </w:p>
  </w:endnote>
  <w:endnote w:type="continuationSeparator" w:id="0">
    <w:p w14:paraId="4D1E5080" w14:textId="77777777" w:rsidR="00003C90" w:rsidRDefault="00003C90" w:rsidP="00633D5C">
      <w:r>
        <w:continuationSeparator/>
      </w:r>
    </w:p>
  </w:endnote>
  <w:endnote w:type="continuationNotice" w:id="1">
    <w:p w14:paraId="5630E31C" w14:textId="77777777" w:rsidR="00003C90" w:rsidRDefault="00003C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sto MT">
    <w:panose1 w:val="02040603050505030304"/>
    <w:charset w:val="4D"/>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368A20" w14:textId="77777777" w:rsidR="00003C90" w:rsidRDefault="00003C90" w:rsidP="00633D5C">
      <w:r>
        <w:separator/>
      </w:r>
    </w:p>
  </w:footnote>
  <w:footnote w:type="continuationSeparator" w:id="0">
    <w:p w14:paraId="6B3C25A1" w14:textId="77777777" w:rsidR="00003C90" w:rsidRDefault="00003C90" w:rsidP="00633D5C">
      <w:r>
        <w:continuationSeparator/>
      </w:r>
    </w:p>
  </w:footnote>
  <w:footnote w:type="continuationNotice" w:id="1">
    <w:p w14:paraId="2EAEC7E5" w14:textId="77777777" w:rsidR="00003C90" w:rsidRDefault="00003C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1"/>
  <w:proofState w:spelling="clean" w:grammar="clean"/>
  <w:attachedTemplate r:id="rId1"/>
  <w:linkStyle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510E8"/>
    <w:rsid w:val="00053C4A"/>
    <w:rsid w:val="00057A12"/>
    <w:rsid w:val="000614F4"/>
    <w:rsid w:val="0006794D"/>
    <w:rsid w:val="000712B2"/>
    <w:rsid w:val="00077879"/>
    <w:rsid w:val="0008027D"/>
    <w:rsid w:val="0008096F"/>
    <w:rsid w:val="000816B7"/>
    <w:rsid w:val="000939CA"/>
    <w:rsid w:val="00096D58"/>
    <w:rsid w:val="0009785E"/>
    <w:rsid w:val="000A41CF"/>
    <w:rsid w:val="000A5607"/>
    <w:rsid w:val="000A7150"/>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C1D1C"/>
    <w:rsid w:val="001C24F9"/>
    <w:rsid w:val="001C74A9"/>
    <w:rsid w:val="001D3062"/>
    <w:rsid w:val="001D57E1"/>
    <w:rsid w:val="001F4D2E"/>
    <w:rsid w:val="001F7299"/>
    <w:rsid w:val="00200D6D"/>
    <w:rsid w:val="002112FE"/>
    <w:rsid w:val="00220BDA"/>
    <w:rsid w:val="00220F82"/>
    <w:rsid w:val="00232831"/>
    <w:rsid w:val="00233C90"/>
    <w:rsid w:val="002343F4"/>
    <w:rsid w:val="00234D83"/>
    <w:rsid w:val="00243E6E"/>
    <w:rsid w:val="00246F90"/>
    <w:rsid w:val="0025043C"/>
    <w:rsid w:val="002718B1"/>
    <w:rsid w:val="0027378C"/>
    <w:rsid w:val="00275B46"/>
    <w:rsid w:val="00284488"/>
    <w:rsid w:val="002853F0"/>
    <w:rsid w:val="00290667"/>
    <w:rsid w:val="00290E18"/>
    <w:rsid w:val="00293578"/>
    <w:rsid w:val="002938B2"/>
    <w:rsid w:val="002B03E9"/>
    <w:rsid w:val="002B63F1"/>
    <w:rsid w:val="002C58F6"/>
    <w:rsid w:val="002C726E"/>
    <w:rsid w:val="002D4411"/>
    <w:rsid w:val="002D4CD7"/>
    <w:rsid w:val="002E0CE1"/>
    <w:rsid w:val="002F3376"/>
    <w:rsid w:val="002F4ED0"/>
    <w:rsid w:val="00301A1C"/>
    <w:rsid w:val="00305FCA"/>
    <w:rsid w:val="0031486E"/>
    <w:rsid w:val="00320206"/>
    <w:rsid w:val="003314C1"/>
    <w:rsid w:val="0034098A"/>
    <w:rsid w:val="00343A08"/>
    <w:rsid w:val="003520EC"/>
    <w:rsid w:val="00357E12"/>
    <w:rsid w:val="00362ED7"/>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1C17"/>
    <w:rsid w:val="00446E24"/>
    <w:rsid w:val="0044741C"/>
    <w:rsid w:val="004521B3"/>
    <w:rsid w:val="00455F39"/>
    <w:rsid w:val="004567C0"/>
    <w:rsid w:val="00456AFB"/>
    <w:rsid w:val="0047037D"/>
    <w:rsid w:val="00470CAE"/>
    <w:rsid w:val="00475EE6"/>
    <w:rsid w:val="004776E9"/>
    <w:rsid w:val="00482903"/>
    <w:rsid w:val="00487EF1"/>
    <w:rsid w:val="004D2D2D"/>
    <w:rsid w:val="004D458D"/>
    <w:rsid w:val="004E5AEE"/>
    <w:rsid w:val="004F0BE2"/>
    <w:rsid w:val="004F43A3"/>
    <w:rsid w:val="00502B0A"/>
    <w:rsid w:val="00525BB3"/>
    <w:rsid w:val="005356E2"/>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C11C0"/>
    <w:rsid w:val="005E0C46"/>
    <w:rsid w:val="005F14CA"/>
    <w:rsid w:val="005F327C"/>
    <w:rsid w:val="005F6B4A"/>
    <w:rsid w:val="0060706F"/>
    <w:rsid w:val="00607456"/>
    <w:rsid w:val="00622956"/>
    <w:rsid w:val="00625ECF"/>
    <w:rsid w:val="00627579"/>
    <w:rsid w:val="00633D5C"/>
    <w:rsid w:val="0063560A"/>
    <w:rsid w:val="0063608A"/>
    <w:rsid w:val="00644114"/>
    <w:rsid w:val="006450BA"/>
    <w:rsid w:val="006722D1"/>
    <w:rsid w:val="00674BB7"/>
    <w:rsid w:val="006875A1"/>
    <w:rsid w:val="0069541B"/>
    <w:rsid w:val="006A345A"/>
    <w:rsid w:val="006B6124"/>
    <w:rsid w:val="006C0D52"/>
    <w:rsid w:val="006C395A"/>
    <w:rsid w:val="006E06F9"/>
    <w:rsid w:val="006E44BE"/>
    <w:rsid w:val="006F1F0C"/>
    <w:rsid w:val="0070689F"/>
    <w:rsid w:val="00715923"/>
    <w:rsid w:val="0072700E"/>
    <w:rsid w:val="00733F0D"/>
    <w:rsid w:val="00747315"/>
    <w:rsid w:val="007475B0"/>
    <w:rsid w:val="0075597E"/>
    <w:rsid w:val="00755BED"/>
    <w:rsid w:val="0076305C"/>
    <w:rsid w:val="00781C1A"/>
    <w:rsid w:val="00781E75"/>
    <w:rsid w:val="00782C1A"/>
    <w:rsid w:val="007A0DBE"/>
    <w:rsid w:val="007A4E27"/>
    <w:rsid w:val="007B2C40"/>
    <w:rsid w:val="007C0619"/>
    <w:rsid w:val="007C099B"/>
    <w:rsid w:val="007C0BF5"/>
    <w:rsid w:val="007D359F"/>
    <w:rsid w:val="007E1203"/>
    <w:rsid w:val="007E2F87"/>
    <w:rsid w:val="007E3CB7"/>
    <w:rsid w:val="007E6044"/>
    <w:rsid w:val="007E64B2"/>
    <w:rsid w:val="007E6980"/>
    <w:rsid w:val="007F6DDE"/>
    <w:rsid w:val="00804046"/>
    <w:rsid w:val="008057C4"/>
    <w:rsid w:val="00810636"/>
    <w:rsid w:val="008138CB"/>
    <w:rsid w:val="00821AC5"/>
    <w:rsid w:val="00827924"/>
    <w:rsid w:val="008335A2"/>
    <w:rsid w:val="00834DE5"/>
    <w:rsid w:val="00836236"/>
    <w:rsid w:val="0086025D"/>
    <w:rsid w:val="00864A3C"/>
    <w:rsid w:val="0086750E"/>
    <w:rsid w:val="00876F18"/>
    <w:rsid w:val="00877DDF"/>
    <w:rsid w:val="0088504F"/>
    <w:rsid w:val="0089167A"/>
    <w:rsid w:val="0089422D"/>
    <w:rsid w:val="00896370"/>
    <w:rsid w:val="00896FE8"/>
    <w:rsid w:val="008A0C37"/>
    <w:rsid w:val="008A0DFD"/>
    <w:rsid w:val="008A5DF5"/>
    <w:rsid w:val="008A6B76"/>
    <w:rsid w:val="008A79F1"/>
    <w:rsid w:val="008C2ACA"/>
    <w:rsid w:val="008C32AF"/>
    <w:rsid w:val="008C6CD4"/>
    <w:rsid w:val="008E3043"/>
    <w:rsid w:val="008E38DA"/>
    <w:rsid w:val="008E6500"/>
    <w:rsid w:val="00905428"/>
    <w:rsid w:val="00914E91"/>
    <w:rsid w:val="009150D9"/>
    <w:rsid w:val="0092248B"/>
    <w:rsid w:val="00935E65"/>
    <w:rsid w:val="00936FB0"/>
    <w:rsid w:val="00941B60"/>
    <w:rsid w:val="0095406B"/>
    <w:rsid w:val="009561B4"/>
    <w:rsid w:val="00956D41"/>
    <w:rsid w:val="00962018"/>
    <w:rsid w:val="00974463"/>
    <w:rsid w:val="00981EFF"/>
    <w:rsid w:val="00991610"/>
    <w:rsid w:val="009A69FA"/>
    <w:rsid w:val="009A7D6A"/>
    <w:rsid w:val="009B3B11"/>
    <w:rsid w:val="009C0453"/>
    <w:rsid w:val="009C4761"/>
    <w:rsid w:val="009C7A56"/>
    <w:rsid w:val="009F06E5"/>
    <w:rsid w:val="009F1DA7"/>
    <w:rsid w:val="009F7D7F"/>
    <w:rsid w:val="00A000EF"/>
    <w:rsid w:val="00A03CBF"/>
    <w:rsid w:val="00A05111"/>
    <w:rsid w:val="00A21F7B"/>
    <w:rsid w:val="00A271B6"/>
    <w:rsid w:val="00A41FF7"/>
    <w:rsid w:val="00A4495A"/>
    <w:rsid w:val="00A53B21"/>
    <w:rsid w:val="00A73855"/>
    <w:rsid w:val="00A74B49"/>
    <w:rsid w:val="00A81AE5"/>
    <w:rsid w:val="00A8236C"/>
    <w:rsid w:val="00A8682C"/>
    <w:rsid w:val="00A930AB"/>
    <w:rsid w:val="00A96B98"/>
    <w:rsid w:val="00AA4B78"/>
    <w:rsid w:val="00AA5AFB"/>
    <w:rsid w:val="00AA717C"/>
    <w:rsid w:val="00AB12F9"/>
    <w:rsid w:val="00AB38FA"/>
    <w:rsid w:val="00AB7061"/>
    <w:rsid w:val="00AC06CC"/>
    <w:rsid w:val="00AE15AA"/>
    <w:rsid w:val="00AE5664"/>
    <w:rsid w:val="00AE5AFF"/>
    <w:rsid w:val="00AF1FA3"/>
    <w:rsid w:val="00B0289A"/>
    <w:rsid w:val="00B1262B"/>
    <w:rsid w:val="00B13BAB"/>
    <w:rsid w:val="00B15828"/>
    <w:rsid w:val="00B3359E"/>
    <w:rsid w:val="00B44C24"/>
    <w:rsid w:val="00B54FB7"/>
    <w:rsid w:val="00B83199"/>
    <w:rsid w:val="00B92576"/>
    <w:rsid w:val="00B92B7B"/>
    <w:rsid w:val="00B9520A"/>
    <w:rsid w:val="00BA0B5F"/>
    <w:rsid w:val="00BA0BB3"/>
    <w:rsid w:val="00BB0ACE"/>
    <w:rsid w:val="00BB66F3"/>
    <w:rsid w:val="00BC008A"/>
    <w:rsid w:val="00BC5B75"/>
    <w:rsid w:val="00BD12A4"/>
    <w:rsid w:val="00BD52BB"/>
    <w:rsid w:val="00BF5982"/>
    <w:rsid w:val="00BF6365"/>
    <w:rsid w:val="00C06844"/>
    <w:rsid w:val="00C106ED"/>
    <w:rsid w:val="00C16C25"/>
    <w:rsid w:val="00C20541"/>
    <w:rsid w:val="00C2255E"/>
    <w:rsid w:val="00C3286E"/>
    <w:rsid w:val="00C32ED2"/>
    <w:rsid w:val="00C363CC"/>
    <w:rsid w:val="00C45CCE"/>
    <w:rsid w:val="00C519BF"/>
    <w:rsid w:val="00C527DB"/>
    <w:rsid w:val="00C57E03"/>
    <w:rsid w:val="00C63A02"/>
    <w:rsid w:val="00C64F72"/>
    <w:rsid w:val="00C651D2"/>
    <w:rsid w:val="00C758C6"/>
    <w:rsid w:val="00C87249"/>
    <w:rsid w:val="00C90716"/>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34404"/>
    <w:rsid w:val="00D41237"/>
    <w:rsid w:val="00D4375C"/>
    <w:rsid w:val="00D459AC"/>
    <w:rsid w:val="00D5154E"/>
    <w:rsid w:val="00D52B48"/>
    <w:rsid w:val="00D643C8"/>
    <w:rsid w:val="00D645CF"/>
    <w:rsid w:val="00D8044D"/>
    <w:rsid w:val="00D9234D"/>
    <w:rsid w:val="00DA4FC3"/>
    <w:rsid w:val="00DC42EB"/>
    <w:rsid w:val="00DC7AD2"/>
    <w:rsid w:val="00DE43A2"/>
    <w:rsid w:val="00DE61E9"/>
    <w:rsid w:val="00DE6F94"/>
    <w:rsid w:val="00DE705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1749"/>
    <w:rsid w:val="00EB004A"/>
    <w:rsid w:val="00EB1407"/>
    <w:rsid w:val="00EB53A2"/>
    <w:rsid w:val="00EB5A7B"/>
    <w:rsid w:val="00EB7DDA"/>
    <w:rsid w:val="00EC01D7"/>
    <w:rsid w:val="00EC5C21"/>
    <w:rsid w:val="00ED4D27"/>
    <w:rsid w:val="00EF140B"/>
    <w:rsid w:val="00EF6757"/>
    <w:rsid w:val="00F040B1"/>
    <w:rsid w:val="00F15E32"/>
    <w:rsid w:val="00F57F30"/>
    <w:rsid w:val="00F6394F"/>
    <w:rsid w:val="00F71C54"/>
    <w:rsid w:val="00F872C2"/>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6CC"/>
    <w:pPr>
      <w:spacing w:line="360" w:lineRule="auto"/>
      <w:ind w:firstLine="202"/>
      <w:jc w:val="both"/>
    </w:pPr>
    <w:rPr>
      <w:rFonts w:ascii="Times New Roman" w:eastAsia="Calisto MT" w:hAnsi="Times New Roman"/>
      <w:sz w:val="24"/>
      <w:szCs w:val="24"/>
      <w:lang w:bidi="ar-SA"/>
    </w:rPr>
  </w:style>
  <w:style w:type="paragraph" w:styleId="Heading1">
    <w:name w:val="heading 1"/>
    <w:next w:val="Normal"/>
    <w:link w:val="Heading1Char"/>
    <w:qFormat/>
    <w:rsid w:val="00AC06CC"/>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AC06CC"/>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AC06CC"/>
    <w:pPr>
      <w:spacing w:before="260"/>
      <w:ind w:firstLine="0"/>
      <w:outlineLvl w:val="2"/>
    </w:pPr>
    <w:rPr>
      <w:rFonts w:eastAsia="Times New Roman"/>
      <w:bCs/>
    </w:rPr>
  </w:style>
  <w:style w:type="paragraph" w:styleId="Heading4">
    <w:name w:val="heading 4"/>
    <w:basedOn w:val="Normal"/>
    <w:next w:val="Normal"/>
    <w:link w:val="Heading4Char"/>
    <w:qFormat/>
    <w:rsid w:val="00AC06CC"/>
    <w:pPr>
      <w:spacing w:before="260"/>
      <w:ind w:firstLine="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99"/>
    <w:semiHidden/>
    <w:rsid w:val="00AC06C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AC06CC"/>
  </w:style>
  <w:style w:type="character" w:customStyle="1" w:styleId="Heading2Char">
    <w:name w:val="Heading 2 Char"/>
    <w:basedOn w:val="DefaultParagraphFont"/>
    <w:link w:val="Heading2"/>
    <w:rsid w:val="00AC06CC"/>
    <w:rPr>
      <w:rFonts w:ascii="Times New Roman" w:eastAsia="Times New Roman" w:hAnsi="Times New Roman"/>
      <w:bCs/>
      <w:i/>
      <w:color w:val="000000"/>
      <w:sz w:val="24"/>
      <w:szCs w:val="26"/>
      <w:lang w:bidi="ar-SA"/>
    </w:rPr>
  </w:style>
  <w:style w:type="paragraph" w:styleId="Title">
    <w:name w:val="Title"/>
    <w:next w:val="Author"/>
    <w:link w:val="TitleChar"/>
    <w:qFormat/>
    <w:rsid w:val="00AC06CC"/>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AC06CC"/>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AC06CC"/>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AC06CC"/>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AC06CC"/>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szCs w:val="22"/>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AC06CC"/>
    <w:pPr>
      <w:spacing w:line="180" w:lineRule="atLeast"/>
    </w:pPr>
    <w:rPr>
      <w:sz w:val="16"/>
    </w:rPr>
  </w:style>
  <w:style w:type="character" w:customStyle="1" w:styleId="FootnoteTextChar">
    <w:name w:val="Footnote Text Char"/>
    <w:basedOn w:val="DefaultParagraphFont"/>
    <w:link w:val="FootnoteText"/>
    <w:semiHidden/>
    <w:rsid w:val="00AC06CC"/>
    <w:rPr>
      <w:rFonts w:ascii="Times New Roman" w:eastAsia="Calisto MT" w:hAnsi="Times New Roman"/>
      <w:sz w:val="16"/>
      <w:szCs w:val="24"/>
      <w:lang w:bidi="ar-SA"/>
    </w:rPr>
  </w:style>
  <w:style w:type="character" w:styleId="FootnoteReference">
    <w:name w:val="footnote reference"/>
    <w:basedOn w:val="DefaultParagraphFont"/>
    <w:semiHidden/>
    <w:rsid w:val="00AC06CC"/>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szCs w:val="22"/>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AC06CC"/>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AC06CC"/>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AC06CC"/>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AC06CC"/>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AC06CC"/>
    <w:pPr>
      <w:ind w:firstLine="0"/>
    </w:pPr>
  </w:style>
  <w:style w:type="paragraph" w:customStyle="1" w:styleId="Contact">
    <w:name w:val="Contact"/>
    <w:next w:val="Normal"/>
    <w:rsid w:val="00AC06CC"/>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AC06CC"/>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AC06CC"/>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AC06CC"/>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AC06CC"/>
    <w:pPr>
      <w:spacing w:after="120"/>
      <w:ind w:left="720" w:right="720" w:firstLine="0"/>
      <w:jc w:val="right"/>
    </w:pPr>
  </w:style>
  <w:style w:type="paragraph" w:customStyle="1" w:styleId="FigureTitle">
    <w:name w:val="Figure Title"/>
    <w:next w:val="Normal"/>
    <w:rsid w:val="00AC06CC"/>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AC06CC"/>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AC06CC"/>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AC06CC"/>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AC06CC"/>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AC06CC"/>
    <w:pPr>
      <w:numPr>
        <w:numId w:val="27"/>
      </w:numPr>
      <w:contextualSpacing/>
    </w:pPr>
  </w:style>
  <w:style w:type="paragraph" w:styleId="ListNumber">
    <w:name w:val="List Number"/>
    <w:basedOn w:val="Normal"/>
    <w:next w:val="Normal"/>
    <w:rsid w:val="00AC06CC"/>
    <w:pPr>
      <w:numPr>
        <w:numId w:val="28"/>
      </w:numPr>
      <w:tabs>
        <w:tab w:val="clear" w:pos="1195"/>
      </w:tabs>
      <w:spacing w:after="260"/>
      <w:ind w:left="1555" w:hanging="720"/>
    </w:pPr>
  </w:style>
  <w:style w:type="paragraph" w:customStyle="1" w:styleId="FigurePlaceholder">
    <w:name w:val="Figure Placeholder"/>
    <w:basedOn w:val="Normal"/>
    <w:next w:val="Normal"/>
    <w:qFormat/>
    <w:rsid w:val="00AC06CC"/>
    <w:pPr>
      <w:spacing w:before="260" w:after="260"/>
      <w:jc w:val="center"/>
    </w:pPr>
  </w:style>
  <w:style w:type="character" w:customStyle="1" w:styleId="TableFootLetter">
    <w:name w:val="Table FootLetter"/>
    <w:basedOn w:val="DefaultParagraphFont"/>
    <w:rsid w:val="00AC06CC"/>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AC06CC"/>
  </w:style>
  <w:style w:type="paragraph" w:customStyle="1" w:styleId="TablePlaceholder">
    <w:name w:val="Table Placeholder"/>
    <w:basedOn w:val="FigurePlaceholder"/>
    <w:next w:val="NoParagraphStyle"/>
    <w:qFormat/>
    <w:rsid w:val="00AC06CC"/>
  </w:style>
  <w:style w:type="paragraph" w:styleId="DocumentMap">
    <w:name w:val="Document Map"/>
    <w:basedOn w:val="Normal"/>
    <w:link w:val="DocumentMapChar"/>
    <w:uiPriority w:val="99"/>
    <w:semiHidden/>
    <w:rsid w:val="00AC06CC"/>
    <w:rPr>
      <w:rFonts w:ascii="Lucida Grande" w:hAnsi="Lucida Grande"/>
    </w:rPr>
  </w:style>
  <w:style w:type="character" w:customStyle="1" w:styleId="DocumentMapChar">
    <w:name w:val="Document Map Char"/>
    <w:basedOn w:val="DefaultParagraphFont"/>
    <w:link w:val="DocumentMap"/>
    <w:uiPriority w:val="99"/>
    <w:semiHidden/>
    <w:rsid w:val="00AC06CC"/>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AC06CC"/>
    <w:rPr>
      <w:sz w:val="18"/>
      <w:szCs w:val="18"/>
    </w:rPr>
  </w:style>
  <w:style w:type="paragraph" w:styleId="CommentText">
    <w:name w:val="annotation text"/>
    <w:basedOn w:val="Normal"/>
    <w:link w:val="CommentTextChar"/>
    <w:uiPriority w:val="99"/>
    <w:semiHidden/>
    <w:rsid w:val="00AC06CC"/>
  </w:style>
  <w:style w:type="character" w:customStyle="1" w:styleId="CommentTextChar">
    <w:name w:val="Comment Text Char"/>
    <w:basedOn w:val="DefaultParagraphFont"/>
    <w:link w:val="CommentText"/>
    <w:uiPriority w:val="99"/>
    <w:semiHidden/>
    <w:rsid w:val="00AC06CC"/>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AC06CC"/>
    <w:rPr>
      <w:b/>
      <w:bCs/>
      <w:sz w:val="20"/>
      <w:szCs w:val="20"/>
    </w:rPr>
  </w:style>
  <w:style w:type="character" w:customStyle="1" w:styleId="CommentSubjectChar">
    <w:name w:val="Comment Subject Char"/>
    <w:basedOn w:val="CommentTextChar"/>
    <w:link w:val="CommentSubject"/>
    <w:uiPriority w:val="99"/>
    <w:semiHidden/>
    <w:rsid w:val="00AC06CC"/>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AC06CC"/>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C06CC"/>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604</TotalTime>
  <Pages>21</Pages>
  <Words>5801</Words>
  <Characters>33066</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15</cp:revision>
  <dcterms:created xsi:type="dcterms:W3CDTF">2023-12-09T16:13:00Z</dcterms:created>
  <dcterms:modified xsi:type="dcterms:W3CDTF">2024-02-07T03:47:00Z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id="ceekbtdO"/&gt;&lt;style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