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C45BE" w14:textId="6D1F3A07" w:rsidR="002D4CD7" w:rsidRDefault="002D4CD7" w:rsidP="00031822">
      <w:pPr>
        <w:pStyle w:val="Title"/>
      </w:pPr>
      <w:r>
        <w:t>The Impact of Central Clearing on the Interest Rate Swaps Market</w:t>
      </w:r>
    </w:p>
    <w:p w14:paraId="0B7D9387" w14:textId="32146D78" w:rsidR="0031486E" w:rsidRPr="0031486E" w:rsidRDefault="0031486E" w:rsidP="00031822">
      <w:pPr>
        <w:pStyle w:val="Subtitle"/>
      </w:pPr>
      <w:r>
        <w:t>Arnob L. Alam</w:t>
      </w:r>
    </w:p>
    <w:p w14:paraId="41D45335" w14:textId="208BA672" w:rsidR="00BB66F3" w:rsidRDefault="00BB66F3" w:rsidP="009561B4">
      <w:pPr>
        <w:pStyle w:val="Heading1"/>
        <w:numPr>
          <w:ilvl w:val="0"/>
          <w:numId w:val="33"/>
        </w:numPr>
      </w:pPr>
      <w:r>
        <w:t>Introduction</w:t>
      </w:r>
    </w:p>
    <w:p w14:paraId="797D49B7" w14:textId="2258D602" w:rsidR="00246F90" w:rsidRDefault="00246F90" w:rsidP="00031822">
      <w:r w:rsidRPr="00246F90">
        <w:t>The 2006-2008 financial crisis, the most severe downturn since the Great Depression, led to the passage of the Dodd-Frank Wall Street Reform and Consumer Protection Act (DFA). A key provision of the DFA required certain financial contracts to be cleared through a central counterparty</w:t>
      </w:r>
      <w:r w:rsidR="00700348">
        <w:t xml:space="preserve"> (CCP)</w:t>
      </w:r>
      <w:r w:rsidRPr="00246F90">
        <w:t>. This study investigates the causal impact of this clearing mandate on</w:t>
      </w:r>
      <w:r w:rsidR="00E56F5E">
        <w:t xml:space="preserve"> prices</w:t>
      </w:r>
      <w:r w:rsidRPr="00246F90">
        <w:t xml:space="preserve">, volatility </w:t>
      </w:r>
      <w:r w:rsidR="00E56F5E">
        <w:t xml:space="preserve">and liquidity </w:t>
      </w:r>
      <w:r w:rsidRPr="00246F90">
        <w:t xml:space="preserve">in the interest rate (IR) swaps market, a major derivatives market used for hedging or speculating on interest rate risk. </w:t>
      </w:r>
      <w:r w:rsidR="00E56F5E">
        <w:t>This is the</w:t>
      </w:r>
      <w:r w:rsidRPr="00246F90">
        <w:t xml:space="preserve"> first examination of the </w:t>
      </w:r>
      <w:r w:rsidR="00E56F5E">
        <w:t xml:space="preserve">impact of </w:t>
      </w:r>
      <w:r w:rsidRPr="00246F90">
        <w:t xml:space="preserve">central clearing mandates on </w:t>
      </w:r>
      <w:r w:rsidR="00A000EF">
        <w:t xml:space="preserve">this </w:t>
      </w:r>
      <w:r w:rsidRPr="00246F90">
        <w:t>market</w:t>
      </w:r>
      <w:r w:rsidR="00E56F5E">
        <w:t xml:space="preserve"> and</w:t>
      </w:r>
      <w:r w:rsidRPr="00246F90">
        <w:t xml:space="preserve"> contributes to understanding the effects of post-crisis market reforms and informing future regulatory adjustments.</w:t>
      </w:r>
    </w:p>
    <w:p w14:paraId="49E61368" w14:textId="7C7C3970" w:rsidR="000A41CF" w:rsidRDefault="000A41CF" w:rsidP="00031822">
      <w:r w:rsidRPr="000A41CF">
        <w:t xml:space="preserve">Despite extensive theoretical literature on central clearing, empirical studies are limited. Earlier research focused on the credit default swaps </w:t>
      </w:r>
      <w:r w:rsidR="004776E9">
        <w:t xml:space="preserve">(CDS) </w:t>
      </w:r>
      <w:r w:rsidRPr="000A41CF">
        <w:t>market using event studies</w:t>
      </w:r>
      <w:r w:rsidR="00827924">
        <w:t>.</w:t>
      </w:r>
      <w:r w:rsidRPr="000A41CF">
        <w:t xml:space="preserve"> </w:t>
      </w:r>
      <w:r w:rsidR="00827924">
        <w:t xml:space="preserve">Event studies </w:t>
      </w:r>
      <w:r w:rsidRPr="000A41CF">
        <w:t xml:space="preserve">cannot isolate causal impacts due to potential confounding factors. This study addresses </w:t>
      </w:r>
      <w:r w:rsidR="00827924">
        <w:t xml:space="preserve">the </w:t>
      </w:r>
      <w:r w:rsidRPr="000A41CF">
        <w:t xml:space="preserve">gap </w:t>
      </w:r>
      <w:r w:rsidR="00827924">
        <w:t xml:space="preserve">in the literature </w:t>
      </w:r>
      <w:r w:rsidRPr="000A41CF">
        <w:t xml:space="preserve">by </w:t>
      </w:r>
      <w:r w:rsidR="00E56F5E">
        <w:t xml:space="preserve">(1) </w:t>
      </w:r>
      <w:r w:rsidRPr="000A41CF">
        <w:t xml:space="preserve">examining the IR swaps market, which is larger and more widely used than the </w:t>
      </w:r>
      <w:r w:rsidR="004776E9">
        <w:t>CDS</w:t>
      </w:r>
      <w:r w:rsidRPr="000A41CF">
        <w:t xml:space="preserve"> market</w:t>
      </w:r>
      <w:r w:rsidR="00E56F5E">
        <w:t xml:space="preserve"> and (2) using a difference-in-differences approach to identify causal effects of the clearing mandate</w:t>
      </w:r>
      <w:r w:rsidRPr="000A41CF">
        <w:t xml:space="preserve">. Leveraging the fact that initial central clearing rules targeted IR swaps in the four largest currencies (USD, GBP, EUR, JPY) </w:t>
      </w:r>
      <w:r w:rsidR="00E56F5E">
        <w:t xml:space="preserve">traded in the US, </w:t>
      </w:r>
      <w:r w:rsidRPr="000A41CF">
        <w:t xml:space="preserve">and did not apply to other currencies or regions, this research </w:t>
      </w:r>
      <w:r w:rsidR="00AC06CC">
        <w:t xml:space="preserve">plausibly </w:t>
      </w:r>
      <w:r w:rsidRPr="000A41CF">
        <w:t xml:space="preserve">identifies the causal impact of the regulation on pricing, </w:t>
      </w:r>
      <w:r w:rsidR="00A81AE5">
        <w:t xml:space="preserve">liquidity and </w:t>
      </w:r>
      <w:r w:rsidRPr="000A41CF">
        <w:t>price volatility in the IR swaps market.</w:t>
      </w:r>
    </w:p>
    <w:p w14:paraId="76BA511D" w14:textId="446F3769" w:rsidR="005F6B4A" w:rsidRDefault="006875A1" w:rsidP="00031822">
      <w:r w:rsidRPr="006875A1">
        <w:t xml:space="preserve">The paper is organized as follows: </w:t>
      </w:r>
      <w:r w:rsidR="009C0453">
        <w:t>s</w:t>
      </w:r>
      <w:r w:rsidRPr="006875A1">
        <w:t xml:space="preserve">ection </w:t>
      </w:r>
      <w:r w:rsidR="009C0453">
        <w:fldChar w:fldCharType="begin"/>
      </w:r>
      <w:r w:rsidR="009C0453">
        <w:instrText xml:space="preserve"> REF _Ref157718856 \r \h </w:instrText>
      </w:r>
      <w:r w:rsidR="009C0453">
        <w:fldChar w:fldCharType="separate"/>
      </w:r>
      <w:r w:rsidR="009373A0">
        <w:t>2</w:t>
      </w:r>
      <w:r w:rsidR="009C0453">
        <w:fldChar w:fldCharType="end"/>
      </w:r>
      <w:r w:rsidRPr="006875A1">
        <w:t xml:space="preserve"> provides background on the IR swaps market, the financial crisis, and the clearing mandate's role in post-crisis market reforms</w:t>
      </w:r>
      <w:r w:rsidR="004776E9">
        <w:t>; s</w:t>
      </w:r>
      <w:r w:rsidRPr="006875A1">
        <w:t xml:space="preserve">ection </w:t>
      </w:r>
      <w:r w:rsidR="00CC1AF2">
        <w:fldChar w:fldCharType="begin"/>
      </w:r>
      <w:r w:rsidR="00CC1AF2">
        <w:instrText xml:space="preserve"> REF _Ref157719057 \r \h </w:instrText>
      </w:r>
      <w:r w:rsidR="00CC1AF2">
        <w:fldChar w:fldCharType="separate"/>
      </w:r>
      <w:r w:rsidR="009373A0">
        <w:t>3</w:t>
      </w:r>
      <w:r w:rsidR="00CC1AF2">
        <w:fldChar w:fldCharType="end"/>
      </w:r>
      <w:r w:rsidRPr="006875A1">
        <w:t xml:space="preserve"> </w:t>
      </w:r>
      <w:r w:rsidR="00CC1AF2">
        <w:t xml:space="preserve">develops the theory of pricing, price volatility and liquidity for </w:t>
      </w:r>
      <w:r w:rsidR="00C142C4">
        <w:t>IR</w:t>
      </w:r>
      <w:r w:rsidR="00CC1AF2">
        <w:t xml:space="preserve"> swaps under a clearing mandate</w:t>
      </w:r>
      <w:r w:rsidR="004776E9">
        <w:t>; s</w:t>
      </w:r>
      <w:r w:rsidR="00DE705F">
        <w:t xml:space="preserve">ection </w:t>
      </w:r>
      <w:r w:rsidR="009C0453">
        <w:fldChar w:fldCharType="begin"/>
      </w:r>
      <w:r w:rsidR="009C0453">
        <w:instrText xml:space="preserve"> REF _Ref157719088 \r \h </w:instrText>
      </w:r>
      <w:r w:rsidR="009C0453">
        <w:fldChar w:fldCharType="separate"/>
      </w:r>
      <w:r w:rsidR="009373A0">
        <w:t>4</w:t>
      </w:r>
      <w:r w:rsidR="009C0453">
        <w:fldChar w:fldCharType="end"/>
      </w:r>
      <w:r w:rsidR="00CC1AF2">
        <w:t xml:space="preserve"> discusses the identification strategy</w:t>
      </w:r>
      <w:r w:rsidR="004776E9">
        <w:t>; s</w:t>
      </w:r>
      <w:r w:rsidR="00C87249">
        <w:t xml:space="preserve">ection </w:t>
      </w:r>
      <w:r w:rsidR="00CC1AF2">
        <w:fldChar w:fldCharType="begin"/>
      </w:r>
      <w:r w:rsidR="00CC1AF2">
        <w:instrText xml:space="preserve"> REF _Ref157719326 \r \h </w:instrText>
      </w:r>
      <w:r w:rsidR="00CC1AF2">
        <w:fldChar w:fldCharType="separate"/>
      </w:r>
      <w:r w:rsidR="009373A0">
        <w:t>5</w:t>
      </w:r>
      <w:r w:rsidR="00CC1AF2">
        <w:fldChar w:fldCharType="end"/>
      </w:r>
      <w:r w:rsidR="00C87249">
        <w:t xml:space="preserve"> details </w:t>
      </w:r>
      <w:r w:rsidR="009561B4">
        <w:t>my</w:t>
      </w:r>
      <w:r w:rsidR="00191190">
        <w:t xml:space="preserve"> data</w:t>
      </w:r>
      <w:r w:rsidR="004776E9">
        <w:t>; s</w:t>
      </w:r>
      <w:r w:rsidR="00191190">
        <w:t xml:space="preserve">ection </w:t>
      </w:r>
      <w:r w:rsidR="00540DEF">
        <w:fldChar w:fldCharType="begin"/>
      </w:r>
      <w:r w:rsidR="00540DEF">
        <w:instrText xml:space="preserve"> REF _Ref157719497 \r \h </w:instrText>
      </w:r>
      <w:r w:rsidR="00540DEF">
        <w:fldChar w:fldCharType="separate"/>
      </w:r>
      <w:r w:rsidR="009373A0">
        <w:t>6</w:t>
      </w:r>
      <w:r w:rsidR="00540DEF">
        <w:fldChar w:fldCharType="end"/>
      </w:r>
      <w:r w:rsidR="00191190">
        <w:t xml:space="preserve"> discusses the results and section </w:t>
      </w:r>
      <w:r w:rsidR="00540DEF">
        <w:fldChar w:fldCharType="begin"/>
      </w:r>
      <w:r w:rsidR="00540DEF">
        <w:instrText xml:space="preserve"> REF _Ref157719507 \r \h </w:instrText>
      </w:r>
      <w:r w:rsidR="00540DEF">
        <w:fldChar w:fldCharType="separate"/>
      </w:r>
      <w:r w:rsidR="009373A0">
        <w:t>7</w:t>
      </w:r>
      <w:r w:rsidR="00540DEF">
        <w:fldChar w:fldCharType="end"/>
      </w:r>
      <w:r w:rsidR="00191190">
        <w:t xml:space="preserve"> concludes.</w:t>
      </w:r>
    </w:p>
    <w:p w14:paraId="1DDCD928" w14:textId="399647D6" w:rsidR="0012752B" w:rsidRDefault="0012752B" w:rsidP="009C0453">
      <w:pPr>
        <w:pStyle w:val="Heading1"/>
        <w:numPr>
          <w:ilvl w:val="0"/>
          <w:numId w:val="33"/>
        </w:numPr>
      </w:pPr>
      <w:bookmarkStart w:id="0" w:name="_Ref157718856"/>
      <w:r w:rsidRPr="009C0453">
        <w:lastRenderedPageBreak/>
        <w:t>Background</w:t>
      </w:r>
      <w:bookmarkEnd w:id="0"/>
    </w:p>
    <w:p w14:paraId="48EFF618" w14:textId="10335675" w:rsidR="0012752B" w:rsidRDefault="00981EFF" w:rsidP="009561B4">
      <w:pPr>
        <w:pStyle w:val="Heading2"/>
      </w:pPr>
      <w:r>
        <w:t>Interest Rate Swaps</w:t>
      </w:r>
    </w:p>
    <w:p w14:paraId="351EFEAC" w14:textId="66D9E2D9" w:rsidR="007C099B" w:rsidRDefault="0039392E" w:rsidP="00031822">
      <w:r>
        <w:t xml:space="preserve">IR </w:t>
      </w:r>
      <w:r w:rsidR="005A0C96" w:rsidRPr="005A0C96">
        <w:t xml:space="preserve">swaps are financial derivatives used to hedge or speculate on interest rate movements. The </w:t>
      </w:r>
      <w:r w:rsidR="00EB53A2">
        <w:t xml:space="preserve">three </w:t>
      </w:r>
      <w:r w:rsidR="005A0C96" w:rsidRPr="005A0C96">
        <w:t xml:space="preserve">most common types </w:t>
      </w:r>
      <w:r>
        <w:t xml:space="preserve">of IR swaps </w:t>
      </w:r>
      <w:r w:rsidR="005A0C96" w:rsidRPr="005A0C96">
        <w:t>include vanilla fixed-for-floating swaps, basis swaps, and cross-currency basis swaps. Vanilla fixed-for-floating swaps are the most prevalent</w:t>
      </w:r>
      <w:r w:rsidR="00446E24">
        <w:t>.</w:t>
      </w:r>
      <w:r w:rsidR="005A0C96" w:rsidRPr="005A0C96">
        <w:t xml:space="preserve"> </w:t>
      </w:r>
      <w:r w:rsidR="00446E24">
        <w:t>In this type of swap,</w:t>
      </w:r>
      <w:r w:rsidR="005A0C96" w:rsidRPr="005A0C96">
        <w:t xml:space="preserve"> one party exchanges fixed-rate coupon payments for floating-rate payments on a notional principal. Firms </w:t>
      </w:r>
      <w:r w:rsidR="00D41525">
        <w:t xml:space="preserve">can </w:t>
      </w:r>
      <w:r w:rsidR="005A0C96" w:rsidRPr="005A0C96">
        <w:t>use these instruments to convert floating-rate risk to fixed-rate risk, and vice versa.</w:t>
      </w:r>
      <w:r w:rsidR="00EF6757">
        <w:t xml:space="preserve"> </w:t>
      </w:r>
      <w:r w:rsidR="00C142C4">
        <w:t>As</w:t>
      </w:r>
      <w:r w:rsidR="00016AE6" w:rsidRPr="00016AE6">
        <w:t xml:space="preserve"> </w:t>
      </w:r>
      <w:r w:rsidR="00C142C4">
        <w:t xml:space="preserve">a concrete </w:t>
      </w:r>
      <w:r w:rsidR="00016AE6" w:rsidRPr="00016AE6">
        <w:t xml:space="preserve">example, </w:t>
      </w:r>
      <w:r w:rsidR="009A7D6A">
        <w:t xml:space="preserve">imagine </w:t>
      </w:r>
      <w:r w:rsidR="00016AE6" w:rsidRPr="00016AE6">
        <w:t xml:space="preserve">firm A can borrow at </w:t>
      </w:r>
      <w:r w:rsidR="009561B4">
        <w:t xml:space="preserve">the </w:t>
      </w:r>
      <w:r w:rsidR="009561B4" w:rsidRPr="00016AE6">
        <w:t>L</w:t>
      </w:r>
      <w:r w:rsidR="009561B4">
        <w:t xml:space="preserve">ondon </w:t>
      </w:r>
      <w:r w:rsidR="009561B4" w:rsidRPr="00016AE6">
        <w:t>I</w:t>
      </w:r>
      <w:r w:rsidR="009561B4">
        <w:t xml:space="preserve">nterbank </w:t>
      </w:r>
      <w:r w:rsidR="009561B4" w:rsidRPr="00016AE6">
        <w:t>O</w:t>
      </w:r>
      <w:r w:rsidR="009561B4">
        <w:t xml:space="preserve">ffer </w:t>
      </w:r>
      <w:r w:rsidR="009561B4" w:rsidRPr="00016AE6">
        <w:t>R</w:t>
      </w:r>
      <w:r w:rsidR="009561B4">
        <w:t>ate</w:t>
      </w:r>
      <w:r w:rsidR="0095406B">
        <w:t xml:space="preserve"> (LIBOR, </w:t>
      </w:r>
      <w:r w:rsidR="009561B4">
        <w:t xml:space="preserve">a common variable interest rate used by banks when lending money to each other) </w:t>
      </w:r>
      <w:r w:rsidR="00016AE6" w:rsidRPr="00016AE6">
        <w:t xml:space="preserve">or a fixed rate of 2.0%, while firm B can borrow at LIBOR + 0.25% or a fixed rate of 1.75%. Suppose firm A prefers </w:t>
      </w:r>
      <w:r w:rsidR="00A81AE5" w:rsidRPr="00016AE6">
        <w:t xml:space="preserve">borrowing </w:t>
      </w:r>
      <w:r w:rsidR="00A81AE5">
        <w:t xml:space="preserve">at a </w:t>
      </w:r>
      <w:r w:rsidR="00016AE6" w:rsidRPr="00016AE6">
        <w:t xml:space="preserve">fixed-rate and firm B prefers </w:t>
      </w:r>
      <w:r w:rsidR="00A81AE5" w:rsidRPr="00016AE6">
        <w:t xml:space="preserve">borrowing </w:t>
      </w:r>
      <w:r w:rsidR="00A81AE5">
        <w:t xml:space="preserve">at a </w:t>
      </w:r>
      <w:r w:rsidR="00016AE6" w:rsidRPr="00016AE6">
        <w:t>floating-rate</w:t>
      </w:r>
      <w:r w:rsidR="00575523">
        <w:t xml:space="preserve"> (this could be because firm A owns assets such as fixed-income securities while firm B owns assets that pay a variable rate, and the firms would like to match assets with liabilities)</w:t>
      </w:r>
      <w:r w:rsidR="00016AE6" w:rsidRPr="00016AE6">
        <w:t xml:space="preserve">. Despite their preferences, firm A has a comparative advantage in </w:t>
      </w:r>
      <w:r w:rsidR="00405D84" w:rsidRPr="00016AE6">
        <w:t xml:space="preserve">borrowing </w:t>
      </w:r>
      <w:r w:rsidR="00405D84">
        <w:t>at</w:t>
      </w:r>
      <w:r w:rsidR="00A81AE5">
        <w:t xml:space="preserve"> a </w:t>
      </w:r>
      <w:r w:rsidR="00016AE6" w:rsidRPr="00016AE6">
        <w:t xml:space="preserve">floating-rate, and firm B in </w:t>
      </w:r>
      <w:r w:rsidR="005E0C46" w:rsidRPr="00016AE6">
        <w:t xml:space="preserve">borrowing </w:t>
      </w:r>
      <w:r w:rsidR="005E0C46">
        <w:t>at</w:t>
      </w:r>
      <w:r w:rsidR="00A81AE5">
        <w:t xml:space="preserve"> a </w:t>
      </w:r>
      <w:r w:rsidR="00016AE6" w:rsidRPr="00016AE6">
        <w:t>fixed-rate. To achieve their preferred arrangements, the firms can enter into an IR swap agreement with a $1M notional</w:t>
      </w:r>
      <w:r w:rsidR="00D41525">
        <w:rPr>
          <w:rStyle w:val="FootnoteReference"/>
        </w:rPr>
        <w:footnoteReference w:id="2"/>
      </w:r>
      <w:r w:rsidR="00016AE6" w:rsidRPr="00016AE6">
        <w:t xml:space="preserve"> principal, where firm A receives a floating rate of LIBOR from firm B and pays a fixed rate of 1.75% to firm B. This transforms firm A's floating-rate liability into a fixed-rate one and vice versa for firm B. The IR swaps market allows firms to borrow in the market they have a comparative advantage in and trade for their preferred interest rate arrangement.</w:t>
      </w:r>
    </w:p>
    <w:p w14:paraId="053046C7" w14:textId="77777777" w:rsidR="00981DE6" w:rsidRDefault="00161437" w:rsidP="008D1C73">
      <w:r w:rsidRPr="00161437">
        <w:t xml:space="preserve">IR swaps </w:t>
      </w:r>
      <w:r w:rsidR="008D1C73">
        <w:t>can be</w:t>
      </w:r>
      <w:r w:rsidRPr="00161437">
        <w:t xml:space="preserve"> bespoke contracts, customizable to individual </w:t>
      </w:r>
      <w:r w:rsidR="008D1C73">
        <w:t xml:space="preserve">economic </w:t>
      </w:r>
      <w:r w:rsidRPr="00161437">
        <w:t xml:space="preserve">needs. As the largest over-the-counter </w:t>
      </w:r>
      <w:r w:rsidR="00FB01B7">
        <w:t xml:space="preserve">(OTC) </w:t>
      </w:r>
      <w:r w:rsidRPr="00161437">
        <w:t>swaps market, it accounted for $</w:t>
      </w:r>
      <w:r w:rsidR="00FD4074">
        <w:t>465</w:t>
      </w:r>
      <w:r w:rsidRPr="00161437">
        <w:t xml:space="preserve"> trillion of the $</w:t>
      </w:r>
      <w:r w:rsidR="00FD4074">
        <w:t xml:space="preserve">601 </w:t>
      </w:r>
      <w:r w:rsidRPr="00161437">
        <w:t>trillion global OTC swaps market in 2010</w:t>
      </w:r>
      <w:r w:rsidR="00FD4074">
        <w:t xml:space="preserve"> </w:t>
      </w:r>
      <w:r w:rsidR="00FD4074">
        <w:fldChar w:fldCharType="begin"/>
      </w:r>
      <w:r w:rsidR="00B9115F">
        <w:instrText xml:space="preserve"> ADDIN ZOTERO_ITEM CSL_CITATION {"citationID":"Vd9kFWHG","properties":{"formattedCitation":"(von Kleist and Mallo 2011)","plainCitation":"(von Kleist and Mallo 2011)","noteIndex":0},"citationItems":[{"id":861,"uris":["http://zotero.org/users/1226582/items/MIV8DAGL"],"itemData":{"id":861,"type":"article-journal","container-title":"Bank for International Settlements, Monetary and Economic Department, May","source":"Google Scholar","title":"OTC derivatives market activity in the second half of 2010","author":[{"family":"Kleist","given":"Karsten","non-dropping-particle":"von"},{"family":"Mallo","given":"C."}],"issued":{"date-parts":[["2011"]]}}}],"schema":"https://github.com/citation-style-language/schema/raw/master/csl-citation.json"} </w:instrText>
      </w:r>
      <w:r w:rsidR="00FD4074">
        <w:fldChar w:fldCharType="separate"/>
      </w:r>
      <w:r w:rsidR="00D459AC">
        <w:rPr>
          <w:noProof/>
        </w:rPr>
        <w:t>(von Kleist and Mallo 2011)</w:t>
      </w:r>
      <w:r w:rsidR="00FD4074">
        <w:fldChar w:fldCharType="end"/>
      </w:r>
      <w:r w:rsidRPr="00161437">
        <w:t>.</w:t>
      </w:r>
      <w:r w:rsidR="00AA193A">
        <w:t xml:space="preserve"> </w:t>
      </w:r>
      <w:r w:rsidR="008D1C73">
        <w:t>For many currencies, there are “standard</w:t>
      </w:r>
      <w:r w:rsidR="00AA193A">
        <w:t>ized</w:t>
      </w:r>
      <w:r w:rsidR="008D1C73">
        <w:t xml:space="preserve">” contracts, which </w:t>
      </w:r>
      <w:r w:rsidR="00AA193A">
        <w:t>have common features and are the most heavily traded</w:t>
      </w:r>
      <w:r w:rsidRPr="00161437">
        <w:t>.</w:t>
      </w:r>
    </w:p>
    <w:p w14:paraId="0D0B32A7" w14:textId="77777777" w:rsidR="00981DE6" w:rsidRDefault="008F79E0" w:rsidP="008D1C73">
      <w:r>
        <w:t>During the period of study, the “standard” (most common) US</w:t>
      </w:r>
      <w:r w:rsidR="00EC78C0">
        <w:t xml:space="preserve"> dollar (USD)</w:t>
      </w:r>
      <w:r>
        <w:t xml:space="preserve">-denominated IR swaps contract had semiannual payments </w:t>
      </w:r>
      <w:r w:rsidR="00AF63FA">
        <w:t xml:space="preserve">for one leg </w:t>
      </w:r>
      <w:r>
        <w:t xml:space="preserve">and </w:t>
      </w:r>
      <w:r w:rsidR="00AF63FA">
        <w:t xml:space="preserve">quarterly </w:t>
      </w:r>
      <w:r>
        <w:t>payments</w:t>
      </w:r>
      <w:r w:rsidR="00AF63FA">
        <w:t xml:space="preserve"> for the other leg (that is either trading quarterly fixed-rate payments for semiannual floating rate payments, or vice-versa)</w:t>
      </w:r>
      <w:r>
        <w:t xml:space="preserve">, with the </w:t>
      </w:r>
      <w:r w:rsidR="00440E83">
        <w:t xml:space="preserve">3-month </w:t>
      </w:r>
      <w:r>
        <w:t>USD-LIBOR curve used both as the floating-rate reference and for discounting future cash flows</w:t>
      </w:r>
      <w:r w:rsidR="00FB01B7">
        <w:t xml:space="preserve"> (see section </w:t>
      </w:r>
      <w:r w:rsidR="00FB01B7">
        <w:fldChar w:fldCharType="begin"/>
      </w:r>
      <w:r w:rsidR="00FB01B7">
        <w:instrText xml:space="preserve"> REF _Ref157719057 \r \h </w:instrText>
      </w:r>
      <w:r w:rsidR="00FB01B7">
        <w:fldChar w:fldCharType="separate"/>
      </w:r>
      <w:r w:rsidR="009373A0">
        <w:t>3</w:t>
      </w:r>
      <w:r w:rsidR="00FB01B7">
        <w:fldChar w:fldCharType="end"/>
      </w:r>
      <w:r w:rsidR="00981DE6">
        <w:t xml:space="preserve"> for an explanation of how IR swaps are priced</w:t>
      </w:r>
      <w:r w:rsidR="00FB01B7">
        <w:t>)</w:t>
      </w:r>
      <w:r>
        <w:t xml:space="preserve">. </w:t>
      </w:r>
      <w:r w:rsidR="00AA193A">
        <w:t xml:space="preserve">The </w:t>
      </w:r>
      <w:r w:rsidR="00AA193A">
        <w:lastRenderedPageBreak/>
        <w:t xml:space="preserve">day-count convention for the fixed-leg payment </w:t>
      </w:r>
      <w:r w:rsidR="00981DE6">
        <w:t>was</w:t>
      </w:r>
      <w:r w:rsidR="00935B7D">
        <w:t xml:space="preserve"> the </w:t>
      </w:r>
      <w:r w:rsidR="00AA193A">
        <w:t xml:space="preserve">30/360 convention </w:t>
      </w:r>
      <w:r w:rsidR="00440E83">
        <w:t>and</w:t>
      </w:r>
      <w:r w:rsidR="00AA193A">
        <w:t xml:space="preserve"> </w:t>
      </w:r>
      <w:r w:rsidR="00935B7D">
        <w:t xml:space="preserve">the day-count convention for the floating leg </w:t>
      </w:r>
      <w:r w:rsidR="00981DE6">
        <w:t xml:space="preserve">was </w:t>
      </w:r>
      <w:r w:rsidR="00935B7D">
        <w:t xml:space="preserve">the Actual/360 day-count convention. For payment schedules, the modified-following business day rule </w:t>
      </w:r>
      <w:r w:rsidR="00981DE6">
        <w:t>was</w:t>
      </w:r>
      <w:r w:rsidR="00935B7D">
        <w:t xml:space="preserve"> used.</w:t>
      </w:r>
    </w:p>
    <w:p w14:paraId="23181346" w14:textId="3CD851D9" w:rsidR="008D1C73" w:rsidRDefault="00AF63FA" w:rsidP="008D1C73">
      <w:r>
        <w:t xml:space="preserve">The standard </w:t>
      </w:r>
      <w:r w:rsidR="008F79E0">
        <w:t>C</w:t>
      </w:r>
      <w:r w:rsidR="00EC78C0">
        <w:t xml:space="preserve">anadian </w:t>
      </w:r>
      <w:r w:rsidR="008F79E0">
        <w:t>D</w:t>
      </w:r>
      <w:r w:rsidR="00EC78C0">
        <w:t>ollar (CAD)</w:t>
      </w:r>
      <w:r w:rsidR="008F79E0">
        <w:t>-denominated contract</w:t>
      </w:r>
      <w:r>
        <w:t xml:space="preserve"> </w:t>
      </w:r>
      <w:r w:rsidR="00AA1B8E">
        <w:t xml:space="preserve">had </w:t>
      </w:r>
      <w:r w:rsidR="00EC78C0">
        <w:t>CDOR</w:t>
      </w:r>
      <w:r w:rsidR="00AA1B8E">
        <w:t xml:space="preserve"> as the</w:t>
      </w:r>
      <w:r w:rsidR="00EC78C0">
        <w:t xml:space="preserve"> reference floating rate</w:t>
      </w:r>
      <w:r w:rsidR="00AA1B8E">
        <w:t xml:space="preserve">. </w:t>
      </w:r>
      <w:r w:rsidR="007721E7">
        <w:t xml:space="preserve">The contract used Actual/365 as the day-count convention for both </w:t>
      </w:r>
      <w:r w:rsidR="00B9115F">
        <w:t>legs and</w:t>
      </w:r>
      <w:r w:rsidR="007721E7">
        <w:t xml:space="preserve"> used the modified following </w:t>
      </w:r>
      <w:r w:rsidR="00DF452F">
        <w:t xml:space="preserve">day-count convention. </w:t>
      </w:r>
      <w:r w:rsidR="00440E83">
        <w:t>Both Canadian and US dollar denominated contracts used the ISDA master</w:t>
      </w:r>
      <w:r w:rsidR="00B9115F">
        <w:t xml:space="preserve"> </w:t>
      </w:r>
      <w:r w:rsidR="00440E83">
        <w:t xml:space="preserve">agreement, which specifies settlement, termination and other contract specifications. </w:t>
      </w:r>
      <w:r w:rsidR="00EC78C0">
        <w:t>Standard c</w:t>
      </w:r>
      <w:r w:rsidR="00AA1B8E">
        <w:t xml:space="preserve">ontracts denominated in other currencies </w:t>
      </w:r>
      <w:r w:rsidR="00440E83">
        <w:t xml:space="preserve">(e.g. EUR, GBP, and JPY) </w:t>
      </w:r>
      <w:r w:rsidR="00AA1B8E">
        <w:t>ha</w:t>
      </w:r>
      <w:r w:rsidR="00EC78C0">
        <w:t>ve</w:t>
      </w:r>
      <w:r w:rsidR="00AA1B8E">
        <w:t xml:space="preserve"> their own conventions as well.</w:t>
      </w:r>
      <w:r w:rsidR="00265F4A">
        <w:t xml:space="preserve"> </w:t>
      </w:r>
      <w:r w:rsidR="00981DE6">
        <w:t>C</w:t>
      </w:r>
      <w:r w:rsidR="00265F4A">
        <w:t xml:space="preserve">ontract specifications </w:t>
      </w:r>
      <w:r w:rsidR="00981DE6">
        <w:t xml:space="preserve">(such as reference rates, termination rules, caps on payments, etc.) </w:t>
      </w:r>
      <w:r w:rsidR="00265F4A">
        <w:t xml:space="preserve">can be </w:t>
      </w:r>
      <w:r w:rsidR="00981DE6">
        <w:t xml:space="preserve">customized </w:t>
      </w:r>
      <w:r w:rsidR="00265F4A">
        <w:t>to meet the requirements of the counterparties, but such non-standard contracts are likely to be less liquid than the standard contracts.</w:t>
      </w:r>
    </w:p>
    <w:p w14:paraId="16126F61" w14:textId="3D76D9E5" w:rsidR="007E1203" w:rsidRDefault="00B91280" w:rsidP="00D459AC">
      <w:r w:rsidRPr="00981DE6">
        <w:t>The</w:t>
      </w:r>
      <w:r w:rsidR="00B9115F" w:rsidRPr="00981DE6">
        <w:t xml:space="preserve"> </w:t>
      </w:r>
      <w:r w:rsidR="008B7733" w:rsidRPr="00981DE6">
        <w:t>I</w:t>
      </w:r>
      <w:r w:rsidR="008B7733">
        <w:t>R</w:t>
      </w:r>
      <w:r>
        <w:t xml:space="preserve"> </w:t>
      </w:r>
      <w:r w:rsidR="008B7733">
        <w:t xml:space="preserve">swaps </w:t>
      </w:r>
      <w:r w:rsidR="007E6044" w:rsidRPr="007E6044">
        <w:t>market is dealer-dominated, with dealer-customer and dealer-dealer trades accounting for 80% of notional value</w:t>
      </w:r>
      <w:r w:rsidR="00D459AC">
        <w:t xml:space="preserve"> </w:t>
      </w:r>
      <w:r w:rsidR="00D459AC">
        <w:fldChar w:fldCharType="begin"/>
      </w:r>
      <w:r w:rsidR="00B9115F">
        <w:instrText xml:space="preserve"> ADDIN ZOTERO_ITEM CSL_CITATION {"citationID":"LQftIycA","properties":{"formattedCitation":"(Bolandnazar 2020)","plainCitation":"(Bolandnazar 2020)","noteIndex":0},"citationItems":[{"id":283,"uris":["http://zotero.org/users/1226582/items/2G8VDPE5"],"itemData":{"id":283,"type":"report","abstract":"Following the Dodd-Frank Act, central clearing and centralized trading became mandatory for a class of the most liquid interest rate swaps (IRS). Nevertheless, IRS market making in the dealer-to-client sector remained concentrated at a few regulated banks that transfer their funding costs to end users. I develop an equilibrium model of IRS markets with imperfect competition among capital-constrained dealers. Using proprietary data on cleared IRS transactions and the dealers' daily margin requirements, I empirically investigate the impact of recent regulatory changes on market liquidity. By exploiting the variation in margin requirements across swaps with different risk profiles intermediated by bank-affiliated dealers, my estimates show that a 1 percentage point increase in the supplementary leverage ratio (SLR) leads to an increase of $1.5 billion in the annual cost of hedging for the end-users.","event-place":"Rochester, NY","genre":"SSRN Scholarly Paper","language":"en","note":"DOI: 10.2139/ssrn.3752367","number":"3752367","publisher":"Social Science Research Network","publisher-place":"Rochester, NY","source":"papers.ssrn.com","title":"The Market Structure of Dealer-to-Client Interest Rate Swaps","URL":"https://papers.ssrn.com/abstract=3752367","author":[{"family":"Bolandnazar","given":"Mohammadreza"}],"accessed":{"date-parts":[["2022",4,28]]},"issued":{"date-parts":[["2020",12,20]]}}}],"schema":"https://github.com/citation-style-language/schema/raw/master/csl-citation.json"} </w:instrText>
      </w:r>
      <w:r w:rsidR="00D459AC">
        <w:fldChar w:fldCharType="separate"/>
      </w:r>
      <w:r w:rsidR="00D459AC">
        <w:rPr>
          <w:noProof/>
        </w:rPr>
        <w:t>(Bolandnazar 2020)</w:t>
      </w:r>
      <w:r w:rsidR="00D459AC">
        <w:fldChar w:fldCharType="end"/>
      </w:r>
      <w:r w:rsidR="007E6044" w:rsidRPr="007E6044">
        <w:t xml:space="preserve">. Bolandnazar </w:t>
      </w:r>
      <w:r w:rsidR="00D459AC">
        <w:t xml:space="preserve">finds </w:t>
      </w:r>
      <w:r w:rsidR="007E6044" w:rsidRPr="007E6044">
        <w:t>that 50% of trades (by notional value) are executed by the largest seven dealers, indicating market concentration among a few dealers.</w:t>
      </w:r>
      <w:r w:rsidR="00D459AC">
        <w:t xml:space="preserve"> </w:t>
      </w:r>
      <w:r w:rsidR="007E6044" w:rsidRPr="007E6044">
        <w:t>This concentration can impact pricing and market stability</w:t>
      </w:r>
      <w:r w:rsidR="008D236F">
        <w:t xml:space="preserve"> in several ways</w:t>
      </w:r>
      <w:r w:rsidR="007E6044" w:rsidRPr="007E6044">
        <w:t>.</w:t>
      </w:r>
      <w:r w:rsidR="00D459AC">
        <w:t xml:space="preserve"> Larger dealers might be able to reduce search </w:t>
      </w:r>
      <w:r w:rsidR="00C64F72">
        <w:t xml:space="preserve">costs </w:t>
      </w:r>
      <w:r w:rsidR="00AA1B8E">
        <w:t xml:space="preserve">by </w:t>
      </w:r>
      <w:r w:rsidR="00C64F72">
        <w:t xml:space="preserve">easily finding </w:t>
      </w:r>
      <w:r w:rsidR="00AA1B8E">
        <w:t xml:space="preserve">a counterparty from </w:t>
      </w:r>
      <w:r w:rsidR="00981DE6">
        <w:t>their large</w:t>
      </w:r>
      <w:r w:rsidR="00AA1B8E">
        <w:t xml:space="preserve"> client base</w:t>
      </w:r>
      <w:r>
        <w:t xml:space="preserve">. They could also reduce </w:t>
      </w:r>
      <w:r w:rsidR="00D459AC">
        <w:t>costs</w:t>
      </w:r>
      <w:r w:rsidR="00C64F72">
        <w:t xml:space="preserve"> </w:t>
      </w:r>
      <w:r>
        <w:t xml:space="preserve">by </w:t>
      </w:r>
      <w:r w:rsidR="00C64F72">
        <w:t>economizing over administrative and warehousing costs</w:t>
      </w:r>
      <w:r w:rsidR="00AA1B8E">
        <w:t xml:space="preserve"> of contracts</w:t>
      </w:r>
      <w:r w:rsidR="00D459AC">
        <w:t xml:space="preserve">. However, because of their market position, they might </w:t>
      </w:r>
      <w:r>
        <w:t xml:space="preserve">have market power and be able to charge </w:t>
      </w:r>
      <w:r w:rsidR="008D236F">
        <w:t xml:space="preserve">a premium over </w:t>
      </w:r>
      <w:r w:rsidR="00981DE6">
        <w:t xml:space="preserve">the price that would </w:t>
      </w:r>
      <w:r w:rsidR="008D236F">
        <w:t>prevail in competitive markets</w:t>
      </w:r>
      <w:r w:rsidR="00C64F72">
        <w:t>. The failure of a large dealer (or a dealer’s major counterparty) could also drastically reduce liquidity in the system and increase transactions costs</w:t>
      </w:r>
      <w:r w:rsidR="008D236F">
        <w:t xml:space="preserve"> (t</w:t>
      </w:r>
      <w:r w:rsidR="00AA1B8E">
        <w:t>his is expanded upon in simulation</w:t>
      </w:r>
      <w:r w:rsidR="00981DE6">
        <w:t>s</w:t>
      </w:r>
      <w:r w:rsidR="00AA1B8E">
        <w:t xml:space="preserve"> </w:t>
      </w:r>
      <w:r w:rsidR="00981DE6">
        <w:t>in a later section</w:t>
      </w:r>
      <w:r w:rsidR="008D236F">
        <w:t>)</w:t>
      </w:r>
      <w:r w:rsidR="00AA1B8E">
        <w:t>.</w:t>
      </w:r>
    </w:p>
    <w:p w14:paraId="4CDB6FA5" w14:textId="1A2BA8EC" w:rsidR="00DC42EB" w:rsidRDefault="00DC42EB" w:rsidP="00AB12F9">
      <w:pPr>
        <w:pStyle w:val="Heading2"/>
      </w:pPr>
      <w:r>
        <w:t>Central Clearing</w:t>
      </w:r>
    </w:p>
    <w:p w14:paraId="0B92C52A" w14:textId="468F308D" w:rsidR="002F6C5B" w:rsidRDefault="00377D40" w:rsidP="00B15828">
      <w:r w:rsidRPr="00377D40">
        <w:t xml:space="preserve">When a swap is cleared, the </w:t>
      </w:r>
      <w:r w:rsidR="009C1462">
        <w:t xml:space="preserve">initial </w:t>
      </w:r>
      <w:r w:rsidRPr="00377D40">
        <w:t xml:space="preserve">contract between the two parties is replaced by </w:t>
      </w:r>
      <w:r w:rsidR="005812DC">
        <w:t>two</w:t>
      </w:r>
      <w:r w:rsidRPr="00377D40">
        <w:t xml:space="preserve"> contract</w:t>
      </w:r>
      <w:r w:rsidR="005812DC">
        <w:t>s</w:t>
      </w:r>
      <w:r w:rsidRPr="00377D40">
        <w:t xml:space="preserve"> between each party and a </w:t>
      </w:r>
      <w:r w:rsidR="00C758C6" w:rsidRPr="00377D40">
        <w:t>central clearinghouse</w:t>
      </w:r>
      <w:r w:rsidR="00C758C6">
        <w:t>/derivative</w:t>
      </w:r>
      <w:r w:rsidR="005812DC">
        <w:t xml:space="preserve"> clearing organization</w:t>
      </w:r>
      <w:r w:rsidRPr="00377D40">
        <w:t xml:space="preserve"> (CCP</w:t>
      </w:r>
      <w:r w:rsidR="002F6C5B">
        <w:t xml:space="preserve">, </w:t>
      </w:r>
      <w:r w:rsidRPr="00377D40">
        <w:t>DCO</w:t>
      </w:r>
      <w:r w:rsidR="002F6C5B">
        <w:t xml:space="preserve"> or clearinghouse</w:t>
      </w:r>
      <w:r w:rsidRPr="00377D40">
        <w:t>).</w:t>
      </w:r>
      <w:r w:rsidR="00877DDF">
        <w:t xml:space="preserve"> </w:t>
      </w:r>
      <w:r w:rsidR="009C1462">
        <w:t>The clearinghouse becomes the counterparty for each leg (that is, paying the fixed</w:t>
      </w:r>
      <w:r w:rsidR="00DB01F2">
        <w:t xml:space="preserve"> </w:t>
      </w:r>
      <w:r w:rsidR="009C1462">
        <w:t>leg</w:t>
      </w:r>
      <w:r w:rsidR="00877DDF">
        <w:t xml:space="preserve"> </w:t>
      </w:r>
      <w:r w:rsidR="009C1462">
        <w:t>to the initial party receiving fixed-leg payments</w:t>
      </w:r>
      <w:r w:rsidR="00DB01F2">
        <w:t xml:space="preserve"> and paying the floating leg to the party receiving the floating leg-payments. It also receives the floating leg from the initial party paying the floating rate and the fixed leg from the initial party paying the fixed leg). </w:t>
      </w:r>
      <w:r w:rsidR="00877DDF">
        <w:t xml:space="preserve">If one party fails to meet their contractual obligation, the clearinghouse can still </w:t>
      </w:r>
      <w:r w:rsidR="00ED4D27">
        <w:t xml:space="preserve">make sure the other party gets paid. </w:t>
      </w:r>
      <w:r w:rsidR="00981DE6">
        <w:lastRenderedPageBreak/>
        <w:t>For this purpose, c</w:t>
      </w:r>
      <w:r w:rsidR="00C64F72">
        <w:t xml:space="preserve">learinghouses </w:t>
      </w:r>
      <w:r w:rsidR="00981DE6">
        <w:t xml:space="preserve">practice risk-control measures and have </w:t>
      </w:r>
      <w:r w:rsidR="00C64F72">
        <w:t xml:space="preserve">additional </w:t>
      </w:r>
      <w:r w:rsidR="00981DE6">
        <w:t>resources</w:t>
      </w:r>
      <w:r w:rsidR="00C64F72">
        <w:t xml:space="preserve"> to make a counterparty whole in case of default. </w:t>
      </w:r>
      <w:r w:rsidR="00C90716">
        <w:t xml:space="preserve">When counterparties clear their trade through a </w:t>
      </w:r>
      <w:r w:rsidR="002F6C5B">
        <w:t>clearinghouse</w:t>
      </w:r>
      <w:r w:rsidR="00C90716">
        <w:t>, they must put up collateral</w:t>
      </w:r>
      <w:r w:rsidR="007E6980">
        <w:t xml:space="preserve"> </w:t>
      </w:r>
      <w:r w:rsidR="002F6C5B">
        <w:t xml:space="preserve">(initial margin) </w:t>
      </w:r>
      <w:r w:rsidR="007E6980">
        <w:t xml:space="preserve">and </w:t>
      </w:r>
      <w:r w:rsidR="00C90716">
        <w:t xml:space="preserve">contribute to a default fund. </w:t>
      </w:r>
      <w:r w:rsidR="002F6C5B">
        <w:t xml:space="preserve">In case the risk position of the counterparty changes, it can be required to put up additional collateral (variation margin). </w:t>
      </w:r>
      <w:r w:rsidR="00C90716">
        <w:t xml:space="preserve">The CCP also has </w:t>
      </w:r>
      <w:r w:rsidR="005744E9">
        <w:t xml:space="preserve">its own </w:t>
      </w:r>
      <w:r w:rsidR="00C90716">
        <w:t>equity (CCP capital)</w:t>
      </w:r>
      <w:r w:rsidR="002F6C5B">
        <w:t>, default fund contributions of other members</w:t>
      </w:r>
      <w:r w:rsidR="005744E9">
        <w:t>,</w:t>
      </w:r>
      <w:r w:rsidR="00C90716">
        <w:t xml:space="preserve"> and access to other lines of credit</w:t>
      </w:r>
      <w:r w:rsidR="00445059">
        <w:t xml:space="preserve"> </w:t>
      </w:r>
      <w:r w:rsidR="005744E9">
        <w:t>(</w:t>
      </w:r>
      <w:r w:rsidR="00445059">
        <w:t>such as the Federal Reserve discount window</w:t>
      </w:r>
      <w:r w:rsidR="005744E9">
        <w:t>)</w:t>
      </w:r>
      <w:r w:rsidR="00C90716">
        <w:t xml:space="preserve">. </w:t>
      </w:r>
      <w:r w:rsidR="00D8044D">
        <w:t xml:space="preserve">The combination of these resources </w:t>
      </w:r>
      <w:proofErr w:type="gramStart"/>
      <w:r w:rsidR="00D8044D">
        <w:t>make</w:t>
      </w:r>
      <w:proofErr w:type="gramEnd"/>
      <w:r w:rsidR="00D8044D">
        <w:t xml:space="preserve"> it unlikely that the failure of one counterparty would drastically affect the </w:t>
      </w:r>
      <w:r w:rsidR="00B15828">
        <w:t xml:space="preserve">whole </w:t>
      </w:r>
      <w:r w:rsidR="00D8044D">
        <w:t xml:space="preserve">market. </w:t>
      </w:r>
      <w:r w:rsidR="00B837CA">
        <w:t>Since clearing members can lose their contribution to the default fund in case of the failure of a counterparty, c</w:t>
      </w:r>
      <w:r w:rsidR="00B837CA" w:rsidRPr="00377D40">
        <w:t xml:space="preserve">learing </w:t>
      </w:r>
      <w:r w:rsidR="00B837CA">
        <w:t>mutualizes counterparty risk among the members of the clearinghouse</w:t>
      </w:r>
      <w:r w:rsidR="00B837CA" w:rsidRPr="00377D40">
        <w:t>.</w:t>
      </w:r>
    </w:p>
    <w:p w14:paraId="58435568" w14:textId="12CE9F15" w:rsidR="00AA1B8E" w:rsidRDefault="002F6C5B" w:rsidP="00B15828">
      <w:r>
        <w:t>I</w:t>
      </w:r>
      <w:r w:rsidR="00C64F72">
        <w:t>n addition</w:t>
      </w:r>
      <w:r w:rsidR="00D8044D">
        <w:t xml:space="preserve"> to these financial resources</w:t>
      </w:r>
      <w:r w:rsidR="00C64F72">
        <w:t>, c</w:t>
      </w:r>
      <w:r w:rsidR="00377D40" w:rsidRPr="00377D40">
        <w:t>learinghouses</w:t>
      </w:r>
      <w:r w:rsidR="007475B0">
        <w:t xml:space="preserve"> are</w:t>
      </w:r>
      <w:r w:rsidR="00377D40" w:rsidRPr="00377D40">
        <w:t xml:space="preserve"> large financial institutions </w:t>
      </w:r>
      <w:r w:rsidR="00C106ED">
        <w:t>that</w:t>
      </w:r>
      <w:r w:rsidR="007475B0">
        <w:t xml:space="preserve"> exercise </w:t>
      </w:r>
      <w:r w:rsidR="00377D40" w:rsidRPr="00377D40">
        <w:t>prudent risk control measures</w:t>
      </w:r>
      <w:r w:rsidR="00D8044D">
        <w:t xml:space="preserve"> </w:t>
      </w:r>
      <w:r w:rsidR="002F4ED0">
        <w:t>such as</w:t>
      </w:r>
      <w:r w:rsidR="00D8044D">
        <w:t xml:space="preserve"> monitoring members trading positions and liquidating distressed </w:t>
      </w:r>
      <w:r w:rsidR="002F4ED0">
        <w:t xml:space="preserve">assets </w:t>
      </w:r>
      <w:r w:rsidR="00D8044D">
        <w:t>in an orderly fashion</w:t>
      </w:r>
      <w:r w:rsidR="00377D40" w:rsidRPr="00377D40">
        <w:t>.</w:t>
      </w:r>
      <w:r w:rsidR="00B837CA">
        <w:t xml:space="preserve"> Since the clearinghouse can observe all trades that it is clearing, it has a better picture of overall riskiness. </w:t>
      </w:r>
      <w:r w:rsidR="005744E9">
        <w:t xml:space="preserve">Compare this to a bilateral market, where one party </w:t>
      </w:r>
      <w:r w:rsidR="00B837CA">
        <w:t xml:space="preserve">is </w:t>
      </w:r>
      <w:r w:rsidR="005744E9">
        <w:t xml:space="preserve">generally </w:t>
      </w:r>
      <w:r w:rsidR="00B837CA">
        <w:t xml:space="preserve">unaware of other trades its partner is </w:t>
      </w:r>
      <w:proofErr w:type="gramStart"/>
      <w:r w:rsidR="00B837CA">
        <w:t>entering</w:t>
      </w:r>
      <w:r w:rsidR="005744E9">
        <w:t xml:space="preserve"> into</w:t>
      </w:r>
      <w:proofErr w:type="gramEnd"/>
      <w:r w:rsidR="00B837CA">
        <w:t xml:space="preserve">, and </w:t>
      </w:r>
      <w:r w:rsidR="005744E9">
        <w:t xml:space="preserve">thus </w:t>
      </w:r>
      <w:r w:rsidR="00B837CA">
        <w:t xml:space="preserve">does not have a thorough understanding of its </w:t>
      </w:r>
      <w:r w:rsidR="00CB5D71">
        <w:t xml:space="preserve">partner’s </w:t>
      </w:r>
      <w:r w:rsidR="00B837CA">
        <w:t>riskiness.</w:t>
      </w:r>
    </w:p>
    <w:p w14:paraId="4165AE18" w14:textId="77777777" w:rsidR="00E639B5" w:rsidRDefault="00B15828" w:rsidP="00B15828">
      <w:r>
        <w:t xml:space="preserve">Clearing can also reduce demand for collateral through a practice called netting. </w:t>
      </w:r>
      <w:r w:rsidR="002F4ED0">
        <w:t>There are two types of netting practices common in the industry</w:t>
      </w:r>
      <w:r w:rsidR="00882716">
        <w:t>: cross-product netting and multiproduct netting</w:t>
      </w:r>
      <w:r w:rsidR="002F4ED0">
        <w:t xml:space="preserve">. </w:t>
      </w:r>
      <w:r w:rsidR="00F27E22">
        <w:t xml:space="preserve">For a clearinghouse that clears multiple types of </w:t>
      </w:r>
      <w:r w:rsidR="00882716">
        <w:t>contracts (e.g. interest rate swaps, forward rate agreements, overnight-index swaps, credit default swaps, etc.) c</w:t>
      </w:r>
      <w:r w:rsidR="002F4ED0">
        <w:t>ross-product n</w:t>
      </w:r>
      <w:r>
        <w:t xml:space="preserve">etting </w:t>
      </w:r>
      <w:r w:rsidR="002F4ED0">
        <w:t xml:space="preserve">involves netting </w:t>
      </w:r>
      <w:r>
        <w:t xml:space="preserve">across </w:t>
      </w:r>
      <w:r w:rsidR="002F4ED0">
        <w:t xml:space="preserve">different derivatives </w:t>
      </w:r>
      <w:r>
        <w:t>products. For example, if firm A owes the CCP $10 million in collateral for IR swaps, but the CCP owes firm A $8 million for CD swaps, then firm A can just pay the CCP $2 million in net collateral.</w:t>
      </w:r>
    </w:p>
    <w:p w14:paraId="531EF8A7" w14:textId="3F612B4E" w:rsidR="002C58F6" w:rsidRDefault="002F4ED0" w:rsidP="00B15828">
      <w:r>
        <w:t>Multilateral n</w:t>
      </w:r>
      <w:r w:rsidR="00B15828">
        <w:t xml:space="preserve">etting </w:t>
      </w:r>
      <w:r>
        <w:t>involves netting payments across multiple firms</w:t>
      </w:r>
      <w:r w:rsidR="00B15828">
        <w:t xml:space="preserve">. For example, consider the following series of </w:t>
      </w:r>
      <w:r w:rsidR="00DC2E73">
        <w:t>obligations</w:t>
      </w:r>
      <w:r w:rsidR="00B15828">
        <w:t xml:space="preserve">: firm A owes firm B $100 million and firm C $200 million; firm B owes firm A $50 million and firm C $150 million; firm C owes firm A $100 million and firm B $100 million. Without multilateral netting, </w:t>
      </w:r>
      <w:r w:rsidR="004C1AD0">
        <w:t xml:space="preserve">the firms can still engage in bilateral netting. </w:t>
      </w:r>
      <w:r w:rsidR="00E639B5">
        <w:t>In a bilateral netting regime, t</w:t>
      </w:r>
      <w:r w:rsidR="00B15828">
        <w:t xml:space="preserve">he following payments would need to be </w:t>
      </w:r>
      <w:proofErr w:type="gramStart"/>
      <w:r>
        <w:t>made:</w:t>
      </w:r>
      <w:proofErr w:type="gramEnd"/>
      <w:r w:rsidR="00B15828">
        <w:t xml:space="preserve"> </w:t>
      </w:r>
      <w:r w:rsidR="00782C1A">
        <w:t xml:space="preserve">firm A would </w:t>
      </w:r>
      <w:r w:rsidR="00AA1B8E">
        <w:t xml:space="preserve">need to </w:t>
      </w:r>
      <w:r w:rsidR="00782C1A">
        <w:t xml:space="preserve">pay firm B ($100 - $50) = $50 million and firm C ($200 - $100) = $100 million; firm B would </w:t>
      </w:r>
      <w:r w:rsidR="00AA1B8E">
        <w:t xml:space="preserve">need to </w:t>
      </w:r>
      <w:r w:rsidR="00782C1A">
        <w:t>pay firm C ($150 - $100) = $50 million. The total collateral demand would be $200 million. With multilateral netting</w:t>
      </w:r>
      <w:r w:rsidR="00265F4A">
        <w:t xml:space="preserve"> by the CCP</w:t>
      </w:r>
      <w:r w:rsidR="00782C1A">
        <w:t xml:space="preserve">, </w:t>
      </w:r>
      <w:r w:rsidR="00265F4A">
        <w:t>the $50 million payment from firm A t</w:t>
      </w:r>
      <w:r w:rsidR="00E639B5">
        <w:t>hrough</w:t>
      </w:r>
      <w:r w:rsidR="00265F4A">
        <w:t xml:space="preserve"> </w:t>
      </w:r>
      <w:r w:rsidR="00E639B5">
        <w:t xml:space="preserve">firm </w:t>
      </w:r>
      <w:r w:rsidR="00265F4A">
        <w:t xml:space="preserve">B to </w:t>
      </w:r>
      <w:r w:rsidR="00E639B5">
        <w:t xml:space="preserve">firm </w:t>
      </w:r>
      <w:r w:rsidR="00265F4A">
        <w:lastRenderedPageBreak/>
        <w:t>C can be eliminated. F</w:t>
      </w:r>
      <w:r w:rsidR="00782C1A">
        <w:t>irm A would pay the CCP $150 million and the CCP would pay firm C $150 million (while firm B would not make any payments</w:t>
      </w:r>
      <w:r>
        <w:t xml:space="preserve"> at all</w:t>
      </w:r>
      <w:r w:rsidR="00782C1A">
        <w:t>). The total collateral demand would be $150 million.</w:t>
      </w:r>
    </w:p>
    <w:p w14:paraId="25F9B403" w14:textId="77777777" w:rsidR="00BF72AE" w:rsidRDefault="00BF72AE" w:rsidP="00B15828"/>
    <w:p w14:paraId="56438D5D" w14:textId="4ECDD7C5" w:rsidR="00BF72AE" w:rsidRDefault="00BF72AE" w:rsidP="00BF72AE">
      <w:pPr>
        <w:pStyle w:val="Caption"/>
      </w:pPr>
      <w:bookmarkStart w:id="1" w:name="_Ref162817922"/>
      <w:r>
        <w:t xml:space="preserve">Figure </w:t>
      </w:r>
      <w:r w:rsidR="005D0AA8">
        <w:fldChar w:fldCharType="begin"/>
      </w:r>
      <w:r w:rsidR="005D0AA8">
        <w:instrText xml:space="preserve"> SEQ Figure \* ARABIC </w:instrText>
      </w:r>
      <w:r w:rsidR="005D0AA8">
        <w:fldChar w:fldCharType="separate"/>
      </w:r>
      <w:r w:rsidR="00C66CC2">
        <w:rPr>
          <w:noProof/>
        </w:rPr>
        <w:t>1</w:t>
      </w:r>
      <w:r w:rsidR="005D0AA8">
        <w:fldChar w:fldCharType="end"/>
      </w:r>
      <w:bookmarkEnd w:id="1"/>
      <w:r>
        <w:rPr>
          <w:noProof/>
        </w:rPr>
        <w:t xml:space="preserve"> (a) Example </w:t>
      </w:r>
      <w:r w:rsidR="007B359F">
        <w:rPr>
          <w:noProof/>
        </w:rPr>
        <w:t xml:space="preserve">of </w:t>
      </w:r>
      <w:r>
        <w:rPr>
          <w:noProof/>
        </w:rPr>
        <w:t xml:space="preserve">obligations </w:t>
      </w:r>
      <w:r w:rsidR="007B359F">
        <w:rPr>
          <w:noProof/>
        </w:rPr>
        <w:t xml:space="preserve">between three firms </w:t>
      </w:r>
      <w:r w:rsidR="00E639B5">
        <w:rPr>
          <w:noProof/>
        </w:rPr>
        <w:t xml:space="preserve">without netting </w:t>
      </w:r>
      <w:r>
        <w:rPr>
          <w:noProof/>
        </w:rPr>
        <w:t xml:space="preserve">and (b) </w:t>
      </w:r>
      <w:r w:rsidR="00E639B5">
        <w:rPr>
          <w:noProof/>
        </w:rPr>
        <w:t xml:space="preserve">with </w:t>
      </w:r>
      <w:r>
        <w:rPr>
          <w:noProof/>
        </w:rPr>
        <w:t xml:space="preserve">bilateral netting and (c) </w:t>
      </w:r>
      <w:r w:rsidR="00E639B5">
        <w:rPr>
          <w:noProof/>
        </w:rPr>
        <w:t xml:space="preserve">with </w:t>
      </w:r>
      <w:r>
        <w:rPr>
          <w:noProof/>
        </w:rPr>
        <w:t>multilateral netting</w:t>
      </w:r>
    </w:p>
    <w:p w14:paraId="2389E1F1" w14:textId="38855A0E" w:rsidR="00265F4A" w:rsidRDefault="00E214A1" w:rsidP="00B15828">
      <w:r>
        <w:t>[Figure 1 about here]</w:t>
      </w:r>
    </w:p>
    <w:p w14:paraId="507E50F0" w14:textId="77777777" w:rsidR="00265F4A" w:rsidRDefault="00265F4A" w:rsidP="00B15828"/>
    <w:p w14:paraId="3D23A101" w14:textId="255A0451" w:rsidR="00DC42EB" w:rsidRDefault="0025043C" w:rsidP="00A8682C">
      <w:r w:rsidRPr="0025043C">
        <w:t xml:space="preserve">Originally created for </w:t>
      </w:r>
      <w:r w:rsidR="00E6619F">
        <w:t xml:space="preserve">members of </w:t>
      </w:r>
      <w:r w:rsidRPr="0025043C">
        <w:t xml:space="preserve">futures </w:t>
      </w:r>
      <w:r w:rsidR="00E6619F">
        <w:t xml:space="preserve">and equities </w:t>
      </w:r>
      <w:r w:rsidRPr="0025043C">
        <w:t xml:space="preserve">exchanges, clearinghouses became more significant with regulations like the </w:t>
      </w:r>
      <w:r w:rsidR="0011666A">
        <w:t xml:space="preserve">DFA (2010) </w:t>
      </w:r>
      <w:r w:rsidRPr="0025043C">
        <w:t>and European Market Infrastructure Regulation (EMIR</w:t>
      </w:r>
      <w:r w:rsidR="0011666A">
        <w:t>, 2012</w:t>
      </w:r>
      <w:r w:rsidRPr="0025043C">
        <w:t xml:space="preserve">) mandating central clearing of derivatives. Mandated clearing </w:t>
      </w:r>
      <w:r w:rsidR="00265F4A">
        <w:t>can</w:t>
      </w:r>
      <w:r w:rsidRPr="0025043C">
        <w:t xml:space="preserve"> have macro and micro effects on the </w:t>
      </w:r>
      <w:r w:rsidR="00265F4A">
        <w:t xml:space="preserve">swaps </w:t>
      </w:r>
      <w:r w:rsidRPr="0025043C">
        <w:t>market. At the macro level, clearing could reduce volatility but also strain the market through collateral demand during volatile or illiquid periods. Large enough losses could threaten clearinghouse solvency, transmitting effects to all members.</w:t>
      </w:r>
      <w:r w:rsidR="00A8682C">
        <w:t xml:space="preserve"> </w:t>
      </w:r>
      <w:r w:rsidR="00B92576" w:rsidRPr="00B92576">
        <w:t xml:space="preserve">At the micro level, central clearing may change the types of trades firms enter, potentially leading to riskier trades due to mutualized default risk (adverse selection) and riskier post-trade activities (moral hazard). Clearing is subject to economies of scale and scope, which could lead to natural monopolies. However, regulators are likely to prevent this through local clearinghouse requirements </w:t>
      </w:r>
      <w:r w:rsidR="00DB74D5">
        <w:t xml:space="preserve">(that is, even though a single clearinghouse for </w:t>
      </w:r>
      <w:r w:rsidR="009B1EFD">
        <w:t xml:space="preserve">both the </w:t>
      </w:r>
      <w:r w:rsidR="00DB74D5">
        <w:t xml:space="preserve">US and Europe might have lower costs, regulators might require </w:t>
      </w:r>
      <w:r w:rsidR="009B1EFD">
        <w:t xml:space="preserve">separate </w:t>
      </w:r>
      <w:r w:rsidR="00DB74D5">
        <w:t>clearinghouse</w:t>
      </w:r>
      <w:r w:rsidR="009B1EFD">
        <w:t>s</w:t>
      </w:r>
      <w:r w:rsidR="00DB74D5">
        <w:t xml:space="preserve"> </w:t>
      </w:r>
      <w:r w:rsidR="009B1EFD">
        <w:t>in each geography</w:t>
      </w:r>
      <w:r w:rsidR="00DB74D5">
        <w:t xml:space="preserve">) </w:t>
      </w:r>
      <w:r w:rsidR="00B92576" w:rsidRPr="00B92576">
        <w:t>and antitrust scrutiny. While clearinghouses can reduce default risk and collateral demand, they also require resources for risk management activities, which may increase trading costs.</w:t>
      </w:r>
    </w:p>
    <w:p w14:paraId="4CE2130C" w14:textId="77777777" w:rsidR="00BF6365" w:rsidRDefault="00BF6365" w:rsidP="00AB12F9">
      <w:pPr>
        <w:pStyle w:val="Heading2"/>
      </w:pPr>
      <w:r>
        <w:t>Regulatory Background</w:t>
      </w:r>
    </w:p>
    <w:p w14:paraId="4AD983A7" w14:textId="1E3DEDDA" w:rsidR="00BF6365" w:rsidRPr="00EA1749" w:rsidRDefault="00BF6365" w:rsidP="00AB12F9">
      <w:pPr>
        <w:pStyle w:val="Heading3"/>
      </w:pPr>
      <w:r w:rsidRPr="00EA1749">
        <w:t xml:space="preserve">US </w:t>
      </w:r>
      <w:r w:rsidR="00EA1749">
        <w:t>C</w:t>
      </w:r>
      <w:r w:rsidRPr="00EA1749">
        <w:t>ontext</w:t>
      </w:r>
    </w:p>
    <w:p w14:paraId="40824E1A" w14:textId="3C063AAD" w:rsidR="00BF6365" w:rsidRDefault="0086750E" w:rsidP="00031822">
      <w:r w:rsidRPr="0086750E">
        <w:t xml:space="preserve">Following the financial crisis, Congress passed the DFA to enhance the US financial system's reliability. Since </w:t>
      </w:r>
      <w:proofErr w:type="gramStart"/>
      <w:r w:rsidR="006738CB">
        <w:t>over</w:t>
      </w:r>
      <w:r w:rsidR="00E639B5">
        <w:t>-</w:t>
      </w:r>
      <w:r w:rsidR="006738CB">
        <w:t>the</w:t>
      </w:r>
      <w:r w:rsidR="00E639B5">
        <w:t>-</w:t>
      </w:r>
      <w:r w:rsidR="006738CB">
        <w:t>counter</w:t>
      </w:r>
      <w:proofErr w:type="gramEnd"/>
      <w:r w:rsidRPr="0086750E">
        <w:t xml:space="preserve"> </w:t>
      </w:r>
      <w:r w:rsidR="00C519BF">
        <w:t xml:space="preserve">(OTC) </w:t>
      </w:r>
      <w:r w:rsidRPr="0086750E">
        <w:t xml:space="preserve">derivatives markets played a role in the crisis, </w:t>
      </w:r>
      <w:r w:rsidR="00381A4D">
        <w:t>DFA</w:t>
      </w:r>
      <w:r w:rsidRPr="0086750E">
        <w:t xml:space="preserve"> aimed to significantly reform this market. Key objectives included improving trade data availability for regulators and market participants, requiring real-time reporting of certain trade characteristics, and mandating confidential trade data reporting to swaps data repositories and regulators.</w:t>
      </w:r>
    </w:p>
    <w:p w14:paraId="384F3128" w14:textId="2FF46EC4" w:rsidR="0010299E" w:rsidRDefault="00715923" w:rsidP="00C519BF">
      <w:r w:rsidRPr="00715923">
        <w:lastRenderedPageBreak/>
        <w:t xml:space="preserve">To reduce default risk for large swaps dealers, </w:t>
      </w:r>
      <w:r w:rsidR="00381A4D">
        <w:t>DFA</w:t>
      </w:r>
      <w:r w:rsidRPr="00715923">
        <w:t xml:space="preserve"> requires </w:t>
      </w:r>
      <w:r w:rsidR="00C519BF">
        <w:t xml:space="preserve">dealers to register </w:t>
      </w:r>
      <w:r w:rsidRPr="00715923">
        <w:t xml:space="preserve">with the </w:t>
      </w:r>
      <w:r w:rsidR="00AB12F9">
        <w:t xml:space="preserve">Commodities Futures Trading Commission (CFTC) </w:t>
      </w:r>
      <w:r w:rsidR="00C519BF">
        <w:t xml:space="preserve">or </w:t>
      </w:r>
      <w:r w:rsidR="0011666A">
        <w:t>the Securities and Exchange Commission (SEC)</w:t>
      </w:r>
      <w:r w:rsidRPr="00715923">
        <w:t xml:space="preserve">, </w:t>
      </w:r>
      <w:r w:rsidR="00C519BF">
        <w:t xml:space="preserve">adhere </w:t>
      </w:r>
      <w:r w:rsidRPr="00715923">
        <w:t>to internal business conduct standards</w:t>
      </w:r>
      <w:r w:rsidR="00C519BF">
        <w:t xml:space="preserve"> and maintain </w:t>
      </w:r>
      <w:r w:rsidRPr="00715923">
        <w:t>adequate capital</w:t>
      </w:r>
      <w:r w:rsidR="00381A4D">
        <w:t>. T</w:t>
      </w:r>
      <w:r w:rsidR="00381A4D" w:rsidRPr="00715923">
        <w:t>o enhance liquidity</w:t>
      </w:r>
      <w:r w:rsidR="00381A4D">
        <w:t>,</w:t>
      </w:r>
      <w:r w:rsidR="00381A4D" w:rsidRPr="00715923">
        <w:t xml:space="preserve"> price discovery</w:t>
      </w:r>
      <w:r w:rsidR="00381A4D">
        <w:t xml:space="preserve"> and transparency, it</w:t>
      </w:r>
      <w:r w:rsidR="00381A4D" w:rsidRPr="00715923">
        <w:t xml:space="preserve"> </w:t>
      </w:r>
      <w:r w:rsidR="00381A4D">
        <w:t>encourages</w:t>
      </w:r>
      <w:r w:rsidRPr="00715923">
        <w:t xml:space="preserve"> trading </w:t>
      </w:r>
      <w:r w:rsidR="00381A4D">
        <w:t xml:space="preserve">to take place </w:t>
      </w:r>
      <w:r w:rsidRPr="00715923">
        <w:t>in central</w:t>
      </w:r>
      <w:r w:rsidR="00381A4D">
        <w:t>ized</w:t>
      </w:r>
      <w:r w:rsidRPr="00715923">
        <w:t xml:space="preserve"> </w:t>
      </w:r>
      <w:r w:rsidR="007C0619">
        <w:t>S</w:t>
      </w:r>
      <w:r w:rsidRPr="00715923">
        <w:t xml:space="preserve">waps </w:t>
      </w:r>
      <w:r w:rsidR="007C0619">
        <w:t>E</w:t>
      </w:r>
      <w:r w:rsidRPr="00715923">
        <w:t xml:space="preserve">xecution </w:t>
      </w:r>
      <w:r w:rsidR="007C0619">
        <w:t>F</w:t>
      </w:r>
      <w:r w:rsidRPr="00715923">
        <w:t>acilities (SEFs</w:t>
      </w:r>
      <w:r w:rsidR="00E639B5">
        <w:t>, usually electronic trading venues</w:t>
      </w:r>
      <w:r w:rsidRPr="00715923">
        <w:t xml:space="preserve">) or </w:t>
      </w:r>
      <w:r w:rsidR="007C0619">
        <w:t>D</w:t>
      </w:r>
      <w:r w:rsidRPr="00715923">
        <w:t xml:space="preserve">esignated </w:t>
      </w:r>
      <w:r w:rsidR="007C0619">
        <w:t>C</w:t>
      </w:r>
      <w:r w:rsidRPr="00715923">
        <w:t xml:space="preserve">ontract </w:t>
      </w:r>
      <w:r w:rsidR="007C0619">
        <w:t>M</w:t>
      </w:r>
      <w:r w:rsidRPr="00715923">
        <w:t>arkets (DCMs)</w:t>
      </w:r>
      <w:r w:rsidR="00BA72D6">
        <w:t xml:space="preserve">. To make trade data more readily available, it requires </w:t>
      </w:r>
      <w:r w:rsidR="00C519BF">
        <w:t xml:space="preserve">real-time </w:t>
      </w:r>
      <w:r w:rsidR="00381A4D">
        <w:t xml:space="preserve">reporting </w:t>
      </w:r>
      <w:r w:rsidR="00C519BF">
        <w:t xml:space="preserve">of </w:t>
      </w:r>
      <w:r w:rsidR="00381A4D">
        <w:t xml:space="preserve">price information to swaps data repositories (SDRs) and submitting </w:t>
      </w:r>
      <w:r w:rsidR="00C519BF">
        <w:t xml:space="preserve">additional </w:t>
      </w:r>
      <w:r w:rsidR="00381A4D">
        <w:t xml:space="preserve">data </w:t>
      </w:r>
      <w:r w:rsidR="00C519BF">
        <w:t xml:space="preserve">(called primary economic terms) </w:t>
      </w:r>
      <w:r w:rsidR="00381A4D">
        <w:t xml:space="preserve">to SDRs </w:t>
      </w:r>
      <w:r w:rsidR="00E639B5">
        <w:t xml:space="preserve">and regulators </w:t>
      </w:r>
      <w:r w:rsidR="00381A4D">
        <w:t>in a timely fashion</w:t>
      </w:r>
      <w:r w:rsidRPr="00715923">
        <w:t xml:space="preserve">. Furthermore, the DFA mandates most contracts be centrally cleared </w:t>
      </w:r>
      <w:r w:rsidR="00381A4D">
        <w:t>(</w:t>
      </w:r>
      <w:r w:rsidRPr="00715923">
        <w:t>and for uncleared contracts, requires parties to post margin to mitigate default effects</w:t>
      </w:r>
      <w:r w:rsidR="00381A4D">
        <w:t>)</w:t>
      </w:r>
      <w:r w:rsidRPr="00715923">
        <w:t xml:space="preserve">. </w:t>
      </w:r>
      <w:r w:rsidR="00CF1F18">
        <w:fldChar w:fldCharType="begin"/>
      </w:r>
      <w:r w:rsidR="00CF1F18">
        <w:instrText xml:space="preserve"> REF _Ref149505424 \h </w:instrText>
      </w:r>
      <w:r w:rsidR="00031822">
        <w:instrText xml:space="preserve"> \* MERGEFORMAT </w:instrText>
      </w:r>
      <w:r w:rsidR="00CF1F18">
        <w:fldChar w:fldCharType="separate"/>
      </w:r>
      <w:r w:rsidR="009373A0">
        <w:t xml:space="preserve">Table </w:t>
      </w:r>
      <w:r w:rsidR="009373A0">
        <w:rPr>
          <w:noProof/>
        </w:rPr>
        <w:t>1</w:t>
      </w:r>
      <w:r w:rsidR="00CF1F18">
        <w:fldChar w:fldCharType="end"/>
      </w:r>
      <w:r w:rsidR="00CF1F18">
        <w:t xml:space="preserve"> </w:t>
      </w:r>
      <w:r w:rsidRPr="00715923">
        <w:t xml:space="preserve">summarizes the CFTC </w:t>
      </w:r>
      <w:r w:rsidR="00381A4D">
        <w:t xml:space="preserve">key </w:t>
      </w:r>
      <w:r w:rsidR="00EA1749" w:rsidRPr="00715923">
        <w:t>rulemaking</w:t>
      </w:r>
      <w:r w:rsidRPr="00715923">
        <w:t xml:space="preserve"> in these areas.</w:t>
      </w:r>
    </w:p>
    <w:p w14:paraId="1B32DFFB" w14:textId="09C752D7" w:rsidR="00C61057" w:rsidRDefault="00C61057">
      <w:pPr>
        <w:spacing w:line="240" w:lineRule="auto"/>
        <w:ind w:firstLine="0"/>
        <w:jc w:val="left"/>
      </w:pPr>
      <w:r>
        <w:br w:type="page"/>
      </w:r>
    </w:p>
    <w:p w14:paraId="3EC1AD7D" w14:textId="77777777" w:rsidR="00C61057" w:rsidRDefault="00C61057" w:rsidP="00C519BF"/>
    <w:p w14:paraId="49705BEC" w14:textId="69F23162" w:rsidR="000C5086" w:rsidRDefault="000C5086" w:rsidP="00031822">
      <w:pPr>
        <w:pStyle w:val="Caption"/>
        <w:keepNext/>
      </w:pPr>
      <w:bookmarkStart w:id="2" w:name="_Ref149505424"/>
      <w:r>
        <w:t xml:space="preserve">Table </w:t>
      </w:r>
      <w:r>
        <w:fldChar w:fldCharType="begin"/>
      </w:r>
      <w:r>
        <w:instrText xml:space="preserve"> SEQ Table \* ARABIC </w:instrText>
      </w:r>
      <w:r>
        <w:fldChar w:fldCharType="separate"/>
      </w:r>
      <w:r w:rsidR="008D236B">
        <w:rPr>
          <w:noProof/>
        </w:rPr>
        <w:t>1</w:t>
      </w:r>
      <w:r>
        <w:rPr>
          <w:noProof/>
        </w:rPr>
        <w:fldChar w:fldCharType="end"/>
      </w:r>
      <w:bookmarkEnd w:id="2"/>
      <w:r>
        <w:rPr>
          <w:noProof/>
        </w:rPr>
        <w:t xml:space="preserve"> Major Dodd-Frank Act Rulemaking Areas</w:t>
      </w:r>
    </w:p>
    <w:p w14:paraId="59E87DAC" w14:textId="13102727" w:rsidR="00482903" w:rsidRDefault="002A688F" w:rsidP="00031822">
      <w:pPr>
        <w:ind w:firstLine="720"/>
      </w:pPr>
      <w:r>
        <w:t>[Table 1 about here]</w:t>
      </w:r>
    </w:p>
    <w:p w14:paraId="6D2C420C" w14:textId="1AD74955" w:rsidR="00C61057" w:rsidRDefault="00C61057">
      <w:pPr>
        <w:spacing w:line="240" w:lineRule="auto"/>
        <w:ind w:firstLine="0"/>
        <w:jc w:val="left"/>
      </w:pPr>
    </w:p>
    <w:p w14:paraId="13D9D68C" w14:textId="7806B61D" w:rsidR="000816B7" w:rsidRPr="00EA1749" w:rsidRDefault="000816B7" w:rsidP="00031822">
      <w:pPr>
        <w:pStyle w:val="Heading3"/>
      </w:pPr>
      <w:r w:rsidRPr="00EA1749">
        <w:t>International Context</w:t>
      </w:r>
    </w:p>
    <w:p w14:paraId="7503937D" w14:textId="27BECDBE" w:rsidR="00FB04CE" w:rsidRDefault="00FB04CE" w:rsidP="00C519BF">
      <w:r w:rsidRPr="00FB04CE">
        <w:t>Considering the global nature of the financial system, regulators collaborated international</w:t>
      </w:r>
      <w:r w:rsidR="00C519BF">
        <w:t xml:space="preserve">ly </w:t>
      </w:r>
      <w:r w:rsidRPr="00FB04CE">
        <w:t xml:space="preserve">to harmonize regulatory requirements. </w:t>
      </w:r>
      <w:r w:rsidR="002F4ED0">
        <w:t>In</w:t>
      </w:r>
      <w:r w:rsidRPr="00FB04CE">
        <w:t xml:space="preserve"> </w:t>
      </w:r>
      <w:r w:rsidR="00C519BF">
        <w:t xml:space="preserve">Europe, the EU </w:t>
      </w:r>
      <w:r w:rsidRPr="00FB04CE">
        <w:t>passed EMIR</w:t>
      </w:r>
      <w:r w:rsidR="00C519BF">
        <w:t xml:space="preserve"> in 2012</w:t>
      </w:r>
      <w:r w:rsidRPr="00FB04CE">
        <w:t xml:space="preserve">, which shares similar aims </w:t>
      </w:r>
      <w:r w:rsidR="003A69DC">
        <w:t>as the</w:t>
      </w:r>
      <w:r w:rsidRPr="00FB04CE">
        <w:t xml:space="preserve"> </w:t>
      </w:r>
      <w:r w:rsidR="0010299E">
        <w:t>DFA</w:t>
      </w:r>
      <w:r w:rsidRPr="00FB04CE">
        <w:t xml:space="preserve">, while the Bank of England </w:t>
      </w:r>
      <w:r w:rsidR="002F4ED0">
        <w:t xml:space="preserve">(BoE) </w:t>
      </w:r>
      <w:r w:rsidRPr="00FB04CE">
        <w:t>issued regulations mandating clearing for most trades involving UK-based entities.</w:t>
      </w:r>
      <w:r w:rsidR="00C519BF">
        <w:t xml:space="preserve"> </w:t>
      </w:r>
      <w:r w:rsidR="00821AC5" w:rsidRPr="00821AC5">
        <w:t xml:space="preserve">In Asia, the Japanese Financial Services Authority (JFSA) required yen-denominated IR swaps and </w:t>
      </w:r>
      <w:r w:rsidR="00C519BF">
        <w:t>certain</w:t>
      </w:r>
      <w:r w:rsidR="00821AC5" w:rsidRPr="00821AC5">
        <w:t xml:space="preserve"> CD swaps to be cleared by the end of 2012</w:t>
      </w:r>
      <w:r w:rsidR="00C519BF">
        <w:t xml:space="preserve">; </w:t>
      </w:r>
      <w:r w:rsidR="00821AC5" w:rsidRPr="00821AC5">
        <w:t xml:space="preserve">the Monetary Authority of Singapore </w:t>
      </w:r>
      <w:r w:rsidR="00781E75">
        <w:t xml:space="preserve">(MAS) </w:t>
      </w:r>
      <w:r w:rsidR="00821AC5" w:rsidRPr="00821AC5">
        <w:t xml:space="preserve">and the Securities and Futures Commission </w:t>
      </w:r>
      <w:r w:rsidR="00781E75">
        <w:t xml:space="preserve">(SFC) </w:t>
      </w:r>
      <w:r w:rsidR="00821AC5" w:rsidRPr="00821AC5">
        <w:t xml:space="preserve">of Hong Kong released consultation papers expressing their intentions to clear swaps denominated in certain Asian currencies. </w:t>
      </w:r>
      <w:r w:rsidR="00CF1F18">
        <w:fldChar w:fldCharType="begin"/>
      </w:r>
      <w:r w:rsidR="00CF1F18">
        <w:instrText xml:space="preserve"> REF _Ref149505461 \h </w:instrText>
      </w:r>
      <w:r w:rsidR="00031822">
        <w:instrText xml:space="preserve"> \* MERGEFORMAT </w:instrText>
      </w:r>
      <w:r w:rsidR="00CF1F18">
        <w:fldChar w:fldCharType="separate"/>
      </w:r>
      <w:r w:rsidR="009373A0">
        <w:t xml:space="preserve">Table </w:t>
      </w:r>
      <w:r w:rsidR="009373A0">
        <w:rPr>
          <w:noProof/>
        </w:rPr>
        <w:t>2</w:t>
      </w:r>
      <w:r w:rsidR="00CF1F18">
        <w:fldChar w:fldCharType="end"/>
      </w:r>
      <w:r w:rsidR="00821AC5" w:rsidRPr="00821AC5">
        <w:t xml:space="preserve"> summarizes the international context:</w:t>
      </w:r>
    </w:p>
    <w:p w14:paraId="24F5281D" w14:textId="6C1094E8" w:rsidR="00C61057" w:rsidRDefault="00C61057">
      <w:pPr>
        <w:spacing w:line="240" w:lineRule="auto"/>
        <w:ind w:firstLine="0"/>
        <w:jc w:val="left"/>
      </w:pPr>
      <w:r>
        <w:br w:type="page"/>
      </w:r>
    </w:p>
    <w:p w14:paraId="532D8735" w14:textId="77777777" w:rsidR="00C61057" w:rsidRDefault="00C61057" w:rsidP="00C519BF"/>
    <w:p w14:paraId="2C2EEC2E" w14:textId="40DD9ECB" w:rsidR="000C5086" w:rsidRDefault="000C5086" w:rsidP="00031822">
      <w:pPr>
        <w:pStyle w:val="Caption"/>
        <w:keepNext/>
      </w:pPr>
      <w:bookmarkStart w:id="3" w:name="_Ref149505461"/>
      <w:r>
        <w:t xml:space="preserve">Table </w:t>
      </w:r>
      <w:r>
        <w:fldChar w:fldCharType="begin"/>
      </w:r>
      <w:r>
        <w:instrText xml:space="preserve"> SEQ Table \* ARABIC </w:instrText>
      </w:r>
      <w:r>
        <w:fldChar w:fldCharType="separate"/>
      </w:r>
      <w:r w:rsidR="008D236B">
        <w:rPr>
          <w:noProof/>
        </w:rPr>
        <w:t>2</w:t>
      </w:r>
      <w:r>
        <w:rPr>
          <w:noProof/>
        </w:rPr>
        <w:fldChar w:fldCharType="end"/>
      </w:r>
      <w:bookmarkEnd w:id="3"/>
      <w:r>
        <w:rPr>
          <w:noProof/>
        </w:rPr>
        <w:t xml:space="preserve"> Summary of Central Clearing Requirements in Major FInancial Centers</w:t>
      </w:r>
    </w:p>
    <w:p w14:paraId="5F5254AB" w14:textId="49A029B0" w:rsidR="00781E75" w:rsidRDefault="002A688F" w:rsidP="00031822">
      <w:pPr>
        <w:ind w:firstLine="720"/>
      </w:pPr>
      <w:r>
        <w:t>[Table 2 about here]</w:t>
      </w:r>
    </w:p>
    <w:p w14:paraId="46151098" w14:textId="334C3782" w:rsidR="00C61057" w:rsidRDefault="00C61057" w:rsidP="00C61057">
      <w:pPr>
        <w:spacing w:line="240" w:lineRule="auto"/>
        <w:ind w:firstLine="0"/>
        <w:jc w:val="left"/>
      </w:pPr>
    </w:p>
    <w:p w14:paraId="27A217B4" w14:textId="77777777" w:rsidR="00C74168" w:rsidRDefault="00C74168" w:rsidP="00C74168">
      <w:pPr>
        <w:pStyle w:val="Heading2"/>
      </w:pPr>
      <w:r>
        <w:t>Review of Literature</w:t>
      </w:r>
    </w:p>
    <w:p w14:paraId="44FBC0E8" w14:textId="77777777" w:rsidR="00571695" w:rsidRDefault="00571695" w:rsidP="00571695">
      <w:pPr>
        <w:pStyle w:val="Heading3"/>
      </w:pPr>
      <w:r>
        <w:t>Interest rate swaps</w:t>
      </w:r>
    </w:p>
    <w:p w14:paraId="09246CCF" w14:textId="0E84B158" w:rsidR="00571695" w:rsidRDefault="00571695" w:rsidP="00571695">
      <w:r>
        <w:t xml:space="preserve">Formal swap agreements were first seen in financial markets in 1981/1982. </w:t>
      </w:r>
      <w:proofErr w:type="spellStart"/>
      <w:r>
        <w:t>Bicksler</w:t>
      </w:r>
      <w:proofErr w:type="spellEnd"/>
      <w:r>
        <w:t xml:space="preserve"> and Chen </w:t>
      </w:r>
      <w:r>
        <w:fldChar w:fldCharType="begin"/>
      </w:r>
      <w:r w:rsidR="00D41525">
        <w:instrText xml:space="preserve"> ADDIN ZOTERO_ITEM CSL_CITATION {"citationID":"s0x62LNK","properties":{"formattedCitation":"(1986)","plainCitation":"(1986)","noteIndex":0},"citationItems":[{"id":893,"uris":["http://zotero.org/users/1226582/items/SB4AIYVM"],"itemData":{"id":893,"type":"article-journal","abstract":"Interest rate swaps, a financial innovation in recent years, are based upon the principle of comparative advantage. An interest rate swap is a useful tool for active liability management and for hedging against interest rate risk. The purpose of this paper is to provide a simple economic analysis of interest rate swaps. Alternative uses of and the appropriate valuation procedure for interest rate swaps are described.","container-title":"The Journal of Finance","DOI":"10.2307/2328495","ISSN":"0022-1082","issue":"3","note":"publisher: [American Finance Association, Wiley]","page":"645-655","source":"JSTOR","title":"An Economic Analysis of Interest Rate Swaps","volume":"41","author":[{"family":"Bicksler","given":"James"},{"family":"Chen","given":"Andrew H."}],"issued":{"date-parts":[["1986"]]}},"label":"page","suppress-author":true}],"schema":"https://github.com/citation-style-language/schema/raw/master/csl-citation.json"} </w:instrText>
      </w:r>
      <w:r>
        <w:fldChar w:fldCharType="separate"/>
      </w:r>
      <w:r w:rsidRPr="009862A1">
        <w:t>(1986)</w:t>
      </w:r>
      <w:r>
        <w:fldChar w:fldCharType="end"/>
      </w:r>
      <w:r>
        <w:t xml:space="preserve"> find three uses of interest rate swaps in the market: (1) to manage mismatches in assets and liabilities (for example, depository institutions in the US hold long-term fixed rate assets such as mortgages and short-term liabilities such as demand deposits; on the other hand, insurance companies have long-term fixed rate liabilities and often invest in short term assets such as money market funds); to lower fixed-rate borrowing costs (borrowers with poor credit can often borrow at a lower cost in the floating rate market) and to manage their debt mix. The primary economic rationale for the existence of interest rate swaps is differences between firms’ costs to borrow at fixed rate vs. variable rate arising due to market imperfections (e.g. differences in regulations o</w:t>
      </w:r>
      <w:r w:rsidR="003A69DC">
        <w:t>r</w:t>
      </w:r>
      <w:r>
        <w:t xml:space="preserve"> credit market imperfections</w:t>
      </w:r>
      <w:r w:rsidR="003A69DC">
        <w:t xml:space="preserve"> can give firms comparative advantage in borrowing in one market over another</w:t>
      </w:r>
      <w:r>
        <w:t>).</w:t>
      </w:r>
    </w:p>
    <w:p w14:paraId="556F0396" w14:textId="6E42A7C9" w:rsidR="00571695" w:rsidRDefault="00571695" w:rsidP="00571695">
      <w:r>
        <w:t xml:space="preserve">Smith, et. al. </w:t>
      </w:r>
      <w:r>
        <w:fldChar w:fldCharType="begin"/>
      </w:r>
      <w:r>
        <w:instrText xml:space="preserve"> ADDIN ZOTERO_ITEM CSL_CITATION {"citationID":"O7iLi3rn","properties":{"formattedCitation":"(1988)","plainCitation":"(1988)","noteIndex":0},"citationItems":[{"id":869,"uris":["http://zotero.org/users/1226582/items/XIIQ8J5S"],"itemData":{"id":869,"type":"article-journal","abstract":"Interest rate swaps are decomposed into portfolios of more familiar contracts-loans, annuities, and forward contracts--which provides methods of valuing default-free swaps. The pricing implications of default risk are significantly smaller for swaps than loans. Contrasting swaps with forwards and futures helps identify the determinants of default risk. The continuing growth in swaps is attributable to increased liquidity, wider use of interest-rate-exposure management techniques, and the demand for synthetic financial instruments, rather than financial arbitrage.","container-title":"Financial Management","DOI":"10.2307/3665765","ISSN":"0046-3892","issue":"4","note":"publisher: [Financial Management Association International, Wiley]","page":"34-44","source":"JSTOR","title":"The Market for Interest Rate Swaps","volume":"17","author":[{"family":"Smith","given":"Clifford W."},{"family":"Smithson","given":"Charles W."},{"family":"Wakeman","given":"Lee Macdonald"}],"issued":{"date-parts":[["1988"]]}},"label":"page","suppress-author":true}],"schema":"https://github.com/citation-style-language/schema/raw/master/csl-citation.json"} </w:instrText>
      </w:r>
      <w:r>
        <w:fldChar w:fldCharType="separate"/>
      </w:r>
      <w:r>
        <w:rPr>
          <w:noProof/>
        </w:rPr>
        <w:t>(1988)</w:t>
      </w:r>
      <w:r>
        <w:fldChar w:fldCharType="end"/>
      </w:r>
      <w:r>
        <w:t xml:space="preserve"> present two models of pricing swaps. One model replicates the payoff of a swap through a portfolio of forward or futures contracts. The other model replicates the payoff through a portfolio of floating rate and fixed rate corporate bonds. They note that for a portfolio of bonds, there is an exchange of the principal at the end of the bond term, while for an interest rate swap the principal is usually not exchanged</w:t>
      </w:r>
      <w:r w:rsidR="003A69DC">
        <w:t xml:space="preserve"> (that is, it is a “notional” principal)</w:t>
      </w:r>
      <w:r>
        <w:t>. Thus, the impact of a default is greater for a corporate bond than for an interest rate swap. Futures contracts on the other-hand are exchange-traded</w:t>
      </w:r>
      <w:r w:rsidR="003A69DC">
        <w:t>, cleared,</w:t>
      </w:r>
      <w:r>
        <w:t xml:space="preserve"> and settled daily, so the risk of loss due to counterparty default is close to zero. For forwards, the contract value is realized only at the end of the contract period and has greater potential for counterparty default than for futures. An interest rate swap is somewhere in-between: it is periodically settled (on the payment dates).</w:t>
      </w:r>
    </w:p>
    <w:p w14:paraId="1EE968C9" w14:textId="77777777" w:rsidR="00571695" w:rsidRDefault="00571695" w:rsidP="00571695">
      <w:r>
        <w:t xml:space="preserve">Minton </w:t>
      </w:r>
      <w:r>
        <w:fldChar w:fldCharType="begin"/>
      </w:r>
      <w:r>
        <w:instrText xml:space="preserve"> ADDIN ZOTERO_ITEM CSL_CITATION {"citationID":"dKhIiDKS","properties":{"formattedCitation":"(1997)","plainCitation":"(1997)","noteIndex":0},"citationItems":[{"id":290,"uris":["http://zotero.org/users/1226582/items/SJM9XGSA"],"itemData":{"id":290,"type":"article-journal","abstract":"This paper examines empirical implications of recently developed models for pricing contracts that swap fixed- for variable-rate interest payment streams. Valuation models based on replicating portfolios of consecutive three-month Eurodollar futures contracts that span the life of the swap perform relatively well, as do pricing models based on replicating portfolios of noncallable corporate par bonds. Neither set of models, however, is completely empirically consistent with the implications of differential counterparty risks. These anomalous results call into question the appropriateness of either the simplifying assumptions of the arbitrage-based models or the proxies used for counter-party default risk.","container-title":"Journal of Financial Economics","DOI":"10.1016/S0304-405X(97)00005-6","ISSN":"0304-405X","issue":"2","journalAbbreviation":"Journal of Financial Economics","language":"en","page":"251-277","source":"ScienceDirect","title":"An empirical examination of basic valuation models for plain vanilla U.S. interest rate swaps","volume":"44","author":[{"family":"Minton","given":"Bernadette A."}],"issued":{"date-parts":[["1997",5,1]]}},"label":"page","suppress-author":true}],"schema":"https://github.com/citation-style-language/schema/raw/master/csl-citation.json"} </w:instrText>
      </w:r>
      <w:r>
        <w:fldChar w:fldCharType="separate"/>
      </w:r>
      <w:r>
        <w:rPr>
          <w:noProof/>
        </w:rPr>
        <w:t>(1997)</w:t>
      </w:r>
      <w:r>
        <w:fldChar w:fldCharType="end"/>
      </w:r>
      <w:r>
        <w:t xml:space="preserve"> examines these valuation models. He finds that the fixed rate of the interest rate swap is discounted by ~4 bps compared to a replicating portfolio of Eurodollar futures (Eurostrips) and that movements in swap rates and Eurodollar futures rates are highly correlated. When </w:t>
      </w:r>
      <w:r>
        <w:lastRenderedPageBreak/>
        <w:t>evaluating the portfolio of bonds model, he finds that actual swap rates fall between the rate derived from a portfolio of corporate bonds and the rate derived from Eurodollar futures. Proxies for counterparty credit quality also have a significant explanatory power, suggesting counterparty risk is a factor in observed swaps pricing.</w:t>
      </w:r>
    </w:p>
    <w:p w14:paraId="7B65B1F2" w14:textId="77777777" w:rsidR="00571695" w:rsidRDefault="00571695" w:rsidP="00571695"/>
    <w:p w14:paraId="07688355" w14:textId="77777777" w:rsidR="00571695" w:rsidRDefault="00571695" w:rsidP="00571695">
      <w:pPr>
        <w:pStyle w:val="Heading3"/>
      </w:pPr>
      <w:r>
        <w:t>Liquidity</w:t>
      </w:r>
    </w:p>
    <w:p w14:paraId="4F831571" w14:textId="0A8A39DA" w:rsidR="00571695" w:rsidRDefault="00571695" w:rsidP="00571695">
      <w:r>
        <w:t xml:space="preserve">Biais </w:t>
      </w:r>
      <w:r>
        <w:fldChar w:fldCharType="begin"/>
      </w:r>
      <w:r>
        <w:instrText xml:space="preserve"> ADDIN ZOTERO_ITEM CSL_CITATION {"citationID":"62eZzd8g","properties":{"formattedCitation":"(1993)","plainCitation":"(1993)","noteIndex":0},"citationItems":[{"id":870,"uris":["http://zotero.org/users/1226582/items/ZJKNHR7B"],"itemData":{"id":870,"type":"article-journal","abstract":"This paper compares centralized and fragmented markets, such as floor and telephone markets. Risk-averse agents compete for one market order. In centralized markets, these agents are market makers or limit order traders. They are assumed to observe the quotes of their competitors. In fragmented markets they are dealers. They can only assess the positions of their competitors. We analyze differences in bidding strategies reflecting differences in market structures. The equilibrium number of dealers is shown to be increasing in the frequency of trades and the volatility of the value of the asset. The expected spread is shown to be equal in both markets, ceteris paribus. But the spread is more volatile in centralized than in fragmented markets.","container-title":"The Journal of Finance","DOI":"10.1111/j.1540-6261.1993.tb04705.x","ISSN":"1540-6261","issue":"1","language":"en","license":"© 1993 the American Finance Association","note":"_eprint: https://onlinelibrary.wiley.com/doi/pdf/10.1111/j.1540-6261.1993.tb04705.x","page":"157-185","source":"Wiley Online Library","title":"Price Formation and Equilibrium Liquidity in Fragmented and Centralized Markets","volume":"48","author":[{"family":"Biais","given":"Bruno"}],"issued":{"date-parts":[["1993"]]}},"label":"page","suppress-author":true}],"schema":"https://github.com/citation-style-language/schema/raw/master/csl-citation.json"} </w:instrText>
      </w:r>
      <w:r>
        <w:fldChar w:fldCharType="separate"/>
      </w:r>
      <w:r>
        <w:rPr>
          <w:noProof/>
        </w:rPr>
        <w:t>(1993)</w:t>
      </w:r>
      <w:r>
        <w:fldChar w:fldCharType="end"/>
      </w:r>
      <w:r>
        <w:t xml:space="preserve"> proposes a model for a dealer intermediated market and derives the optimal bid-ask spreads quoted by dealers with constant absolute risk aversion (CARA)</w:t>
      </w:r>
      <w:r w:rsidR="00BF22F0">
        <w:t xml:space="preserve"> (note that this is a model of general asset pricing in dealer-intermediated markets, and not specific to the IR swap market)</w:t>
      </w:r>
      <w:r>
        <w:t xml:space="preserve">. A basic version of Biais' model motivates the liquidity </w:t>
      </w:r>
      <w:r w:rsidR="00BF22F0">
        <w:t xml:space="preserve">model in section </w:t>
      </w:r>
      <w:r w:rsidR="00BF22F0">
        <w:fldChar w:fldCharType="begin"/>
      </w:r>
      <w:r w:rsidR="00BF22F0">
        <w:instrText xml:space="preserve"> REF _Ref157719057 \r \h </w:instrText>
      </w:r>
      <w:r w:rsidR="00BF22F0">
        <w:fldChar w:fldCharType="separate"/>
      </w:r>
      <w:r w:rsidR="00BF22F0">
        <w:t>3</w:t>
      </w:r>
      <w:r w:rsidR="00BF22F0">
        <w:fldChar w:fldCharType="end"/>
      </w:r>
      <w:r>
        <w:t xml:space="preserve">. Several papers empirically examine liquidity in the interest rate swap market: Sun, et. al. </w:t>
      </w:r>
      <w:r>
        <w:fldChar w:fldCharType="begin"/>
      </w:r>
      <w:r w:rsidR="00D41525">
        <w:instrText xml:space="preserve"> ADDIN ZOTERO_ITEM CSL_CITATION {"citationID":"M2C2qXrF","properties":{"formattedCitation":"(1993)","plainCitation":"(1993)","noteIndex":0},"citationItems":[{"id":892,"uris":["http://zotero.org/users/1226582/items/4SR8ZMZ7"],"itemData":{"id":892,"type":"article-journal","abstract":"Using quotations from two interest rate swap dealers with different credit ratings (AAA and A), we examine the effect of dealers' credit reputations on swap quotations and bid-offer spreads. The AAA offer rates are significantly higher than the A offer rates, and the AAA bid rates are significantly lower than the A bid rates. We also document the relation between swap rates and par bond yields estimated from London interbank offered rate (LIBOR) and bid rate (LIBID) data. We identify some of the problems in testing the implications of swap pricing theory.","container-title":"Journal of Financial Economics","DOI":"10.1016/0304-405X(93)90041-9","ISSN":"0304-405X","issue":"1","journalAbbreviation":"Journal of Financial Economics","page":"77-99","source":"ScienceDirect","title":"Interest rate swaps: An empirical investigation","title-short":"Interest rate swaps","volume":"34","author":[{"family":"Sun","given":"Tong-sheng"},{"family":"Sundaresan","given":"Suresh"},{"family":"Wang","given":"Ching"}],"issued":{"date-parts":[["1993",8,1]]}},"label":"page","suppress-author":true}],"schema":"https://github.com/citation-style-language/schema/raw/master/csl-citation.json"} </w:instrText>
      </w:r>
      <w:r>
        <w:fldChar w:fldCharType="separate"/>
      </w:r>
      <w:r w:rsidRPr="00BA5601">
        <w:t>(1993)</w:t>
      </w:r>
      <w:r>
        <w:fldChar w:fldCharType="end"/>
      </w:r>
      <w:r>
        <w:t xml:space="preserve"> examine the effect of dealer credit rating on bid-ask spreads using data from Meril Lynch and AIG Financial Products. They find that AAA dealers charge a spread of around ~10 bps while lower rated dealers only charge a spread of ~4 bps. Boudiaf, et. al </w:t>
      </w:r>
      <w:r>
        <w:fldChar w:fldCharType="begin"/>
      </w:r>
      <w:r w:rsidR="00D41525">
        <w:instrText xml:space="preserve"> ADDIN ZOTERO_ITEM CSL_CITATION {"citationID":"35zfpUK7","properties":{"formattedCitation":"(2024)","plainCitation":"(2024)","noteIndex":0},"citationItems":[{"id":891,"uris":["http://zotero.org/users/1226582/items/JVUR9HZR"],"itemData":{"id":891,"type":"article","abstract":"This paper studies market liquidity in interest rate swaps (IRS) before and during the global tightening of monetary policy. IRS constitute the single largest derivatives segment globally. Banks and Pension Funds extensively rely on IRS to hedge interest rate risk. Hence, providing an understanding of this market and the drivers of market liquidity is a key research question in the current market context. We use price and volume data from around 338,000 trades in the most active long-horizon swap contract denominated in EUR to construct seven liquidity measures. Taking a comprehensive approach, we apply linear regressions to determine the drivers of variation in liquidity. Our liquidity measures are significantly related to monetary policy, market-wide fixed income liquidity, EURIBOR rate volatility and Dealer behaviour. Indicators for generic market stress such as VIX which are often documented in the literature are not strongly connected to IRS trading conditions.","DOI":"10.2139/ssrn.4745740","event-place":"Rochester, NY","genre":"SSRN Scholarly Paper","language":"en","number":"4745740","publisher-place":"Rochester, NY","source":"Social Science Research Network","title":"The Market Liquidity of Interest Rate Swaps","URL":"https://papers.ssrn.com/abstract=4745740","author":[{"family":"Boudiaf","given":"Ismael Alexander"},{"family":"Frieden","given":"Immo"},{"family":"Scheicher","given":"Martin"}],"accessed":{"date-parts":[["2024",3,12]]},"issued":{"date-parts":[["2024",3]]}},"label":"page","suppress-author":true}],"schema":"https://github.com/citation-style-language/schema/raw/master/csl-citation.json"} </w:instrText>
      </w:r>
      <w:r>
        <w:fldChar w:fldCharType="separate"/>
      </w:r>
      <w:r w:rsidRPr="001F206A">
        <w:t>(2024)</w:t>
      </w:r>
      <w:r>
        <w:fldChar w:fldCharType="end"/>
      </w:r>
      <w:r>
        <w:t xml:space="preserve"> examine the impact of monetary policy tightening on liquidity of EUR denominated swaps using a variety of liquidity measures. They find that their liquidity measures are impacted by monetary policy (specifically volatility in key policy rates reduces liquidity in the swaps market). Liu, et al </w:t>
      </w:r>
      <w:r>
        <w:fldChar w:fldCharType="begin"/>
      </w:r>
      <w:r w:rsidR="00D41525">
        <w:instrText xml:space="preserve"> ADDIN ZOTERO_ITEM CSL_CITATION {"citationID":"vzXm87AS","properties":{"formattedCitation":"(2006)","plainCitation":"(2006)","noteIndex":0},"citationItems":[{"id":289,"uris":["http://zotero.org/users/1226582/items/ZH3WYUFV"],"itemData":{"id":289,"type":"article-journal","abstract":"We study how the market prices the default and liquidity risks incorporated into interest rate swap spreads. We jointly model the Treasury, repo, and swap term structures using a five‐factor affine framework and estimate the model by maximum likelihood. The credit spread is driven by a persistent liquidity process and a rapidly mean‐reverting default intensity process. The credit premium for all but the shortest maturities is primarily compensation for liquidity risk. The term structure of liquidity premia increases steeply, while that of default premia is almost flat. Both liquidity and default premia vary significantly over time.","container-title":"The Journal of Business","DOI":"10.1086/505237","ISSN":"0021-9398","issue":"5","note":"publisher: The University of Chicago Press","page":"2337-2359","source":"JSTOR","title":"The Market Price of Risk in Interest Rate Swaps: The Roles of Default and Liquidity Risks","title-short":"The Market Price of Risk in Interest Rate Swaps","volume":"79","author":[{"family":"Liu","given":"Jun"},{"family":"Longstaff","given":"Francis A."},{"family":"Mandell","given":"Ravit E."}],"issued":{"date-parts":[["2006"]]}},"label":"page","suppress-author":true}],"schema":"https://github.com/citation-style-language/schema/raw/master/csl-citation.json"} </w:instrText>
      </w:r>
      <w:r>
        <w:fldChar w:fldCharType="separate"/>
      </w:r>
      <w:r w:rsidRPr="001756DE">
        <w:t>(2006)</w:t>
      </w:r>
      <w:r>
        <w:fldChar w:fldCharType="end"/>
      </w:r>
      <w:r>
        <w:t xml:space="preserve"> decompose the “spread” between interest rate swaps and corresponding treasury bills into a credit spread and liquidity spread (arising from the lower liquidity of swaps over US government bonds). They find that the credit component of the spread is ~31 bps while the liquidity component is ~7 bps. Benos, et. al </w:t>
      </w:r>
      <w:r>
        <w:fldChar w:fldCharType="begin"/>
      </w:r>
      <w:r w:rsidR="00D41525">
        <w:instrText xml:space="preserve"> ADDIN ZOTERO_ITEM CSL_CITATION {"citationID":"HX40KgWY","properties":{"formattedCitation":"(2020)","plainCitation":"(2020)","noteIndex":0},"citationItems":[{"id":884,"uris":["http://zotero.org/users/1226582/items/TQEDAXF9"],"itemData":{"id":884,"type":"article-journal","abstract":"We use proprietary transaction data on interest rate swaps to assess the effects of centralized trading, as mandated by Dodd–Frank, on market quality. Contracts with the most extensive centralized trading see liquidity metrics improve by between 12% and 19% relative to those of a control group. This is driven by a clear increase in competition between dealers, particularly in U.S. markets. Additionally, centralized trading has caused interdealer trading in EUR swap markets to migrate from the United States to Europe. This is consistent with swap dealers attempting to avoid being captured by the trade mandate in order to maintain market power.","container-title":"Journal of Financial and Quantitative Analysis","DOI":"10.1017/S0022109018001527","ISSN":"0022-1090, 1756-6916","issue":"1","language":"en","page":"159-192","source":"Cambridge University Press","title":"Centralized Trading, Transparency, and Interest Rate Swap Market Liquidity: Evidence from the Implementation of the Dodd–Frank Act","title-short":"Centralized Trading, Transparency, and Interest Rate Swap Market Liquidity","volume":"55","author":[{"family":"Benos","given":"Evangelos"},{"family":"Payne","given":"Richard"},{"family":"Vasios","given":"Michalis"}],"issued":{"date-parts":[["2020",2]]}},"label":"page","suppress-author":true}],"schema":"https://github.com/citation-style-language/schema/raw/master/csl-citation.json"} </w:instrText>
      </w:r>
      <w:r>
        <w:fldChar w:fldCharType="separate"/>
      </w:r>
      <w:r w:rsidRPr="001756DE">
        <w:t>(2020)</w:t>
      </w:r>
      <w:r>
        <w:fldChar w:fldCharType="end"/>
      </w:r>
      <w:r>
        <w:t xml:space="preserve"> examine the impact of another Dodd-Frank mandate (trading on </w:t>
      </w:r>
      <w:r w:rsidR="00BF22F0">
        <w:t>SEFs</w:t>
      </w:r>
      <w:r>
        <w:t xml:space="preserve">) on swap liquidity. They find a 12%-19% improvement in liquidity in the post-regulation market, driven by competition among dealers. Loon and Zhong </w:t>
      </w:r>
      <w:r>
        <w:fldChar w:fldCharType="begin"/>
      </w:r>
      <w:r w:rsidR="00D41525">
        <w:instrText xml:space="preserve"> ADDIN ZOTERO_ITEM CSL_CITATION {"citationID":"1b6E3WUL","properties":{"formattedCitation":"(2014)","plainCitation":"(2014)","noteIndex":0},"citationItems":[{"id":303,"uris":["http://zotero.org/users/1226582/items/I23MAR6U"],"itemData":{"id":303,"type":"article-journal","abstract":"This paper examines the impact of central clearing on the credit default swap (CDS) market using a sample of voluntarily cleared single-name contracts. Consistent with central clearing reducing counterparty risk, CDS spreads increase around the commencement of central clearing and are lower than settlement spreads published by the central clearinghouse. Furthermore, the relation between CDS spreads and dealer credit risk weakens after central clearing begins, suggesting a lowering of systemic risk. These findings are robust to controls for frictions in both CDS and bond markets. Finally, matched sample analysis reveals that the increased post-trade transparency following central clearing is associated with an improvement in liquidity and trading activity.","container-title":"Journal of Financial Economics","DOI":"10.1016/j.jfineco.2013.12.001","ISSN":"0304-405X","issue":"1","journalAbbreviation":"Journal of Financial Economics","language":"en","page":"91-115","source":"ScienceDirect","title":"The impact of central clearing on counterparty risk, liquidity, and trading: Evidence from the credit default swap market","title-short":"The impact of central clearing on counterparty risk, liquidity, and trading","volume":"112","author":[{"family":"Loon","given":"Yee Cheng"},{"family":"Zhong","given":"Zhaodong Ken"}],"issued":{"date-parts":[["2014",4,1]]}},"label":"page","suppress-author":true}],"schema":"https://github.com/citation-style-language/schema/raw/master/csl-citation.json"} </w:instrText>
      </w:r>
      <w:r>
        <w:fldChar w:fldCharType="separate"/>
      </w:r>
      <w:r w:rsidRPr="00E02657">
        <w:t>(2014)</w:t>
      </w:r>
      <w:r>
        <w:fldChar w:fldCharType="end"/>
      </w:r>
      <w:r>
        <w:t xml:space="preserve"> examine liquidity in the credit default swap (CDS) market following the passage of the Dodd-Frank Act. They find that central clearing in the CDS market is associated with more liquidity.</w:t>
      </w:r>
    </w:p>
    <w:p w14:paraId="72DA676A" w14:textId="77777777" w:rsidR="00571695" w:rsidRDefault="00571695" w:rsidP="00571695">
      <w:pPr>
        <w:pStyle w:val="Heading3"/>
      </w:pPr>
      <w:r>
        <w:t>Price Volatility</w:t>
      </w:r>
    </w:p>
    <w:p w14:paraId="3FBE45C5" w14:textId="210A462E" w:rsidR="00571695" w:rsidRDefault="00571695" w:rsidP="00571695">
      <w:r>
        <w:t xml:space="preserve">Compared to studies of pricing and liquidity, studies of price volatility in the interest rate swap market are rare. Azad, et. al </w:t>
      </w:r>
      <w:r>
        <w:fldChar w:fldCharType="begin"/>
      </w:r>
      <w:r w:rsidR="00D41525">
        <w:instrText xml:space="preserve"> ADDIN ZOTERO_ITEM CSL_CITATION {"citationID":"4gTsCaTl","properties":{"formattedCitation":"(2012)","plainCitation":"(2012)","noteIndex":0},"citationItems":[{"id":888,"uris":["http://zotero.org/users/1226582/items/JMHVVJ37"],"itemData":{"id":888,"type":"article-journal","abstract":"In this paper we aim to link the volatility of interest rate swap (hereafter, IRS) markets to the macroeconomic risk/uncertainty of the UK and the US. In doing so, we obtain the low-frequency volatility of IRS using a recently developed Asymmetric Spline GARCH (ASP-GARCH) model of Rangel and Engle (2012). Our findings suggest a strong relationship between uncertainties of macroeconomic fundamentals and the fluctuation in swap market volatility. The association between the two is robust with respect to the choice of different alternative measures of volatility that are used in the literature on GARCH modelling. From the perspectives of practical implications, the findings suggest that policy makers should use low-frequency volatility in order to examine market responses to key macroeconomic policies, and that market participants may rely on low-frequency volatility to extract trading signals. Using such signals, hedgers could make forecast of whether they need to increase (decrease) IRS usage to hedge risk originating from macroeconomic uncertainty.","container-title":"International Review of Financial Analysis","DOI":"10.1016/j.irfa.2012.03.001","ISSN":"1057-5219","journalAbbreviation":"International Review of Financial Analysis","page":"38-47","source":"ScienceDirect","title":"Linking the interest rate swap markets to the macroeconomic risk: The UK and us evidence","title-short":"Linking the interest rate swap markets to the macroeconomic risk","volume":"22","author":[{"family":"Azad","given":"A. S. M. Sohel"},{"family":"Fang","given":"Victor"},{"family":"Hung","given":"Chi-Hsiou"}],"issued":{"date-parts":[["2012",4,1]]}},"label":"page","suppress-author":true}],"schema":"https://github.com/citation-style-language/schema/raw/master/csl-citation.json"} </w:instrText>
      </w:r>
      <w:r>
        <w:fldChar w:fldCharType="separate"/>
      </w:r>
      <w:r w:rsidRPr="00307F66">
        <w:t>(2012)</w:t>
      </w:r>
      <w:r>
        <w:fldChar w:fldCharType="end"/>
      </w:r>
      <w:r>
        <w:t xml:space="preserve"> decompose volatility in the US and UK market into high-frequency and low-frequency components using asymmetric spline GARCH (AS-GARCH). They then regress the low frequency component of the volatility against several macroeconomic </w:t>
      </w:r>
      <w:r>
        <w:lastRenderedPageBreak/>
        <w:t xml:space="preserve">variables (volatility of consumer price index, volatility of industrial production, volatility of </w:t>
      </w:r>
      <w:r w:rsidR="00BF22F0">
        <w:t>short-term</w:t>
      </w:r>
      <w:r>
        <w:t xml:space="preserve"> interest rates, volatility of foreign exchange rates, slope of the term-structure, unemployment rate and money supply). They find that volatility of short-term interest rates </w:t>
      </w:r>
      <w:proofErr w:type="spellStart"/>
      <w:r w:rsidR="00BF22F0">
        <w:t>affetcs</w:t>
      </w:r>
      <w:proofErr w:type="spellEnd"/>
      <w:r>
        <w:t xml:space="preserve"> IRS price volatility. In addition, for GBP based contracts, the money supply is negatively associated with </w:t>
      </w:r>
      <w:r w:rsidR="00BF22F0">
        <w:t>I</w:t>
      </w:r>
      <w:r>
        <w:t xml:space="preserve">RS volatility. For USD based contracts, the volatility of industrial production and the slope of the yield curve also </w:t>
      </w:r>
      <w:r w:rsidR="00BF22F0">
        <w:t>affects</w:t>
      </w:r>
      <w:r>
        <w:t xml:space="preserve"> IRS volatility.</w:t>
      </w:r>
    </w:p>
    <w:p w14:paraId="01875E94" w14:textId="77777777" w:rsidR="00571695" w:rsidRDefault="00571695" w:rsidP="00571695">
      <w:pPr>
        <w:pStyle w:val="Heading3"/>
      </w:pPr>
      <w:r>
        <w:t>Systemic Risk and Contagion</w:t>
      </w:r>
    </w:p>
    <w:p w14:paraId="4143F63C" w14:textId="77777777" w:rsidR="00571695" w:rsidRDefault="00571695" w:rsidP="00571695">
      <w:r>
        <w:t xml:space="preserve">Jackson and </w:t>
      </w:r>
      <w:proofErr w:type="spellStart"/>
      <w:r>
        <w:t>Pernoud</w:t>
      </w:r>
      <w:proofErr w:type="spellEnd"/>
      <w:r>
        <w:t xml:space="preserve"> </w:t>
      </w:r>
      <w:r>
        <w:fldChar w:fldCharType="begin"/>
      </w:r>
      <w:r>
        <w:instrText xml:space="preserve"> ADDIN ZOTERO_ITEM CSL_CITATION {"citationID":"rNrKaqDE","properties":{"formattedCitation":"(2021)","plainCitation":"(2021)","noteIndex":0},"citationItems":[{"id":872,"uris":["http://zotero.org/users/1226582/items/8GLRJH73"],"itemData":{"id":872,"type":"article-journal","abstract":"We provide an overview of the relationship between financial networks and systemic risk. We present a taxonomy of different types of systemic risk, differentiating between direct externalities between financial organizations (e.g., defaults, correlated portfolios, fire sales), and perceptions and feedback effects (e.g., bank runs, credit freezes). We also discuss optimal regulation and bailouts, measurements of systemic risk and financial centrality, choices by banks regarding their portfolios and partnerships, and the changing nature of financial networks.","container-title":"Annual Review of Economics","DOI":"10.1146/annurev-economics-083120-111540","issue":"1","note":"_eprint: https://doi.org/10.1146/annurev-economics-083120-111540","page":"171-202","source":"Annual Reviews","title":"Systemic Risk in Financial Networks: A Survey","title-short":"Systemic Risk in Financial Networks","volume":"13","author":[{"family":"Jackson","given":"Matthew O."},{"family":"Pernoud","given":"Agathe"}],"issued":{"date-parts":[["2021"]]}},"label":"page","suppress-author":true}],"schema":"https://github.com/citation-style-language/schema/raw/master/csl-citation.json"} </w:instrText>
      </w:r>
      <w:r>
        <w:fldChar w:fldCharType="separate"/>
      </w:r>
      <w:r>
        <w:rPr>
          <w:noProof/>
        </w:rPr>
        <w:t>(2021)</w:t>
      </w:r>
      <w:r>
        <w:fldChar w:fldCharType="end"/>
      </w:r>
      <w:r>
        <w:t xml:space="preserve"> outline two main avenues of contagion (that is financial distress at one institution spreading throughout the financial system): firstly, through defaults and firesales of assets that diminish the value of interconnected financial institutions (the network channel) and secondly, through feedback effects such as bank runs and credit freezes. For the first avenue, consider the case when a large financial institution fails. The values of other institutions that do business with the failing institution are also diminished and can cause a cascading series of failures. Each failure leads to additional bankruptcy costs and the final cost to the system at the end of the process can vastly exceed the size of initial shock. Such models are explored by Rochet &amp; </w:t>
      </w:r>
      <w:proofErr w:type="spellStart"/>
      <w:r>
        <w:t>Tirole</w:t>
      </w:r>
      <w:proofErr w:type="spellEnd"/>
      <w:r>
        <w:t xml:space="preserve"> </w:t>
      </w:r>
      <w:r>
        <w:fldChar w:fldCharType="begin"/>
      </w:r>
      <w:r>
        <w:instrText xml:space="preserve"> ADDIN ZOTERO_ITEM CSL_CITATION {"citationID":"GumjFgdB","properties":{"formattedCitation":"(1996)","plainCitation":"(1996)","noteIndex":0},"citationItems":[{"id":874,"uris":["http://zotero.org/users/1226582/items/8A6BW8AI"],"itemData":{"id":874,"type":"article-journal","container-title":"Journal of Money, Credit and Banking","DOI":"10.2307/2077918","ISSN":"0022-2879","issue":"4","note":"publisher: [Wiley, Ohio State University Press]","page":"733-762","source":"JSTOR","title":"Interbank Lending and Systemic Risk","volume":"28","author":[{"family":"Rochet","given":"Jean-Charles"},{"family":"Tirole","given":"Jean"}],"issued":{"date-parts":[["1996"]]}},"label":"page","suppress-author":true}],"schema":"https://github.com/citation-style-language/schema/raw/master/csl-citation.json"} </w:instrText>
      </w:r>
      <w:r>
        <w:fldChar w:fldCharType="separate"/>
      </w:r>
      <w:r>
        <w:rPr>
          <w:noProof/>
        </w:rPr>
        <w:t>(1996)</w:t>
      </w:r>
      <w:r>
        <w:fldChar w:fldCharType="end"/>
      </w:r>
      <w:r>
        <w:t xml:space="preserve"> and Allen &amp; Gale </w:t>
      </w:r>
      <w:r>
        <w:fldChar w:fldCharType="begin"/>
      </w:r>
      <w:r>
        <w:instrText xml:space="preserve"> ADDIN ZOTERO_ITEM CSL_CITATION {"citationID":"gIOKQC0c","properties":{"formattedCitation":"(2007; 2000)","plainCitation":"(2007; 2000)","noteIndex":0},"citationItems":[{"id":876,"uris":["http://zotero.org/users/1226582/items/TPZ9VJMP"],"itemData":{"id":876,"type":"article","abstract":"This essay was prepared for the volume on Financial Crises that we edited in THE INTERNATIONAL LIBRARY OF CRITICAL WRITINGS IN ECONOMICS - Series Editor: Mark Blaug published by Edward Elgar.","DOI":"10.2139/ssrn.1008311","event-place":"Rochester, NY","genre":"SSRN Scholarly Paper","language":"en","number":"1008311","publisher-place":"Rochester, NY","source":"Social Science Research Network","title":"An Introduction to Financial Crises","URL":"https://papers.ssrn.com/abstract=1008311","author":[{"family":"Allen","given":"Franklin"},{"family":"Gale","given":"Douglas M."}],"accessed":{"date-parts":[["2024",3,2]]},"issued":{"date-parts":[["2007",8,14]]}},"label":"page","suppress-author":true},{"id":878,"uris":["http://zotero.org/users/1226582/items/UXRM4TKK"],"itemData":{"id":878,"type":"article-journal","abstract":"Financial contagion is modeled as an equilibrium phenomenon. Because liquidity preference shocks are imperfectly correlated across regions, banks hold interregional claims on other banks to provide insurance against liquidity preference shocks. When there is no aggregate uncertainty, the first‐best allocation of risk sharing can be achieved. However, this arrangement is financially fragile. A small liquidity preference shock in one region can spread by contagion throughout the economy. The possibility of contagion depends strongly on the completeness of the structure of interregional claims. Complete claims structures are shown to be more robust than incomplete structures.","container-title":"Journal of Political Economy","DOI":"10.1086/262109","ISSN":"0022-3808","issue":"1","note":"publisher: The University of Chicago Press","page":"1-33","source":"JSTOR","title":"Financial Contagion","volume":"108","author":[{"family":"Allen","given":"Franklin"},{"family":"Gale","given":"Douglas"}],"issued":{"date-parts":[["2000"]]}},"label":"page","suppress-author":true}],"schema":"https://github.com/citation-style-language/schema/raw/master/csl-citation.json"} </w:instrText>
      </w:r>
      <w:r>
        <w:fldChar w:fldCharType="separate"/>
      </w:r>
      <w:r>
        <w:rPr>
          <w:noProof/>
        </w:rPr>
        <w:t>(2007; 2000)</w:t>
      </w:r>
      <w:r>
        <w:fldChar w:fldCharType="end"/>
      </w:r>
      <w:r>
        <w:t xml:space="preserve">. </w:t>
      </w:r>
    </w:p>
    <w:p w14:paraId="674A248D" w14:textId="2E3F84CC" w:rsidR="00571695" w:rsidRDefault="00571695" w:rsidP="00571695">
      <w:r>
        <w:t xml:space="preserve">Another way that financial institutions are interconnected are through the assets they trade. That is, even though two financial institutions might not directly do business with each other, they might own assets that are highly correlated. When a bank becomes insolvent, it often must sell assets at distressed prices. Such sales can also depress prices of related assets and drive institutions that hold those assets to insolvency. A prominent real-world example of this scenario is the 1998 crisis at Long Term Capital Management (LTCM). LTCM was a hedge fund that used a highly leveraged portfolio of interest rate swaps and foreign bonds (especially Russian bonds) to earn high market returns. When Russia defaulted on its debt in 1998 and devalued the Ruble, LTCM’s portfolio took a large loss. In addition, market participants became more risk-averse and stopped lending to any institutions that employed a similar trading strategy to, or held similar assets as, LTCM. This created a system-wide credit crunch. The Federal Reserve eventually organized a bailout of the fund to prevent further damage to the financial system. Other prominent examples of this type of contagion are the Asian and Eurozone financial crises, where the potential default of one country led to distressed financial conditions in neighboring countries, as market participants became more </w:t>
      </w:r>
      <w:r>
        <w:lastRenderedPageBreak/>
        <w:t xml:space="preserve">risk averse. This type of models are explored by </w:t>
      </w:r>
      <w:proofErr w:type="spellStart"/>
      <w:r>
        <w:t>Kiyotaki</w:t>
      </w:r>
      <w:proofErr w:type="spellEnd"/>
      <w:r>
        <w:t xml:space="preserve"> &amp; Moore</w:t>
      </w:r>
      <w:r w:rsidR="00F249AA">
        <w:t xml:space="preserve"> </w:t>
      </w:r>
      <w:r w:rsidR="00F249AA">
        <w:fldChar w:fldCharType="begin"/>
      </w:r>
      <w:r w:rsidR="00F249AA">
        <w:instrText xml:space="preserve"> ADDIN ZOTERO_ITEM CSL_CITATION {"citationID":"4HMyV8BR","properties":{"formattedCitation":"(1997)","plainCitation":"(1997)","noteIndex":0},"citationItems":[{"id":913,"uris":["http://zotero.org/users/1226582/items/7SNDLNH7"],"itemData":{"id":913,"type":"article-journal","abstract":"We construct a model of a dynamic economy in which lenders cannot force borrowers to repay their debts unless the debts are secured. In such an economy, durable assets play a dual role: not only are they factors of production, but they also serve as collateral for loans. The dynamic interaction between credit limits and asset prices turns out to be a powerful transmission mechanism by which the effects of shocks persist, amplify, and spill over to other sectors. We show that small, temporary shocks to technology or income distribution can generate large, persistent fluctuations in output and asset prices.","container-title":"Journal of Political Economy","DOI":"10.1086/262072","ISSN":"0022-3808","issue":"2","note":"publisher: The University of Chicago Press","page":"211-248","source":"journals.uchicago.edu (Atypon)","title":"Credit Cycles","volume":"105","author":[{"family":"Kiyotaki","given":"Nobuhiro"},{"family":"Moore","given":"John"}],"issued":{"date-parts":[["1997",4]]}},"label":"page","suppress-author":true}],"schema":"https://github.com/citation-style-language/schema/raw/master/csl-citation.json"} </w:instrText>
      </w:r>
      <w:r w:rsidR="00F249AA">
        <w:fldChar w:fldCharType="separate"/>
      </w:r>
      <w:r w:rsidR="00F249AA">
        <w:rPr>
          <w:noProof/>
        </w:rPr>
        <w:t>(1997)</w:t>
      </w:r>
      <w:r w:rsidR="00F249AA">
        <w:fldChar w:fldCharType="end"/>
      </w:r>
      <w:r w:rsidR="00F249AA">
        <w:t xml:space="preserve"> </w:t>
      </w:r>
      <w:r>
        <w:t>, Cifuentes et al.</w:t>
      </w:r>
      <w:r w:rsidR="00F249AA">
        <w:t xml:space="preserve"> </w:t>
      </w:r>
      <w:r w:rsidR="00F249AA">
        <w:fldChar w:fldCharType="begin"/>
      </w:r>
      <w:r w:rsidR="00F249AA">
        <w:instrText xml:space="preserve"> ADDIN ZOTERO_ITEM CSL_CITATION {"citationID":"NraHkItq","properties":{"formattedCitation":"(2005)","plainCitation":"(2005)","noteIndex":0},"citationItems":[{"id":904,"uris":["http://zotero.org/users/1226582/items/EFR6ECNK"],"itemData":{"id":904,"type":"article-journal","abstract":"This paper explores liquidity risk in a system of interconnected financial institutions when these institutions are subject to regulatory solvency constraints and mark their assets to market. When the market's demand for illiquid assets is less than perfectly elastic, sales by distressed institutions depress the market prices of such assets. Marking to market of the asset book can induce a further round of endogenously generated sales of assets, depressing prices further and inducing further sales. Contagious failures can result from small shocks. We investigate the theoretical basis for contagious failures and quantify them through simulation exercises. Liquidity requirements on institutions can be as effective as capital requirements in forestalling contagious failures.","container-title":"Journal of the European Economic Association","DOI":"10.1162/jeea.2005.3.2-3.556","ISSN":"1542-4766","issue":"2-3","journalAbbreviation":"Journal of the European Economic Association","page":"556-566","source":"Silverchair","title":"Liquidity Risk and Contagion","volume":"3","author":[{"family":"Cifuentes","given":"Rodrigo"},{"family":"Ferrucci","given":"Gianluigi"},{"family":"Shin","given":"Hyun Song"}],"issued":{"date-parts":[["2005",5,1]]}},"label":"page","suppress-author":true}],"schema":"https://github.com/citation-style-language/schema/raw/master/csl-citation.json"} </w:instrText>
      </w:r>
      <w:r w:rsidR="00F249AA">
        <w:fldChar w:fldCharType="separate"/>
      </w:r>
      <w:r w:rsidR="00F249AA">
        <w:rPr>
          <w:noProof/>
        </w:rPr>
        <w:t>(2005)</w:t>
      </w:r>
      <w:r w:rsidR="00F249AA">
        <w:fldChar w:fldCharType="end"/>
      </w:r>
      <w:r>
        <w:t>, Gai &amp; Kapadia</w:t>
      </w:r>
      <w:r w:rsidR="00F249AA">
        <w:t xml:space="preserve"> </w:t>
      </w:r>
      <w:r w:rsidR="00F249AA">
        <w:fldChar w:fldCharType="begin"/>
      </w:r>
      <w:r w:rsidR="00F249AA">
        <w:instrText xml:space="preserve"> ADDIN ZOTERO_ITEM CSL_CITATION {"citationID":"KAUq7rlB","properties":{"formattedCitation":"(2010)","plainCitation":"(2010)","noteIndex":0},"citationItems":[{"id":908,"uris":["http://zotero.org/users/1226582/items/VZGIFEPL"],"itemData":{"id":908,"type":"article-journal","abstract":"This paper develops an analytical model of contagion in financial networks with arbitrary structure. We explore how the probability and potential impact of contagion is influenced by aggregate and idiosyncratic shocks, changes in network structure and asset market liquidity. Our findings suggest that financial systems exhibit a robust-yet-fragile tendency: while the probability of contagion may be low, the effects can be extremely widespread when problems occur. And we suggest why the resilience of the system in withstanding fairly large shocks prior to 2007 should not have been taken as a reliable guide to its future robustness.","container-title":"Proceedings of the Royal Society A: Mathematical, Physical and Engineering Sciences","DOI":"10.1098/rspa.2009.0410","issue":"2120","note":"publisher: Royal Society","page":"2401-2423","source":"royalsocietypublishing.org (Atypon)","title":"Contagion in financial networks","volume":"466","author":[{"family":"Gai","given":"Prasanna"},{"family":"Kapadia","given":"Sujit"}],"issued":{"date-parts":[["2010",3,24]]}},"label":"page","suppress-author":true}],"schema":"https://github.com/citation-style-language/schema/raw/master/csl-citation.json"} </w:instrText>
      </w:r>
      <w:r w:rsidR="00F249AA">
        <w:fldChar w:fldCharType="separate"/>
      </w:r>
      <w:r w:rsidR="00F249AA">
        <w:rPr>
          <w:noProof/>
        </w:rPr>
        <w:t>(2010)</w:t>
      </w:r>
      <w:r w:rsidR="00F249AA">
        <w:fldChar w:fldCharType="end"/>
      </w:r>
      <w:r>
        <w:t xml:space="preserve">, </w:t>
      </w:r>
      <w:proofErr w:type="spellStart"/>
      <w:r>
        <w:t>Capponi</w:t>
      </w:r>
      <w:proofErr w:type="spellEnd"/>
      <w:r>
        <w:t xml:space="preserve"> &amp; Larsson</w:t>
      </w:r>
      <w:r w:rsidR="00F249AA">
        <w:t xml:space="preserve"> </w:t>
      </w:r>
      <w:r w:rsidR="00F249AA">
        <w:fldChar w:fldCharType="begin"/>
      </w:r>
      <w:r w:rsidR="00F249AA">
        <w:instrText xml:space="preserve"> ADDIN ZOTERO_ITEM CSL_CITATION {"citationID":"8kpa7u5M","properties":{"formattedCitation":"(2015)","plainCitation":"(2015)","noteIndex":0},"citationItems":[{"id":910,"uris":["http://zotero.org/users/1226582/items/66CWWW7V"],"itemData":{"id":910,"type":"article-journal","abstract":"We study price linkages between assets held by financial institutions that maintain fixed capital structures over time. Firms in the banking sector manage their leverage ratios to conform to prespecified levels. Our analysis suggests that regulatory policies aimed at stabilizing the system by imposing capital constraints on banks may have unintended consequences: banks’ deleveraging activities may amplify asset return shocks and lead to large fluctuations in realized returns. The same mechanism can cause spillover effects, where assets held by leverage targeting banks can experience hikes or drops caused by shocks to otherwise unrelated assets held by the same banks. (JEL G10, G12, G21, G38)","container-title":"The Review of Asset Pricing Studies","DOI":"10.1093/rapstu/rav006","ISSN":"2045-9920","issue":"2","journalAbbreviation":"The Review of Asset Pricing Studies","page":"227-253","source":"Silverchair","title":"Price Contagion through Balance Sheet Linkages","volume":"5","author":[{"family":"Capponi","given":"Agostino"},{"family":"Larsson","given":"Martin"}],"issued":{"date-parts":[["2015",12,1]]}},"label":"page","suppress-author":true}],"schema":"https://github.com/citation-style-language/schema/raw/master/csl-citation.json"} </w:instrText>
      </w:r>
      <w:r w:rsidR="00F249AA">
        <w:fldChar w:fldCharType="separate"/>
      </w:r>
      <w:r w:rsidR="00F249AA">
        <w:rPr>
          <w:noProof/>
        </w:rPr>
        <w:t>(2015)</w:t>
      </w:r>
      <w:r w:rsidR="00F249AA">
        <w:fldChar w:fldCharType="end"/>
      </w:r>
      <w:r>
        <w:t xml:space="preserve">  and Greenwood et al. </w:t>
      </w:r>
      <w:r w:rsidR="00C36726">
        <w:fldChar w:fldCharType="begin"/>
      </w:r>
      <w:r w:rsidR="00F249AA">
        <w:instrText xml:space="preserve"> ADDIN ZOTERO_ITEM CSL_CITATION {"citationID":"aZuQV9TW","properties":{"formattedCitation":"(2015)","plainCitation":"(2015)","noteIndex":0},"citationItems":[{"id":900,"uris":["http://zotero.org/users/1226582/items/6A7M7XTI"],"itemData":{"id":900,"type":"article-journal","abstract":"We present a model in which fire sales propagate shocks across bank balance sheets. When a bank experiences a negative shock to its equity, a natural way to return to target leverage is to sell assets. If potential buyers are limited, then asset sales depress prices, in which case one bank׳s sales impact other banks with common exposures. We show how this contagion effect adds up across the banking sector, and how it can be estimated empirically using balance sheet data. We compute bank exposures to system-wide deleveraging, as well as the spillovers induced by individual banks. Applying the model to European banks, we evaluate a variety of interventions to reduce their vulnerability to fire sales during the sovereign debt crisis.","container-title":"Journal of Financial Economics","DOI":"10.1016/j.jfineco.2014.11.006","ISSN":"0304-405X","issue":"3","journalAbbreviation":"Journal of Financial Economics","page":"471-485","source":"ScienceDirect","title":"Vulnerable banks","volume":"115","author":[{"family":"Greenwood","given":"Robin"},{"family":"Landier","given":"Augustin"},{"family":"Thesmar","given":"David"}],"issued":{"date-parts":[["2015",3,1]]}},"label":"page","suppress-author":true}],"schema":"https://github.com/citation-style-language/schema/raw/master/csl-citation.json"} </w:instrText>
      </w:r>
      <w:r w:rsidR="00C36726">
        <w:fldChar w:fldCharType="separate"/>
      </w:r>
      <w:r w:rsidR="00F249AA">
        <w:rPr>
          <w:noProof/>
        </w:rPr>
        <w:t>(2015)</w:t>
      </w:r>
      <w:r w:rsidR="00C36726">
        <w:fldChar w:fldCharType="end"/>
      </w:r>
      <w:r>
        <w:t>.</w:t>
      </w:r>
    </w:p>
    <w:p w14:paraId="226928D7" w14:textId="1E9F8C35" w:rsidR="00571695" w:rsidRDefault="00571695" w:rsidP="00571695">
      <w:r>
        <w:t xml:space="preserve">Besides the network avenue, contagion can also occur through feedback loops and multiple equilibria. The classic Diamond and </w:t>
      </w:r>
      <w:proofErr w:type="spellStart"/>
      <w:r>
        <w:t>Dybvig</w:t>
      </w:r>
      <w:proofErr w:type="spellEnd"/>
      <w:r>
        <w:t xml:space="preserve"> </w:t>
      </w:r>
      <w:r w:rsidR="00F249AA">
        <w:fldChar w:fldCharType="begin"/>
      </w:r>
      <w:r w:rsidR="00E06975">
        <w:instrText xml:space="preserve"> ADDIN ZOTERO_ITEM CSL_CITATION {"citationID":"NMOGTH8f","properties":{"formattedCitation":"(1983)","plainCitation":"(1983)","noteIndex":0},"citationItems":[{"id":917,"uris":["http://zotero.org/users/1226582/items/M2BZJZ92"],"itemData":{"id":917,"type":"article-journal","abstract":"This paper shows that bank deposit contracts can provide allocations superior to those of exchange markets, offering an explanation of how banks subject to runs can attract deposits. Investors face privately observed risks which lead to a demand for liquidity. Traditional demand deposit contracts which provide liquidity have multiple equilibria, one of which is a bank run. Bank runs in the model cause real economic damage, rather than simply reflecting other problems. Contracts which can prevent runs are studied, and the analysis shows that there are circumstances when government provision of deposit insurance can produce superior contracts.","container-title":"Journal of Political Economy","DOI":"10.1086/261155","ISSN":"0022-3808","issue":"3","note":"publisher: The University of Chicago Press","page":"401-419","source":"journals.uchicago.edu (Atypon)","title":"Bank Runs, Deposit Insurance, and Liquidity","volume":"91","author":[{"family":"Diamond","given":"Douglas W."},{"family":"Dybvig","given":"Philip H."}],"issued":{"date-parts":[["1983",6]]}},"label":"page","suppress-author":true}],"schema":"https://github.com/citation-style-language/schema/raw/master/csl-citation.json"} </w:instrText>
      </w:r>
      <w:r w:rsidR="00F249AA">
        <w:fldChar w:fldCharType="separate"/>
      </w:r>
      <w:r w:rsidR="00E06975">
        <w:rPr>
          <w:noProof/>
        </w:rPr>
        <w:t>(1983)</w:t>
      </w:r>
      <w:r w:rsidR="00F249AA">
        <w:fldChar w:fldCharType="end"/>
      </w:r>
      <w:r>
        <w:t xml:space="preserve"> model illustrates how multiple equilibria can lead to panic and bank runs. Banks lend out money long term and take in deposits for short terms. If enough depositors demand to withdraw their funds at once, the bank cannot repay all of them. In fact, if depositors believe a bank is insolvent (or </w:t>
      </w:r>
      <w:r w:rsidR="008640B2">
        <w:t xml:space="preserve">they believe </w:t>
      </w:r>
      <w:r>
        <w:t>that other</w:t>
      </w:r>
      <w:r w:rsidR="008640B2">
        <w:t xml:space="preserve"> depositors </w:t>
      </w:r>
      <w:r>
        <w:t xml:space="preserve">believe that the bank is insolvent), they have an incentive to be the first in line to pull their funds out. Thus, a change in belief about the solvency of a bank can lead to a self-fulfilling insolvency, without any decrease in the value of the bank’s actual portfolio of loans. Similarly, banks beliefs about the creditworthiness of their counterparties can lead them to pull back their lending, leading to the very adverse credit condition and defaults that they were anticipating. This chain of defaults can cast doubts about the solvency of other banks, eventually leading to a systemwide freeze where banks stop lending to each other. This type of models are explored by </w:t>
      </w:r>
      <w:proofErr w:type="spellStart"/>
      <w:r>
        <w:t>Bebchuk</w:t>
      </w:r>
      <w:proofErr w:type="spellEnd"/>
      <w:r>
        <w:t xml:space="preserve"> &amp; Goldstein</w:t>
      </w:r>
      <w:r w:rsidR="00E06975">
        <w:t xml:space="preserve"> </w:t>
      </w:r>
      <w:r w:rsidR="00E06975">
        <w:fldChar w:fldCharType="begin"/>
      </w:r>
      <w:r w:rsidR="00E06975">
        <w:instrText xml:space="preserve"> ADDIN ZOTERO_ITEM CSL_CITATION {"citationID":"pIVk8Jfs","properties":{"formattedCitation":"(2011)","plainCitation":"(2011)","noteIndex":0},"citationItems":[{"id":918,"uris":["http://zotero.org/users/1226582/items/7L8S8SXX"],"itemData":{"id":918,"type":"article-journal","abstract":"This article develops a model of a self-fulfilling credit market freeze and uses it to study alternative governmental responses to such a crisis. We study an economy in which operating firms are interdependent, where their success depends on the ability of other operating firms to obtain financing. In such an economy, an inefficient credit market freeze may arise in which banks abstain from lending to operating firms with good projects because of their self-fulfilling expectations that other banks will not be making such loans. Our model enables us to study the effectiveness of using alternative measures as a means of getting an economy out of an inefficient credit market freeze. In particular, we study the effectiveness of interest rate cuts, an infusion of capital into banks, direct lending by the government to operating firms, and the provision of government capital or guarantees to encourage privately managed lending. Our analysis provides a framework for analyzing and evaluating the standard and nonstandard instruments used by authorities during the 2008–2009 financial crisis. Our analysis also provides testable implications for how firms, banks, and economies can be expected to be affected by shocks to the banking system.","container-title":"The Review of Financial Studies","DOI":"10.1093/rfs/hhr086","ISSN":"0893-9454","issue":"11","journalAbbreviation":"The Review of Financial Studies","page":"3519-3555","source":"Silverchair","title":"Self-fulfilling Credit Market Freezes","volume":"24","author":[{"family":"Bebchuk","given":"Lucian A."},{"family":"Goldstein","given":"Itay"}],"issued":{"date-parts":[["2011",11,1]]}},"label":"page","suppress-author":true}],"schema":"https://github.com/citation-style-language/schema/raw/master/csl-citation.json"} </w:instrText>
      </w:r>
      <w:r w:rsidR="00E06975">
        <w:fldChar w:fldCharType="separate"/>
      </w:r>
      <w:r w:rsidR="00E06975">
        <w:rPr>
          <w:noProof/>
        </w:rPr>
        <w:t>(2011)</w:t>
      </w:r>
      <w:r w:rsidR="00E06975">
        <w:fldChar w:fldCharType="end"/>
      </w:r>
      <w:r>
        <w:t xml:space="preserve">, </w:t>
      </w:r>
      <w:proofErr w:type="spellStart"/>
      <w:r>
        <w:t>Brunnermeier</w:t>
      </w:r>
      <w:proofErr w:type="spellEnd"/>
      <w:r>
        <w:t xml:space="preserve"> </w:t>
      </w:r>
      <w:r w:rsidR="00E06975">
        <w:fldChar w:fldCharType="begin"/>
      </w:r>
      <w:r w:rsidR="00E06975">
        <w:instrText xml:space="preserve"> ADDIN ZOTERO_ITEM CSL_CITATION {"citationID":"s6AK89Wi","properties":{"formattedCitation":"(2009)","plainCitation":"(2009)","noteIndex":0},"citationItems":[{"id":921,"uris":["http://zotero.org/users/1226582/items/MMHGIBJX"],"itemData":{"id":921,"type":"article-journal","abstract":"The financial market turmoil in 2007 and 2008 has led to the most severe financial crisis since the Great Depression and threatens to have large repercussions on the real economy. The bursting of the housing bubble forced banks to write down several hundred billion dollars in bad loans caused by mortgage delinquencies. At the same time, the stock market capitalization of the major banks declined by more than twice as much. While the overall mortgage losses are large on an absolute scale, they are still relatively modest compared to the $8 trillion of U.S. stock market wealth lost between October 2007, when the stock market reached an all-time high, and October 2008. This paper attempts to explain the economic mechanisms that caused losses in the mortgage market to amplify into such large dislocations and turmoil in the financial markets, and describes common economic threads that explain the plethora of market declines, liquidity dry-ups, defaults, and bailouts that occurred after the crisis broke in summer 2007.","container-title":"Journal of Economic Perspectives","DOI":"10.1257/jep.23.1.77","ISSN":"0895-3309","issue":"1","language":"en","page":"77-100","source":"www.aeaweb.org","title":"Deciphering the Liquidity and Credit Crunch 2007-2008","volume":"23","author":[{"family":"Brunnermeier","given":"Markus K."}],"issued":{"date-parts":[["2009",3]]}},"label":"page","suppress-author":true}],"schema":"https://github.com/citation-style-language/schema/raw/master/csl-citation.json"} </w:instrText>
      </w:r>
      <w:r w:rsidR="00E06975">
        <w:fldChar w:fldCharType="separate"/>
      </w:r>
      <w:r w:rsidR="00E06975">
        <w:rPr>
          <w:noProof/>
        </w:rPr>
        <w:t>(2009)</w:t>
      </w:r>
      <w:r w:rsidR="00E06975">
        <w:fldChar w:fldCharType="end"/>
      </w:r>
      <w:r>
        <w:t xml:space="preserve"> and Diamond and </w:t>
      </w:r>
      <w:proofErr w:type="spellStart"/>
      <w:r>
        <w:t>Rajan</w:t>
      </w:r>
      <w:proofErr w:type="spellEnd"/>
      <w:r w:rsidR="00E06975">
        <w:t xml:space="preserve"> </w:t>
      </w:r>
      <w:r w:rsidR="00E06975">
        <w:fldChar w:fldCharType="begin"/>
      </w:r>
      <w:r w:rsidR="00E06975">
        <w:instrText xml:space="preserve"> ADDIN ZOTERO_ITEM CSL_CITATION {"citationID":"Sudv5bJT","properties":{"formattedCitation":"(2011)","plainCitation":"(2011)","noteIndex":0},"citationItems":[{"id":923,"uris":["http://zotero.org/users/1226582/items/79SGDLST"],"itemData":{"id":923,"type":"article-journal","abstract":"Is there any need to clean up a banking system by closing some banks and forcing others to sell assets if the risk of a crisis becomes high? Impaired banks that may be forced to sell illiquid assets in the future have private incentives to hold, rather than sell, those assets Anticipating a potential fire sale, liquid buyers expect high returns, reducing their incentive to lend. Privately optimal trading decisions therefore lead to a worse fire sale and a larger drop in lending than is necessary. We discuss alternative ways of cleaning up the system and the associated costs and benefits.","container-title":"The Quarterly Journal of Economics","DOI":"10.1093/qje/qjr012","ISSN":"0033-5533","issue":"2","journalAbbreviation":"The Quarterly Journal of Economics","page":"557-591","source":"Silverchair","title":"Fear of Fire Sales, Illiquidity Seeking, and Credit Freezes *","volume":"126","author":[{"family":"Diamond","given":"Douglas W."},{"family":"Rajan","given":"Raghuram G."}],"issued":{"date-parts":[["2011",5,1]]}},"label":"page","suppress-author":true}],"schema":"https://github.com/citation-style-language/schema/raw/master/csl-citation.json"} </w:instrText>
      </w:r>
      <w:r w:rsidR="00E06975">
        <w:fldChar w:fldCharType="separate"/>
      </w:r>
      <w:r w:rsidR="00E06975">
        <w:rPr>
          <w:noProof/>
        </w:rPr>
        <w:t>(2011)</w:t>
      </w:r>
      <w:r w:rsidR="00E06975">
        <w:fldChar w:fldCharType="end"/>
      </w:r>
      <w:r>
        <w:t>.</w:t>
      </w:r>
    </w:p>
    <w:p w14:paraId="37507DFF" w14:textId="77777777" w:rsidR="00571695" w:rsidRDefault="00571695" w:rsidP="00571695">
      <w:pPr>
        <w:pStyle w:val="Heading3"/>
      </w:pPr>
      <w:r>
        <w:t>Central Clearing</w:t>
      </w:r>
    </w:p>
    <w:p w14:paraId="25FE7AD4" w14:textId="64AAEF14" w:rsidR="00571695" w:rsidRDefault="00571695" w:rsidP="00571695">
      <w:r>
        <w:t>The policy and market implications of a central clearing mandate are discussed extensively by Pirrong</w:t>
      </w:r>
      <w:r w:rsidR="00E06975">
        <w:t xml:space="preserve"> </w:t>
      </w:r>
      <w:r w:rsidR="00E06975">
        <w:fldChar w:fldCharType="begin"/>
      </w:r>
      <w:r w:rsidR="00E06975">
        <w:instrText xml:space="preserve"> ADDIN ZOTERO_ITEM CSL_CITATION {"citationID":"c92kraQU","properties":{"formattedCitation":"(2011)","plainCitation":"(2011)","noteIndex":0},"citationItems":[{"id":301,"uris":["http://zotero.org/users/1226582/items/VM4NVPDM"],"itemData":{"id":301,"type":"article-journal","note":"publisher: International Swaps and Derivatives Association New York","source":"Google Scholar","title":"The economics of central clearing: theory and practice","title-short":"The economics of central clearing","author":[{"family":"Pirrong","given":"Craig"}],"issued":{"date-parts":[["2011"]]}},"label":"page","suppress-author":true}],"schema":"https://github.com/citation-style-language/schema/raw/master/csl-citation.json"} </w:instrText>
      </w:r>
      <w:r w:rsidR="00E06975">
        <w:fldChar w:fldCharType="separate"/>
      </w:r>
      <w:r w:rsidR="00E06975">
        <w:rPr>
          <w:noProof/>
        </w:rPr>
        <w:t>(2011)</w:t>
      </w:r>
      <w:r w:rsidR="00E06975">
        <w:fldChar w:fldCharType="end"/>
      </w:r>
      <w:r>
        <w:t>.  Per Pirrong, CCPs should clear liquid, standardized products, as illiquid products can pose substantial risks to the CCP. They can reduce the disruptive effect of defaults by drawing on additional sources of capital and facilitating orderly liquidation of positions. However, they can also increase systemic risk by requiring additional margin during periods of financial stress. In addition, by mutualizing the risk of default, they can induce market participants to take more risk (moral hazard and selection issues).  CCPs are also subject to economies of scale and scope (that is, the market will converge to one or few large CCPs that can economize over costs of warehousing and multiproduct netting). Since a CCP is likely to become a systemically important financial institution, regulators must monitor it closely and have prudent measures (such as a resolution plan if the CCP collapses).</w:t>
      </w:r>
    </w:p>
    <w:p w14:paraId="2EBACCAA" w14:textId="5CC926C8" w:rsidR="00571695" w:rsidRDefault="00571695" w:rsidP="00571695">
      <w:proofErr w:type="spellStart"/>
      <w:r>
        <w:t>Duffie</w:t>
      </w:r>
      <w:proofErr w:type="spellEnd"/>
      <w:r>
        <w:t xml:space="preserve"> and Zhu </w:t>
      </w:r>
      <w:r w:rsidR="00E06975">
        <w:fldChar w:fldCharType="begin"/>
      </w:r>
      <w:r w:rsidR="00E06975">
        <w:instrText xml:space="preserve"> ADDIN ZOTERO_ITEM CSL_CITATION {"citationID":"DlQ9DZud","properties":{"formattedCitation":"(2011)","plainCitation":"(2011)","noteIndex":0},"citationItems":[{"id":96,"uris":["http://zotero.org/users/1226582/items/JMNDS79Q"],"itemData":{"id":96,"type":"article-journal","container-title":"Review of Asset Pricing Studies","issue":"1","page":"74–95","source":"Google Scholar","title":"Does a central clearing counterparty reduce counterparty risk?","volume":"1","author":[{"family":"Duffie","given":"Darrell"},{"family":"Zhu","given":"Haoxiang"}],"issued":{"date-parts":[["2011"]]}},"label":"page","suppress-author":true}],"schema":"https://github.com/citation-style-language/schema/raw/master/csl-citation.json"} </w:instrText>
      </w:r>
      <w:r w:rsidR="00E06975">
        <w:fldChar w:fldCharType="separate"/>
      </w:r>
      <w:r w:rsidR="00E06975">
        <w:rPr>
          <w:noProof/>
        </w:rPr>
        <w:t>(2011)</w:t>
      </w:r>
      <w:r w:rsidR="00E06975">
        <w:fldChar w:fldCharType="end"/>
      </w:r>
      <w:r>
        <w:t xml:space="preserve"> show that theoretically concentrating clearing to one CCP can economize on collateral. Benos et al. </w:t>
      </w:r>
      <w:r w:rsidR="00E06975">
        <w:fldChar w:fldCharType="begin"/>
      </w:r>
      <w:r w:rsidR="00E06975">
        <w:instrText xml:space="preserve"> ADDIN ZOTERO_ITEM CSL_CITATION {"citationID":"CpKOJbTu","properties":{"formattedCitation":"(2019)","plainCitation":"(2019)","noteIndex":0},"citationItems":[{"id":304,"uris":["http://zotero.org/users/1226582/items/RBXV4IR3"],"itemData":{"id":304,"type":"report","abstract":"Fragmenting clearing across multiple central counterparties (CCPs) is costly. This is because dealers providing liquidity globally, cannot net trades cleared in different CCPs and this increases their collateral costs. These costs are then passed on to their clients through price distortions which take the form of a price differential (basis) when the same products are cleared in different CCPs. Using proprietary data, we document an economically significant CCP basis for U.S. dollar swap contracts cleared both at the Chicago Mercantile Exchange (CME) and the LCH in London and provide evidence consistent with a collateral cost explanation of this basis.","event-place":"Rochester, NY","genre":"SSRN Scholarly Paper","language":"en","number":"ID 3502465","publisher":"Social Science Research Network","publisher-place":"Rochester, NY","source":"papers.ssrn.com","title":"The Cost of Clearing Fragmentation","URL":"https://papers.ssrn.com/abstract=3502465","author":[{"family":"Benos","given":"Evangelos"},{"family":"Huang","given":"Wenqian"},{"family":"Menkveld","given":"Albert J."},{"family":"Vasios","given":"Michalis"}],"accessed":{"date-parts":[["2021",8,29]]},"issued":{"date-parts":[["2019",12,11]]}},"label":"page","suppress-author":true}],"schema":"https://github.com/citation-style-language/schema/raw/master/csl-citation.json"} </w:instrText>
      </w:r>
      <w:r w:rsidR="00E06975">
        <w:fldChar w:fldCharType="separate"/>
      </w:r>
      <w:r w:rsidR="00E06975">
        <w:rPr>
          <w:noProof/>
        </w:rPr>
        <w:t>(2019)</w:t>
      </w:r>
      <w:r w:rsidR="00E06975">
        <w:fldChar w:fldCharType="end"/>
      </w:r>
      <w:r w:rsidR="00E06975">
        <w:t xml:space="preserve"> </w:t>
      </w:r>
      <w:r>
        <w:t>explore</w:t>
      </w:r>
      <w:r w:rsidR="00E06975">
        <w:t xml:space="preserve"> </w:t>
      </w:r>
      <w:r>
        <w:t xml:space="preserve">the issue of economies of scale/scope among CCPs. Regulators in Europe and United States have required “local CCPs” to clear contracts that originate </w:t>
      </w:r>
      <w:r>
        <w:lastRenderedPageBreak/>
        <w:t xml:space="preserve">in their jurisdiction. </w:t>
      </w:r>
      <w:r w:rsidR="00E06975">
        <w:t xml:space="preserve">They </w:t>
      </w:r>
      <w:r>
        <w:t>find that the same contract</w:t>
      </w:r>
      <w:r w:rsidR="00E06975">
        <w:t>s</w:t>
      </w:r>
      <w:r>
        <w:t xml:space="preserve"> trade at different prices when cleared through two different clearinghouses (LCH in the UK/Europe and CME Clearing in the US) and suggest that this </w:t>
      </w:r>
      <w:r w:rsidR="00E06975">
        <w:t>difference</w:t>
      </w:r>
      <w:r>
        <w:t xml:space="preserve"> arises due to increased collateral costs when clearing is fragmented. </w:t>
      </w:r>
    </w:p>
    <w:p w14:paraId="7BA77A84" w14:textId="51D68804" w:rsidR="00781E75" w:rsidRPr="000816B7" w:rsidRDefault="00571695" w:rsidP="00571695">
      <w:r>
        <w:t xml:space="preserve">Bernstein, et al. </w:t>
      </w:r>
      <w:r>
        <w:fldChar w:fldCharType="begin"/>
      </w:r>
      <w:r>
        <w:instrText xml:space="preserve"> ADDIN ZOTERO_ITEM CSL_CITATION {"citationID":"6rDl1eK8","properties":{"formattedCitation":"(2019)","plainCitation":"(2019)","noteIndex":0},"citationItems":[{"id":880,"uris":["http://zotero.org/users/1226582/items/2LHBAN4M"],"itemData":{"id":880,"type":"article-journal","abstract":"We examine the effect of the establishment of the New York Stock Exchange (NYSE) clearinghouse in 1892 on counterparty risk using a novel historical experiment. During this period, the NYSE stocks were dual-listed on the Consolidated Stock Exchange (CSE), which already had a clearinghouse. Using identical securities on the CSE as a control, we find that the introduction of multilateral net settlement through a clearinghouse substantially reduced volatility of NYSE returns caused by settlement risk and increased asset values. Our results indicate that a clearinghouse can improve market stability and value through a reduction in network contagion and counterparty risk.","container-title":"Journal of Political Economy","DOI":"10.1086/701033","ISSN":"0022-3808","issue":"2","note":"publisher: The University of Chicago Press","page":"689-729","source":"journals.uchicago.edu (Atypon)","title":"Counterparty Risk and the Establishment of the New York Stock Exchange Clearinghouse","volume":"127","author":[{"family":"Bernstein","given":"Asaf"},{"family":"Hughson","given":"Eric"},{"family":"Weidenmier","given":"Marc"}],"issued":{"date-parts":[["2019",4]]}},"label":"page","suppress-author":true}],"schema":"https://github.com/citation-style-language/schema/raw/master/csl-citation.json"} </w:instrText>
      </w:r>
      <w:r>
        <w:fldChar w:fldCharType="separate"/>
      </w:r>
      <w:r>
        <w:rPr>
          <w:noProof/>
        </w:rPr>
        <w:t>(2019)</w:t>
      </w:r>
      <w:r>
        <w:fldChar w:fldCharType="end"/>
      </w:r>
      <w:r>
        <w:t xml:space="preserve"> look at the impact of central clearing on equities pricing by examining the prices of the same stocks traded on New York Stock Exchange (NYSE) and Consolidated Stock Exchange (CSE). The NYSE established a clearinghouse in 1892 while the CSE did not. They find that the same stocks on the NYSE traded for 90-173 premium over the CSE price.</w:t>
      </w:r>
    </w:p>
    <w:p w14:paraId="5850AA5C" w14:textId="634DC182" w:rsidR="00B13BAB" w:rsidRDefault="00B13BAB" w:rsidP="009C0453">
      <w:pPr>
        <w:pStyle w:val="Heading1"/>
        <w:numPr>
          <w:ilvl w:val="0"/>
          <w:numId w:val="33"/>
        </w:numPr>
      </w:pPr>
      <w:bookmarkStart w:id="4" w:name="_Ref157719057"/>
      <w:r w:rsidRPr="0027378C">
        <w:t>Theory</w:t>
      </w:r>
      <w:bookmarkEnd w:id="4"/>
    </w:p>
    <w:p w14:paraId="64314E6A" w14:textId="77777777" w:rsidR="0034098A" w:rsidRDefault="0027378C" w:rsidP="00AB12F9">
      <w:pPr>
        <w:pStyle w:val="Heading2"/>
      </w:pPr>
      <w:r>
        <w:t>Pricing of Interest Rate Swaps</w:t>
      </w:r>
    </w:p>
    <w:p w14:paraId="7E205851" w14:textId="1885645C" w:rsidR="0027378C" w:rsidRDefault="0034098A" w:rsidP="0034098A">
      <w:pPr>
        <w:pStyle w:val="Heading3"/>
      </w:pPr>
      <w:bookmarkStart w:id="5" w:name="_Ref154527935"/>
      <w:r>
        <w:t>W</w:t>
      </w:r>
      <w:r w:rsidR="0027378C">
        <w:t>ithout credit risks</w:t>
      </w:r>
      <w:bookmarkEnd w:id="5"/>
    </w:p>
    <w:p w14:paraId="39E91FC0" w14:textId="6DF324E1" w:rsidR="0027378C" w:rsidRDefault="0027378C" w:rsidP="00031822">
      <w:r>
        <w:t>An interest rate swap can be thought of as an exchange of a series of fixed payments by one party for a series of variable (floating) payments by the other party involved in the swap. For the fixed leg, the present value of the payments is given by</w:t>
      </w:r>
      <w:r w:rsidR="000C76FB">
        <w:t xml:space="preserve"> </w:t>
      </w:r>
      <w:r w:rsidR="000C76FB">
        <w:fldChar w:fldCharType="begin"/>
      </w:r>
      <w:r w:rsidR="00B93079">
        <w:instrText xml:space="preserve"> ADDIN ZOTERO_ITEM CSL_CITATION {"citationID":"ILXbMtTo","properties":{"formattedCitation":"(Skarr and Szakaly-Moore 2007)","plainCitation":"(Skarr and Szakaly-Moore 2007)","noteIndex":0},"citationItems":[{"id":883,"uris":["http://zotero.org/users/1226582/items/Y53QCBMW"],"itemData":{"id":883,"type":"document","language":"en","publisher":"California Debt and Investment Advisory Commission","source":"Zotero","title":"Understanding Interest Rate Swap Math &amp; Pricing","URL":"https://www.treasurer.ca.gov/cdiac/publications/math.pdf","author":[{"family":"Skarr","given":"Doug"},{"family":"Szakaly-Moore","given":"Kristin"}],"accessed":{"date-parts":[["2024",3,2]]},"issued":{"date-parts":[["2007"]]}}}],"schema":"https://github.com/citation-style-language/schema/raw/master/csl-citation.json"} </w:instrText>
      </w:r>
      <w:r w:rsidR="000C76FB">
        <w:fldChar w:fldCharType="separate"/>
      </w:r>
      <w:r w:rsidR="00B93079">
        <w:rPr>
          <w:noProof/>
        </w:rPr>
        <w:t>(Skarr and Szakaly-Moore 2007)</w:t>
      </w:r>
      <w:r w:rsidR="000C76FB">
        <w:fldChar w:fldCharType="end"/>
      </w:r>
      <w:r>
        <w:t>:</w:t>
      </w:r>
    </w:p>
    <w:p w14:paraId="3F73DA0C" w14:textId="77777777" w:rsidR="0027378C" w:rsidRPr="00FD7A2B" w:rsidRDefault="0027378C" w:rsidP="00031822">
      <w:pPr>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fixed leg</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T</m:t>
              </m:r>
            </m:sup>
            <m:e>
              <m:f>
                <m:fPr>
                  <m:ctrlPr>
                    <w:rPr>
                      <w:rFonts w:ascii="Cambria Math" w:hAnsi="Cambria Math"/>
                      <w:i/>
                    </w:rPr>
                  </m:ctrlPr>
                </m:fPr>
                <m:num>
                  <m:r>
                    <w:rPr>
                      <w:rFonts w:ascii="Cambria Math" w:hAnsi="Cambria Math"/>
                    </w:rPr>
                    <m:t>CF</m:t>
                  </m:r>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e>
                    <m:sup>
                      <m:sSub>
                        <m:sSubPr>
                          <m:ctrlPr>
                            <w:rPr>
                              <w:rFonts w:ascii="Cambria Math" w:hAnsi="Cambria Math"/>
                              <w:i/>
                            </w:rPr>
                          </m:ctrlPr>
                        </m:sSubPr>
                        <m:e>
                          <m:r>
                            <w:rPr>
                              <w:rFonts w:ascii="Cambria Math" w:hAnsi="Cambria Math"/>
                            </w:rPr>
                            <m:t>t</m:t>
                          </m:r>
                        </m:e>
                        <m:sub>
                          <m:r>
                            <w:rPr>
                              <w:rFonts w:ascii="Cambria Math" w:hAnsi="Cambria Math"/>
                            </w:rPr>
                            <m:t>i</m:t>
                          </m:r>
                        </m:sub>
                      </m:sSub>
                    </m:sup>
                  </m:sSup>
                </m:den>
              </m:f>
            </m:e>
          </m:nary>
        </m:oMath>
      </m:oMathPara>
    </w:p>
    <w:p w14:paraId="5A80DB45" w14:textId="77777777" w:rsidR="0027378C" w:rsidRDefault="0027378C" w:rsidP="00031822">
      <w:r>
        <w:t xml:space="preserve">Where: CF is the (fixed) cash flow,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risk-free rate for period </w:t>
      </w:r>
      <m:oMath>
        <m:r>
          <w:rPr>
            <w:rFonts w:ascii="Cambria Math" w:hAnsi="Cambria Math"/>
          </w:rPr>
          <m:t>i</m:t>
        </m:r>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time at which CF will be received and </w:t>
      </w:r>
      <m:oMath>
        <m:r>
          <w:rPr>
            <w:rFonts w:ascii="Cambria Math" w:hAnsi="Cambria Math"/>
          </w:rPr>
          <m:t>T</m:t>
        </m:r>
      </m:oMath>
      <w:r>
        <w:t xml:space="preserve"> is the tenor (total length of the swap contract)</w:t>
      </w:r>
    </w:p>
    <w:p w14:paraId="1C68C8E6" w14:textId="77777777" w:rsidR="0027378C" w:rsidRDefault="0027378C" w:rsidP="00031822">
      <w:r>
        <w:t>The present value of the floating leg is:</w:t>
      </w:r>
    </w:p>
    <w:p w14:paraId="7AEFE96E" w14:textId="77777777" w:rsidR="0027378C" w:rsidRPr="00FD7A2B" w:rsidRDefault="0027378C" w:rsidP="00031822">
      <w:pPr>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floating leg</m:t>
              </m:r>
            </m:sub>
          </m:sSub>
          <m:r>
            <w:rPr>
              <w:rFonts w:ascii="Cambria Math"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T</m:t>
              </m:r>
            </m:sup>
            <m:e>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e>
                    <m:sup>
                      <m:sSub>
                        <m:sSubPr>
                          <m:ctrlPr>
                            <w:rPr>
                              <w:rFonts w:ascii="Cambria Math" w:hAnsi="Cambria Math"/>
                              <w:i/>
                            </w:rPr>
                          </m:ctrlPr>
                        </m:sSubPr>
                        <m:e>
                          <m:r>
                            <w:rPr>
                              <w:rFonts w:ascii="Cambria Math" w:hAnsi="Cambria Math"/>
                            </w:rPr>
                            <m:t>t</m:t>
                          </m:r>
                        </m:e>
                        <m:sub>
                          <m:r>
                            <w:rPr>
                              <w:rFonts w:ascii="Cambria Math" w:hAnsi="Cambria Math"/>
                            </w:rPr>
                            <m:t>i</m:t>
                          </m:r>
                        </m:sub>
                      </m:sSub>
                    </m:sup>
                  </m:sSup>
                </m:den>
              </m:f>
            </m:e>
          </m:nary>
        </m:oMath>
      </m:oMathPara>
    </w:p>
    <w:p w14:paraId="60DB24E8" w14:textId="77777777" w:rsidR="0027378C" w:rsidRDefault="0027378C" w:rsidP="00031822">
      <w:r>
        <w:t xml:space="preserve">Where: </w:t>
      </w:r>
      <m:oMath>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floating leg payment at period </w:t>
      </w:r>
      <m:oMath>
        <m:r>
          <w:rPr>
            <w:rFonts w:ascii="Cambria Math" w:hAnsi="Cambria Math"/>
          </w:rPr>
          <m:t>i</m:t>
        </m:r>
      </m:oMath>
      <w:r>
        <w:t>, and all the other variables are as defined previously.</w:t>
      </w:r>
    </w:p>
    <w:p w14:paraId="5223D38A" w14:textId="0A11AA0F" w:rsidR="0027378C" w:rsidRDefault="0027378C" w:rsidP="00031822">
      <w:pPr>
        <w:rPr>
          <w:rFonts w:eastAsiaTheme="minorEastAsia"/>
        </w:rPr>
      </w:pPr>
      <w:r>
        <w:t>The present value of the contract for the party paying the fixed leg and receiving the floating leg is:</w:t>
      </w:r>
    </w:p>
    <w:p w14:paraId="43772741" w14:textId="77777777" w:rsidR="0027378C" w:rsidRPr="00B42996" w:rsidRDefault="0027378C" w:rsidP="00031822">
      <w:pPr>
        <w:rPr>
          <w:rFonts w:eastAsiaTheme="minorEastAsia"/>
        </w:rPr>
      </w:pPr>
      <m:oMathPara>
        <m:oMath>
          <m:r>
            <w:rPr>
              <w:rFonts w:ascii="Cambria Math" w:hAnsi="Cambria Math"/>
            </w:rPr>
            <m:t>PV=P</m:t>
          </m:r>
          <m:sSub>
            <m:sSubPr>
              <m:ctrlPr>
                <w:rPr>
                  <w:rFonts w:ascii="Cambria Math" w:hAnsi="Cambria Math"/>
                  <w:i/>
                </w:rPr>
              </m:ctrlPr>
            </m:sSubPr>
            <m:e>
              <m:r>
                <w:rPr>
                  <w:rFonts w:ascii="Cambria Math" w:hAnsi="Cambria Math"/>
                </w:rPr>
                <m:t>V</m:t>
              </m:r>
            </m:e>
            <m:sub>
              <m:r>
                <w:rPr>
                  <w:rFonts w:ascii="Cambria Math" w:hAnsi="Cambria Math"/>
                </w:rPr>
                <m:t>floating leg</m:t>
              </m:r>
            </m:sub>
          </m:sSub>
          <m:r>
            <w:rPr>
              <w:rFonts w:ascii="Cambria Math" w:hAnsi="Cambria Math"/>
            </w:rPr>
            <m:t>-P</m:t>
          </m:r>
          <m:sSub>
            <m:sSubPr>
              <m:ctrlPr>
                <w:rPr>
                  <w:rFonts w:ascii="Cambria Math" w:hAnsi="Cambria Math"/>
                  <w:i/>
                </w:rPr>
              </m:ctrlPr>
            </m:sSubPr>
            <m:e>
              <m:r>
                <w:rPr>
                  <w:rFonts w:ascii="Cambria Math" w:hAnsi="Cambria Math"/>
                </w:rPr>
                <m:t>V</m:t>
              </m:r>
            </m:e>
            <m:sub>
              <m:r>
                <w:rPr>
                  <w:rFonts w:ascii="Cambria Math" w:hAnsi="Cambria Math"/>
                </w:rPr>
                <m:t>fixed leg</m:t>
              </m:r>
            </m:sub>
          </m:sSub>
        </m:oMath>
      </m:oMathPara>
    </w:p>
    <w:p w14:paraId="4D29C573" w14:textId="644C62DE" w:rsidR="0027378C" w:rsidRPr="00B42996" w:rsidRDefault="0027378C" w:rsidP="00031822">
      <w:pPr>
        <w:rPr>
          <w:rFonts w:eastAsiaTheme="minorEastAsia"/>
          <w:i/>
          <w:iCs/>
        </w:rPr>
      </w:pPr>
      <w:r w:rsidRPr="00B42996">
        <w:rPr>
          <w:rFonts w:eastAsiaTheme="minorEastAsia"/>
          <w:i/>
          <w:iCs/>
        </w:rPr>
        <w:t>(</w:t>
      </w:r>
      <w:r w:rsidRPr="00E50868">
        <w:rPr>
          <w:rFonts w:eastAsiaTheme="minorEastAsia"/>
          <w:i/>
          <w:iCs/>
        </w:rPr>
        <w:t>The counterpart</w:t>
      </w:r>
      <w:r w:rsidR="0010299E">
        <w:rPr>
          <w:rFonts w:eastAsiaTheme="minorEastAsia"/>
          <w:i/>
          <w:iCs/>
        </w:rPr>
        <w:t>y</w:t>
      </w:r>
      <w:r w:rsidRPr="00E50868">
        <w:rPr>
          <w:rFonts w:eastAsiaTheme="minorEastAsia"/>
          <w:i/>
          <w:iCs/>
        </w:rPr>
        <w:t>'s value is given by a similar formula, but with the signs reversed on the right-hand side.</w:t>
      </w:r>
      <w:r w:rsidRPr="00B42996">
        <w:rPr>
          <w:rFonts w:eastAsiaTheme="minorEastAsia"/>
          <w:i/>
          <w:iCs/>
        </w:rPr>
        <w:t>)</w:t>
      </w:r>
    </w:p>
    <w:p w14:paraId="2FBA13D4" w14:textId="14D5CD96" w:rsidR="0034098A" w:rsidRDefault="0027378C" w:rsidP="002F4ED0">
      <w:r>
        <w:lastRenderedPageBreak/>
        <w:t xml:space="preserve">Floating rate payments are unknown in advance but are usually </w:t>
      </w:r>
      <w:r w:rsidR="00B93079">
        <w:t>forecasted</w:t>
      </w:r>
      <w:r>
        <w:t xml:space="preserve"> by a relevant yield curve. For instance, if the floating leg payment is based on </w:t>
      </w:r>
      <w:r w:rsidR="0010299E">
        <w:t xml:space="preserve">USD </w:t>
      </w:r>
      <w:r>
        <w:t xml:space="preserve">LIBOR, </w:t>
      </w:r>
      <w:r w:rsidR="008640B2">
        <w:t xml:space="preserve">a </w:t>
      </w:r>
      <w:r w:rsidR="0010299E">
        <w:t xml:space="preserve">USD </w:t>
      </w:r>
      <w:r>
        <w:t>LIBOR curve, constructed by interpolating short-term deposit rates, medium-term Eurodollar futures, and long-term instruments like forward rate agreements and existing swaps, is used.</w:t>
      </w:r>
      <w:r w:rsidR="0010299E">
        <w:t xml:space="preserve"> </w:t>
      </w:r>
      <w:r>
        <w:t xml:space="preserve">At the outset of the contract, </w:t>
      </w:r>
      <w:r w:rsidR="0010299E">
        <w:t>its</w:t>
      </w:r>
      <w:r>
        <w:t xml:space="preserve"> value is zero. This is achieved by determining the present value of the floating leg using the </w:t>
      </w:r>
      <w:r w:rsidR="00BA72D6">
        <w:t xml:space="preserve">forecasted </w:t>
      </w:r>
      <w:r>
        <w:t>payments</w:t>
      </w:r>
      <w:r w:rsidR="00BA72D6">
        <w:t xml:space="preserve"> (using the LIBOR yield curve)</w:t>
      </w:r>
      <w:r>
        <w:t xml:space="preserve">, and then setting the fixed rate </w:t>
      </w:r>
      <w:r w:rsidR="0010299E">
        <w:t xml:space="preserve">payment </w:t>
      </w:r>
      <m:oMath>
        <m:r>
          <w:rPr>
            <w:rFonts w:ascii="Cambria Math" w:hAnsi="Cambria Math"/>
          </w:rPr>
          <m:t>CF</m:t>
        </m:r>
      </m:oMath>
      <w:r w:rsidR="0010299E">
        <w:t xml:space="preserve"> </w:t>
      </w:r>
      <w:r>
        <w:t xml:space="preserve">such that the present values of both legs </w:t>
      </w:r>
      <w:r w:rsidR="0010299E">
        <w:t>equal</w:t>
      </w:r>
      <w:r>
        <w:t>.</w:t>
      </w:r>
    </w:p>
    <w:p w14:paraId="31712FFA" w14:textId="34461CD4" w:rsidR="0027378C" w:rsidRDefault="0027378C" w:rsidP="0034098A">
      <w:pPr>
        <w:pStyle w:val="Heading3"/>
      </w:pPr>
      <w:r>
        <w:t>Counterparty Risk and C</w:t>
      </w:r>
      <w:r w:rsidR="00781E75">
        <w:t xml:space="preserve">redit Valuation </w:t>
      </w:r>
      <w:r>
        <w:t>A</w:t>
      </w:r>
      <w:r w:rsidR="00781E75">
        <w:t>djustment</w:t>
      </w:r>
      <w:r>
        <w:t>/D</w:t>
      </w:r>
      <w:r w:rsidR="00781E75">
        <w:t xml:space="preserve">ebit </w:t>
      </w:r>
      <w:r>
        <w:t>V</w:t>
      </w:r>
      <w:r w:rsidR="00781E75">
        <w:t xml:space="preserve">aluation </w:t>
      </w:r>
      <w:r>
        <w:t>A</w:t>
      </w:r>
      <w:r w:rsidR="00781E75">
        <w:t>djustment</w:t>
      </w:r>
    </w:p>
    <w:p w14:paraId="58AE67F0" w14:textId="31113D34" w:rsidR="00B93079" w:rsidRDefault="0027378C" w:rsidP="00031822">
      <w:r>
        <w:t>The interest rate swap market is dominated by a handful of substantial swap dealers (SDs) and Major Swap Participants (MSPs) rather than many atomistic market participants</w:t>
      </w:r>
      <w:r w:rsidR="00B93079">
        <w:fldChar w:fldCharType="begin"/>
      </w:r>
      <w:r w:rsidR="00B93079">
        <w:instrText xml:space="preserve"> ADDIN ZOTERO_ITEM CSL_CITATION {"citationID":"kElaQfPW","properties":{"formattedCitation":"(Bolandnazar 2020)","plainCitation":"(Bolandnazar 2020)","noteIndex":0},"citationItems":[{"id":283,"uris":["http://zotero.org/users/1226582/items/2G8VDPE5"],"itemData":{"id":283,"type":"report","abstract":"Following the Dodd-Frank Act, central clearing and centralized trading became mandatory for a class of the most liquid interest rate swaps (IRS). Nevertheless, IRS market making in the dealer-to-client sector remained concentrated at a few regulated banks that transfer their funding costs to end users. I develop an equilibrium model of IRS markets with imperfect competition among capital-constrained dealers. Using proprietary data on cleared IRS transactions and the dealers' daily margin requirements, I empirically investigate the impact of recent regulatory changes on market liquidity. By exploiting the variation in margin requirements across swaps with different risk profiles intermediated by bank-affiliated dealers, my estimates show that a 1 percentage point increase in the supplementary leverage ratio (SLR) leads to an increase of $1.5 billion in the annual cost of hedging for the end-users.","event-place":"Rochester, NY","genre":"SSRN Scholarly Paper","language":"en","note":"DOI: 10.2139/ssrn.3752367","number":"3752367","publisher":"Social Science Research Network","publisher-place":"Rochester, NY","source":"papers.ssrn.com","title":"The Market Structure of Dealer-to-Client Interest Rate Swaps","URL":"https://papers.ssrn.com/abstract=3752367","author":[{"family":"Bolandnazar","given":"Mohammadreza"}],"accessed":{"date-parts":[["2022",4,28]]},"issued":{"date-parts":[["2020",12,20]]}},"label":"page"}],"schema":"https://github.com/citation-style-language/schema/raw/master/csl-citation.json"} </w:instrText>
      </w:r>
      <w:r w:rsidR="00B93079">
        <w:fldChar w:fldCharType="separate"/>
      </w:r>
      <w:r w:rsidR="00B93079">
        <w:rPr>
          <w:noProof/>
        </w:rPr>
        <w:t>(Bolandnazar 2020)</w:t>
      </w:r>
      <w:r w:rsidR="00B93079">
        <w:fldChar w:fldCharType="end"/>
      </w:r>
      <w:r>
        <w:t xml:space="preserve">. These SDs and MSPs offer buy and sell quotes for swaps, potentially finding other participants to balance their swap exposures. </w:t>
      </w:r>
      <w:r w:rsidR="00C66CC2">
        <w:fldChar w:fldCharType="begin"/>
      </w:r>
      <w:r w:rsidR="00C66CC2">
        <w:instrText xml:space="preserve"> REF _Ref162817922 \h </w:instrText>
      </w:r>
      <w:r w:rsidR="00C66CC2">
        <w:fldChar w:fldCharType="separate"/>
      </w:r>
      <w:r w:rsidR="00C66CC2">
        <w:t xml:space="preserve">Figure </w:t>
      </w:r>
      <w:r w:rsidR="00C66CC2">
        <w:rPr>
          <w:noProof/>
        </w:rPr>
        <w:t>1</w:t>
      </w:r>
      <w:r w:rsidR="00C66CC2">
        <w:fldChar w:fldCharType="end"/>
      </w:r>
      <w:r>
        <w:t xml:space="preserve"> depicts a hypothetical network model of such a market.</w:t>
      </w:r>
    </w:p>
    <w:p w14:paraId="6D0280E6" w14:textId="33642162" w:rsidR="00C66CC2" w:rsidRDefault="00C66CC2" w:rsidP="00C66CC2">
      <w:pPr>
        <w:keepNext/>
        <w:jc w:val="center"/>
      </w:pPr>
      <w:r>
        <w:t>[Figure 2 about here]</w:t>
      </w:r>
    </w:p>
    <w:p w14:paraId="5E4A6229" w14:textId="530C9BA6" w:rsidR="0027378C" w:rsidRDefault="00C66CC2" w:rsidP="00C66CC2">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rPr>
          <w:noProof/>
        </w:rPr>
        <w:t xml:space="preserve"> Market without central clearing</w:t>
      </w:r>
    </w:p>
    <w:p w14:paraId="66A49EA7" w14:textId="45DC8717" w:rsidR="0027378C" w:rsidRDefault="00DF4848" w:rsidP="00031822">
      <w:r>
        <w:t>In the figure, three dealers (D) each engage with their set of clients (C). Note that d</w:t>
      </w:r>
      <w:r w:rsidR="0027378C">
        <w:t xml:space="preserve">ealers might engage in interdealer trading </w:t>
      </w:r>
      <w:r>
        <w:t xml:space="preserve">(indicated by bi-directional arrows between dealers) </w:t>
      </w:r>
      <w:r w:rsidR="0027378C">
        <w:t xml:space="preserve">and bulk futures markets </w:t>
      </w:r>
      <w:r w:rsidR="00143C59">
        <w:t xml:space="preserve">trading </w:t>
      </w:r>
      <w:r>
        <w:t xml:space="preserve">(not shown) </w:t>
      </w:r>
      <w:r w:rsidR="0027378C">
        <w:t>for cash flow or risk management</w:t>
      </w:r>
      <w:r>
        <w:t xml:space="preserve"> purposes.</w:t>
      </w:r>
      <w:r w:rsidR="0027378C">
        <w:t xml:space="preserve"> </w:t>
      </w:r>
      <w:r>
        <w:t>C</w:t>
      </w:r>
      <w:r w:rsidR="0027378C">
        <w:t xml:space="preserve">ustomers </w:t>
      </w:r>
      <w:r w:rsidR="005A7F47">
        <w:t xml:space="preserve">can </w:t>
      </w:r>
      <w:r w:rsidR="0027378C">
        <w:t xml:space="preserve">trade with multiple dealers </w:t>
      </w:r>
      <w:r>
        <w:t xml:space="preserve">(indicated by arrows going from C to multiple Ds) </w:t>
      </w:r>
      <w:r w:rsidR="0027378C">
        <w:t xml:space="preserve">or occasionally engage in bilateral trades </w:t>
      </w:r>
      <w:r>
        <w:t xml:space="preserve">(indicated by arrows going from C to C) </w:t>
      </w:r>
      <w:r w:rsidR="0027378C">
        <w:t>amongst themselves. However, bilateral trades typically have low volume. It is believed that the dealer-centric network structure lowers search costs compared to a direct customer-to-customer market.</w:t>
      </w:r>
    </w:p>
    <w:p w14:paraId="54674BC0" w14:textId="77F4C84E" w:rsidR="0027378C" w:rsidRDefault="0027378C" w:rsidP="00C223E8">
      <w:r>
        <w:t>In practice, customers and dealers must account for the risk associated with counterparties defaulting. The "risk-free" present value</w:t>
      </w:r>
      <w:r w:rsidR="00DF4848">
        <w:t xml:space="preserve"> pricing </w:t>
      </w:r>
      <w:r>
        <w:t>above need</w:t>
      </w:r>
      <w:r w:rsidR="00DF4848">
        <w:t>s</w:t>
      </w:r>
      <w:r>
        <w:t xml:space="preserve"> to be adjusted for </w:t>
      </w:r>
      <w:r w:rsidR="00DF4848">
        <w:t>this risk</w:t>
      </w:r>
      <w:r>
        <w:t>.</w:t>
      </w:r>
      <w:r w:rsidR="00C223E8">
        <w:t xml:space="preserve"> </w:t>
      </w:r>
      <w:r>
        <w:t xml:space="preserve">If </w:t>
      </w:r>
      <w:r w:rsidRPr="00272C92">
        <w:rPr>
          <w:rStyle w:val="katex-mathml"/>
          <w:i/>
          <w:iCs/>
        </w:rPr>
        <w:t>S</w:t>
      </w:r>
      <w:r w:rsidRPr="00272C92">
        <w:rPr>
          <w:rStyle w:val="katex-mathml"/>
          <w:i/>
          <w:iCs/>
          <w:vertAlign w:val="subscript"/>
        </w:rPr>
        <w:t>i</w:t>
      </w:r>
      <w:r>
        <w:rPr>
          <w:rStyle w:val="vlist-s"/>
        </w:rPr>
        <w:t>​</w:t>
      </w:r>
      <w:r>
        <w:t xml:space="preserve"> represents the survival probability of the counterparty at period </w:t>
      </w:r>
      <m:oMath>
        <m:r>
          <w:rPr>
            <w:rStyle w:val="mord"/>
            <w:rFonts w:ascii="Cambria Math" w:hAnsi="Cambria Math"/>
          </w:rPr>
          <m:t>i</m:t>
        </m:r>
      </m:oMath>
      <w:r>
        <w:t xml:space="preserve">, the expected present value </w:t>
      </w:r>
      <w:r w:rsidR="00DF4848">
        <w:t>of the fixed leg is</w:t>
      </w:r>
      <w:r>
        <w:t>:</w:t>
      </w:r>
    </w:p>
    <w:p w14:paraId="19D1F1D9" w14:textId="0D462E58" w:rsidR="0027378C" w:rsidRPr="0073452C" w:rsidRDefault="0027378C" w:rsidP="00031822">
      <w:pPr>
        <w:rPr>
          <w:rFonts w:eastAsiaTheme="minorEastAsia"/>
        </w:rPr>
      </w:pPr>
      <m:oMathPara>
        <m:oMath>
          <m:r>
            <w:rPr>
              <w:rFonts w:ascii="Cambria Math" w:hAnsi="Cambria Math"/>
            </w:rPr>
            <m:t>PV</m:t>
          </m:r>
          <m:r>
            <w:rPr>
              <w:rFonts w:ascii="Cambria Math" w:eastAsiaTheme="minorEastAsia" w:hAnsi="Cambria Math"/>
            </w:rPr>
            <m:t>=</m:t>
          </m:r>
          <m:nary>
            <m:naryPr>
              <m:chr m:val="∑"/>
              <m:ctrlPr>
                <w:rPr>
                  <w:rFonts w:ascii="Cambria Math" w:hAnsi="Cambria Math"/>
                  <w:i/>
                </w:rPr>
              </m:ctrlPr>
            </m:naryPr>
            <m:sub>
              <m:r>
                <w:rPr>
                  <w:rFonts w:ascii="Cambria Math" w:hAnsi="Cambria Math"/>
                </w:rPr>
                <m:t>i=0</m:t>
              </m:r>
            </m:sub>
            <m:sup>
              <m:r>
                <w:rPr>
                  <w:rFonts w:ascii="Cambria Math" w:hAnsi="Cambria Math"/>
                </w:rPr>
                <m:t>T</m:t>
              </m:r>
            </m:sup>
            <m:e>
              <m:f>
                <m:fPr>
                  <m:ctrlPr>
                    <w:rPr>
                      <w:rFonts w:ascii="Cambria Math" w:hAnsi="Cambria Math"/>
                      <w:i/>
                    </w:rPr>
                  </m:ctrlPr>
                </m:fPr>
                <m:num>
                  <m:r>
                    <w:rPr>
                      <w:rFonts w:ascii="Cambria Math" w:hAnsi="Cambria Math"/>
                    </w:rPr>
                    <m:t>C</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num>
                <m:den>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e>
                    <m:sup>
                      <m:sSub>
                        <m:sSubPr>
                          <m:ctrlPr>
                            <w:rPr>
                              <w:rFonts w:ascii="Cambria Math" w:hAnsi="Cambria Math"/>
                              <w:i/>
                            </w:rPr>
                          </m:ctrlPr>
                        </m:sSubPr>
                        <m:e>
                          <m:r>
                            <w:rPr>
                              <w:rFonts w:ascii="Cambria Math" w:hAnsi="Cambria Math"/>
                            </w:rPr>
                            <m:t>t</m:t>
                          </m:r>
                        </m:e>
                        <m:sub>
                          <m:r>
                            <w:rPr>
                              <w:rFonts w:ascii="Cambria Math" w:hAnsi="Cambria Math"/>
                            </w:rPr>
                            <m:t>i</m:t>
                          </m:r>
                        </m:sub>
                      </m:sSub>
                    </m:sup>
                  </m:sSup>
                </m:den>
              </m:f>
            </m:e>
          </m:nary>
        </m:oMath>
      </m:oMathPara>
    </w:p>
    <w:p w14:paraId="12AF0714" w14:textId="7FC32CE3" w:rsidR="00DF4848" w:rsidRDefault="00DF4848" w:rsidP="00031822">
      <w:r>
        <w:t xml:space="preserve">The fixed rate payment </w:t>
      </w:r>
      <m:oMath>
        <m:r>
          <w:rPr>
            <w:rFonts w:ascii="Cambria Math" w:hAnsi="Cambria Math"/>
          </w:rPr>
          <m:t>CF</m:t>
        </m:r>
      </m:oMath>
      <w:r>
        <w:t xml:space="preserve"> needs to account for the modified PV of the floating leg. </w:t>
      </w:r>
    </w:p>
    <w:p w14:paraId="2637D74B" w14:textId="4D81746E" w:rsidR="0027378C" w:rsidRDefault="00DF4848" w:rsidP="00031822">
      <w:r>
        <w:lastRenderedPageBreak/>
        <w:t>(</w:t>
      </w:r>
      <w:r w:rsidR="0027378C">
        <w:t>Note that a swap's valu</w:t>
      </w:r>
      <w:r w:rsidR="00876F18">
        <w:t>ation</w:t>
      </w:r>
      <w:r w:rsidR="0027378C">
        <w:t xml:space="preserve"> with counterparty risk requires two adjustments. </w:t>
      </w:r>
      <w:r w:rsidR="00AB7061">
        <w:t>Only the credit valuation adjustment [CVA] is shown above. However, i</w:t>
      </w:r>
      <w:r>
        <w:t xml:space="preserve">f </w:t>
      </w:r>
      <w:r w:rsidR="005A7F47">
        <w:t>one’s</w:t>
      </w:r>
      <w:r w:rsidR="00C223E8">
        <w:t xml:space="preserve"> </w:t>
      </w:r>
      <w:r w:rsidR="0027378C">
        <w:t xml:space="preserve">counterparty </w:t>
      </w:r>
      <w:r>
        <w:t>defaults,</w:t>
      </w:r>
      <w:r w:rsidR="00AB7061">
        <w:t xml:space="preserve"> </w:t>
      </w:r>
      <w:r w:rsidR="005A7F47">
        <w:t xml:space="preserve">one </w:t>
      </w:r>
      <w:r w:rsidR="00C223E8">
        <w:t xml:space="preserve">no longer </w:t>
      </w:r>
      <w:proofErr w:type="gramStart"/>
      <w:r w:rsidR="005A7F47">
        <w:t xml:space="preserve">has </w:t>
      </w:r>
      <w:r w:rsidR="00876F18">
        <w:t>to</w:t>
      </w:r>
      <w:proofErr w:type="gramEnd"/>
      <w:r w:rsidR="00876F18">
        <w:t xml:space="preserve"> make </w:t>
      </w:r>
      <w:r w:rsidR="005A7F47">
        <w:t xml:space="preserve">his/her </w:t>
      </w:r>
      <w:r w:rsidR="00876F18">
        <w:t>obligated payments</w:t>
      </w:r>
      <w:r w:rsidR="00C223E8">
        <w:t xml:space="preserve"> </w:t>
      </w:r>
      <w:r w:rsidR="005A7F47">
        <w:t>to the other party either</w:t>
      </w:r>
      <w:r w:rsidR="00876F18">
        <w:t>, which would increase the value of the cont</w:t>
      </w:r>
      <w:r w:rsidR="00C223E8">
        <w:t>r</w:t>
      </w:r>
      <w:r w:rsidR="00876F18">
        <w:t>act</w:t>
      </w:r>
      <w:r w:rsidR="00B93079">
        <w:t xml:space="preserve">. This adjustment is </w:t>
      </w:r>
      <w:r w:rsidR="00876F18">
        <w:t xml:space="preserve">called </w:t>
      </w:r>
      <w:r w:rsidR="008F7BF3">
        <w:t xml:space="preserve">the </w:t>
      </w:r>
      <w:r w:rsidR="00876F18">
        <w:t>Debit Value Adjustment [DBA]</w:t>
      </w:r>
      <w:r w:rsidR="00B93079">
        <w:t xml:space="preserve"> and not shown above</w:t>
      </w:r>
      <w:r w:rsidR="00876F18">
        <w:t>).</w:t>
      </w:r>
    </w:p>
    <w:p w14:paraId="474B1A55" w14:textId="77777777" w:rsidR="0027378C" w:rsidRDefault="0027378C" w:rsidP="0034098A">
      <w:pPr>
        <w:pStyle w:val="Heading3"/>
      </w:pPr>
      <w:r>
        <w:t>Central Clearing</w:t>
      </w:r>
    </w:p>
    <w:p w14:paraId="6FC9356A" w14:textId="48CA6DD5" w:rsidR="004F43A3" w:rsidRDefault="0027378C" w:rsidP="00031822">
      <w:r>
        <w:t>The structure of a dealer-dominated market means that a dealer's failure</w:t>
      </w:r>
      <w:r w:rsidR="00AA5AFB">
        <w:t xml:space="preserve"> (</w:t>
      </w:r>
      <w:r>
        <w:t xml:space="preserve">possibly due to inadequate risk management or </w:t>
      </w:r>
      <w:r w:rsidR="00AA5AFB">
        <w:t xml:space="preserve">correlated </w:t>
      </w:r>
      <w:r>
        <w:t>customer defaults</w:t>
      </w:r>
      <w:r w:rsidR="00AA5AFB">
        <w:t>)</w:t>
      </w:r>
      <w:r>
        <w:t xml:space="preserve"> could affect other dealers and potentially the entire market. To counter this, regulators introduced central counterparties (clearinghouses). These clearinghouses void (novate) the initial swap contract and establish two new contracts, mirroring the original, with each counterparty. Now participants only need to be concerned about the clearinghouse's potential default, rather than their counterparties. Owing to their robust capitalization, regulation, and sound risk management, clearinghouses are perceived to decrease default and contagion risks. </w:t>
      </w:r>
      <w:r w:rsidR="00C66CC2">
        <w:fldChar w:fldCharType="begin"/>
      </w:r>
      <w:r w:rsidR="00C66CC2">
        <w:instrText xml:space="preserve"> REF _Ref162817904 \h </w:instrText>
      </w:r>
      <w:r w:rsidR="00C66CC2">
        <w:fldChar w:fldCharType="separate"/>
      </w:r>
      <w:r w:rsidR="00C66CC2">
        <w:t xml:space="preserve">Figure </w:t>
      </w:r>
      <w:r w:rsidR="00C66CC2">
        <w:rPr>
          <w:noProof/>
        </w:rPr>
        <w:t>3</w:t>
      </w:r>
      <w:r w:rsidR="00C66CC2">
        <w:fldChar w:fldCharType="end"/>
      </w:r>
      <w:r>
        <w:t xml:space="preserve"> visualizes a hypothetical market structure with mandated central clearing.</w:t>
      </w:r>
    </w:p>
    <w:p w14:paraId="03679E74" w14:textId="4215851F" w:rsidR="008640B2" w:rsidRDefault="00C66CC2" w:rsidP="008640B2">
      <w:pPr>
        <w:keepNext/>
        <w:jc w:val="center"/>
      </w:pPr>
      <w:r>
        <w:t>[Figure 3 about here]</w:t>
      </w:r>
    </w:p>
    <w:p w14:paraId="273E10AA" w14:textId="236169D2" w:rsidR="0027378C" w:rsidRDefault="008640B2" w:rsidP="008640B2">
      <w:pPr>
        <w:pStyle w:val="Caption"/>
        <w:jc w:val="center"/>
      </w:pPr>
      <w:bookmarkStart w:id="6" w:name="_Ref162817904"/>
      <w:r>
        <w:t xml:space="preserve">Figure </w:t>
      </w:r>
      <w:r>
        <w:fldChar w:fldCharType="begin"/>
      </w:r>
      <w:r>
        <w:instrText xml:space="preserve"> SEQ Figure \* ARABIC </w:instrText>
      </w:r>
      <w:r>
        <w:fldChar w:fldCharType="separate"/>
      </w:r>
      <w:r w:rsidR="00C66CC2">
        <w:rPr>
          <w:noProof/>
        </w:rPr>
        <w:t>3</w:t>
      </w:r>
      <w:r>
        <w:fldChar w:fldCharType="end"/>
      </w:r>
      <w:bookmarkEnd w:id="6"/>
      <w:r>
        <w:rPr>
          <w:noProof/>
        </w:rPr>
        <w:t xml:space="preserve"> Market with Central Clearing</w:t>
      </w:r>
    </w:p>
    <w:p w14:paraId="075F445A" w14:textId="419357CF" w:rsidR="00AA5AFB" w:rsidRDefault="00AA5AFB" w:rsidP="00AA5AFB">
      <w:r>
        <w:t xml:space="preserve">If </w:t>
      </w:r>
      <w:r w:rsidR="0034098A">
        <w:t>clearinghouses can</w:t>
      </w:r>
      <w:r>
        <w:t xml:space="preserve"> </w:t>
      </w:r>
      <w:r w:rsidR="0034098A">
        <w:t xml:space="preserve">reduce or eliminate counterparty risk, swaps values should be closer to the risk-free case rather than the case with counterparty risk. </w:t>
      </w:r>
      <w:r w:rsidR="00046423">
        <w:t>However, e</w:t>
      </w:r>
      <w:r w:rsidR="0034098A">
        <w:t>ven if clearinghouses are successful at eliminating counterparty risk, additional cost of compliance (such as clearing fees and margin requirements) could keep swaps prices from reaching the risk-free valuation.</w:t>
      </w:r>
    </w:p>
    <w:p w14:paraId="44599128" w14:textId="19B3F962" w:rsidR="004F43A3" w:rsidRDefault="004F43A3" w:rsidP="00AB12F9">
      <w:pPr>
        <w:pStyle w:val="Heading2"/>
      </w:pPr>
      <w:r>
        <w:t xml:space="preserve">Model of </w:t>
      </w:r>
      <w:r w:rsidR="00781E75">
        <w:t>Liquidity (</w:t>
      </w:r>
      <w:r>
        <w:t xml:space="preserve">Bid-Ask </w:t>
      </w:r>
      <w:r w:rsidR="00781E75">
        <w:t>Spreads)</w:t>
      </w:r>
    </w:p>
    <w:p w14:paraId="3B2287C5" w14:textId="77777777" w:rsidR="004F43A3" w:rsidRPr="00834DE5" w:rsidRDefault="004F43A3" w:rsidP="00031822">
      <w:pPr>
        <w:pStyle w:val="Heading3"/>
      </w:pPr>
      <w:r w:rsidRPr="00834DE5">
        <w:t>With No Counterparty Risk</w:t>
      </w:r>
    </w:p>
    <w:p w14:paraId="36BF5B0C" w14:textId="0C77AD2B" w:rsidR="004F43A3" w:rsidRDefault="004F43A3" w:rsidP="00031822">
      <w:r>
        <w:t xml:space="preserve">I adapt the model from Biais </w:t>
      </w:r>
      <w:r w:rsidR="00AB5DFD">
        <w:fldChar w:fldCharType="begin"/>
      </w:r>
      <w:r w:rsidR="00AB5DFD">
        <w:instrText xml:space="preserve"> ADDIN ZOTERO_ITEM CSL_CITATION {"citationID":"EsigXlD3","properties":{"formattedCitation":"(1993)","plainCitation":"(1993)","noteIndex":0},"citationItems":[{"id":870,"uris":["http://zotero.org/users/1226582/items/ZJKNHR7B"],"itemData":{"id":870,"type":"article-journal","abstract":"This paper compares centralized and fragmented markets, such as floor and telephone markets. Risk-averse agents compete for one market order. In centralized markets, these agents are market makers or limit order traders. They are assumed to observe the quotes of their competitors. In fragmented markets they are dealers. They can only assess the positions of their competitors. We analyze differences in bidding strategies reflecting differences in market structures. The equilibrium number of dealers is shown to be increasing in the frequency of trades and the volatility of the value of the asset. The expected spread is shown to be equal in both markets, ceteris paribus. But the spread is more volatile in centralized than in fragmented markets.","container-title":"The Journal of Finance","DOI":"10.1111/j.1540-6261.1993.tb04705.x","ISSN":"1540-6261","issue":"1","language":"en","license":"© 1993 the American Finance Association","note":"_eprint: https://onlinelibrary.wiley.com/doi/pdf/10.1111/j.1540-6261.1993.tb04705.x","page":"157-185","source":"Wiley Online Library","title":"Price Formation and Equilibrium Liquidity in Fragmented and Centralized Markets","volume":"48","author":[{"family":"Biais","given":"Bruno"}],"issued":{"date-parts":[["1993"]]}},"label":"page","suppress-author":true}],"schema":"https://github.com/citation-style-language/schema/raw/master/csl-citation.json"} </w:instrText>
      </w:r>
      <w:r w:rsidR="00AB5DFD">
        <w:fldChar w:fldCharType="separate"/>
      </w:r>
      <w:r w:rsidR="00AB5DFD">
        <w:rPr>
          <w:noProof/>
        </w:rPr>
        <w:t>(1993)</w:t>
      </w:r>
      <w:r w:rsidR="00AB5DFD">
        <w:fldChar w:fldCharType="end"/>
      </w:r>
      <w:r>
        <w:t xml:space="preserve"> for centralized trading where all market participants can observe the bids, asks and market orders of their market participants. The model is a sequential game. In the first stage, two competing dealers (liquidity providers) receive a random inventory position in the risky asset between [-R, R]. In stage 2, the dealers set their bid and ask prices. In the next stage there is a liquidity shock with probability </w:t>
      </w:r>
      <m:oMath>
        <m:r>
          <w:rPr>
            <w:rFonts w:ascii="Cambria Math" w:hAnsi="Cambria Math"/>
          </w:rPr>
          <m:t>λ</m:t>
        </m:r>
      </m:oMath>
      <w:r>
        <w:t xml:space="preserve">. If there is a liquidity shock, a liquidity </w:t>
      </w:r>
      <w:r>
        <w:lastRenderedPageBreak/>
        <w:t xml:space="preserve">trader (liquidity demander) receives an inventory of quantity </w:t>
      </w:r>
      <m:oMath>
        <m:r>
          <w:rPr>
            <w:rFonts w:ascii="Cambria Math" w:hAnsi="Cambria Math"/>
          </w:rPr>
          <m:t>L</m:t>
        </m:r>
      </m:oMath>
      <w:r>
        <w:t xml:space="preserve"> with probability </w:t>
      </w:r>
      <m:oMath>
        <m:f>
          <m:fPr>
            <m:ctrlPr>
              <w:rPr>
                <w:rFonts w:ascii="Cambria Math" w:hAnsi="Cambria Math"/>
                <w:i/>
              </w:rPr>
            </m:ctrlPr>
          </m:fPr>
          <m:num>
            <m:r>
              <w:rPr>
                <w:rFonts w:ascii="Cambria Math" w:hAnsi="Cambria Math"/>
              </w:rPr>
              <m:t>1</m:t>
            </m:r>
          </m:num>
          <m:den>
            <m:r>
              <w:rPr>
                <w:rFonts w:ascii="Cambria Math" w:hAnsi="Cambria Math"/>
              </w:rPr>
              <m:t>2</m:t>
            </m:r>
          </m:den>
        </m:f>
      </m:oMath>
      <w:r>
        <w:t xml:space="preserve"> (or </w:t>
      </w:r>
      <w:r w:rsidR="00781E75">
        <w:t xml:space="preserve">a short position of </w:t>
      </w:r>
      <w:r>
        <w:t xml:space="preserve">size </w:t>
      </w:r>
      <m:oMath>
        <m:r>
          <w:rPr>
            <w:rFonts w:ascii="Cambria Math" w:hAnsi="Cambria Math"/>
          </w:rPr>
          <m:t>-L</m:t>
        </m:r>
      </m:oMath>
      <w:r>
        <w:t xml:space="preserve"> with the same probability). He then decides the size of the optimal market order, which is executed at the best bid or ask price posted by the dealers. If there is no liquidity shock, no trade takes place. In the final stage, the price of the risky asset is </w:t>
      </w:r>
      <w:r w:rsidR="0034098A">
        <w:t>realized,</w:t>
      </w:r>
      <w:r>
        <w:t xml:space="preserve"> and players receive their utility.</w:t>
      </w:r>
    </w:p>
    <w:p w14:paraId="6614A3F7" w14:textId="4A3DCD22" w:rsidR="004F43A3" w:rsidRDefault="004F43A3" w:rsidP="00031822">
      <w:pPr>
        <w:rPr>
          <w:rFonts w:eastAsiaTheme="minorEastAsia"/>
        </w:rPr>
      </w:pPr>
      <w:r>
        <w:t xml:space="preserve">I assume that the two dealers are identical except for their inventory positions. All market participants have constant </w:t>
      </w:r>
      <w:r w:rsidR="00781E75">
        <w:t>absolute</w:t>
      </w:r>
      <w:r>
        <w:t xml:space="preserve"> risk aversion </w:t>
      </w:r>
      <w:r w:rsidR="005C11C0">
        <w:t>(C</w:t>
      </w:r>
      <w:r w:rsidR="00781E75">
        <w:t>A</w:t>
      </w:r>
      <w:r w:rsidR="005C11C0">
        <w:t xml:space="preserve">RA) </w:t>
      </w:r>
      <w:r>
        <w:t xml:space="preserve">utility </w:t>
      </w:r>
      <m:oMath>
        <m:r>
          <w:rPr>
            <w:rFonts w:ascii="Cambria Math" w:hAnsi="Cambria Math"/>
          </w:rPr>
          <m:t>U</m:t>
        </m:r>
        <m:d>
          <m:dPr>
            <m:ctrlPr>
              <w:rPr>
                <w:rFonts w:ascii="Cambria Math" w:hAnsi="Cambria Math"/>
                <w:i/>
              </w:rPr>
            </m:ctrlPr>
          </m:dPr>
          <m:e>
            <m:r>
              <w:rPr>
                <w:rFonts w:ascii="Cambria Math" w:hAnsi="Cambria Math"/>
              </w:rPr>
              <m:t>w</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-α⋅w</m:t>
                </m:r>
              </m:e>
            </m:d>
          </m:e>
        </m:func>
      </m:oMath>
      <w:r w:rsidR="00781E75">
        <w:t xml:space="preserve">, where </w:t>
      </w:r>
      <m:oMath>
        <m:r>
          <w:rPr>
            <w:rFonts w:ascii="Cambria Math" w:hAnsi="Cambria Math"/>
          </w:rPr>
          <m:t>w</m:t>
        </m:r>
      </m:oMath>
      <w:r w:rsidR="00781E75">
        <w:t xml:space="preserve"> is the trader’s wealth and </w:t>
      </w:r>
      <m:oMath>
        <m:r>
          <w:rPr>
            <w:rFonts w:ascii="Cambria Math" w:hAnsi="Cambria Math"/>
          </w:rPr>
          <m:t>α</m:t>
        </m:r>
      </m:oMath>
      <w:r w:rsidR="00781E75">
        <w:t xml:space="preserve"> is a risk-aversion parameter</w:t>
      </w:r>
      <w:r>
        <w:rPr>
          <w:rFonts w:eastAsiaTheme="minorEastAsia"/>
        </w:rPr>
        <w:t xml:space="preserve">. If there is a liquidity shock, the liquidity trader observes the market prices and selects the quantity (size) of the market order. The final price of the risky asset is </w:t>
      </w:r>
      <m:oMath>
        <m:r>
          <w:rPr>
            <w:rFonts w:ascii="Cambria Math" w:eastAsiaTheme="minorEastAsia" w:hAnsi="Cambria Math"/>
          </w:rPr>
          <m:t>p=1+z</m:t>
        </m:r>
      </m:oMath>
      <w:r>
        <w:rPr>
          <w:rFonts w:eastAsiaTheme="minorEastAsia"/>
        </w:rPr>
        <w:t xml:space="preserve">, where </w:t>
      </w:r>
      <m:oMath>
        <m:r>
          <w:rPr>
            <w:rFonts w:ascii="Cambria Math" w:eastAsiaTheme="minorEastAsia" w:hAnsi="Cambria Math"/>
          </w:rPr>
          <m:t>z</m:t>
        </m:r>
        <m:r>
          <m:rPr>
            <m:scr m:val="double-struck"/>
          </m:rP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e>
        </m:d>
      </m:oMath>
      <w:r>
        <w:rPr>
          <w:rFonts w:eastAsiaTheme="minorEastAsia"/>
        </w:rPr>
        <w:t>.</w:t>
      </w:r>
    </w:p>
    <w:p w14:paraId="62A75610" w14:textId="29F443F4" w:rsidR="004F43A3" w:rsidRDefault="004F43A3" w:rsidP="00031822">
      <w:r>
        <w:t xml:space="preserve">I analyze the case where the liquidity trader receives a liquidity shock </w:t>
      </w:r>
      <m:oMath>
        <m:r>
          <w:rPr>
            <w:rFonts w:ascii="Cambria Math" w:hAnsi="Cambria Math"/>
          </w:rPr>
          <m:t>+L</m:t>
        </m:r>
      </m:oMath>
      <w:r>
        <w:t xml:space="preserve"> (the case where the liquidity trader receives a </w:t>
      </w:r>
      <m:oMath>
        <m:r>
          <w:rPr>
            <w:rFonts w:ascii="Cambria Math" w:hAnsi="Cambria Math"/>
          </w:rPr>
          <m:t>-L</m:t>
        </m:r>
      </m:oMath>
      <w:r>
        <w:t xml:space="preserve"> shock will be analogous). At the end of the game, once the asset price is realized, th</w:t>
      </w:r>
      <w:r w:rsidR="005C11C0">
        <w:t>is</w:t>
      </w:r>
      <w:r>
        <w:t xml:space="preserve"> trader receives wealth:</w:t>
      </w:r>
    </w:p>
    <w:p w14:paraId="489D8EF6" w14:textId="77777777" w:rsidR="004F43A3" w:rsidRPr="00F21BF8" w:rsidRDefault="004F43A3" w:rsidP="00031822">
      <w:pPr>
        <w:ind w:firstLine="720"/>
        <w:rPr>
          <w:rFonts w:eastAsiaTheme="minorEastAsia"/>
        </w:rPr>
      </w:pPr>
      <m:oMathPara>
        <m:oMath>
          <m:r>
            <w:rPr>
              <w:rFonts w:ascii="Cambria Math" w:hAnsi="Cambria Math"/>
            </w:rPr>
            <m:t>w=p</m:t>
          </m:r>
          <m:d>
            <m:dPr>
              <m:ctrlPr>
                <w:rPr>
                  <w:rFonts w:ascii="Cambria Math" w:hAnsi="Cambria Math"/>
                  <w:i/>
                </w:rPr>
              </m:ctrlPr>
            </m:dPr>
            <m:e>
              <m:r>
                <w:rPr>
                  <w:rFonts w:ascii="Cambria Math" w:hAnsi="Cambria Math"/>
                </w:rPr>
                <m:t>L-Q</m:t>
              </m:r>
            </m:e>
          </m:d>
          <m:r>
            <w:rPr>
              <w:rFonts w:ascii="Cambria Math" w:hAnsi="Cambria Math"/>
            </w:rPr>
            <m:t>+Q⋅</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oMath>
      </m:oMathPara>
    </w:p>
    <w:p w14:paraId="5F824377" w14:textId="1253DCC9" w:rsidR="004F43A3" w:rsidRDefault="00781E75" w:rsidP="00031822">
      <w:r>
        <w:t>w</w:t>
      </w:r>
      <w:r w:rsidR="004F43A3">
        <w:t xml:space="preserve">here </w:t>
      </w:r>
      <m:oMath>
        <m:r>
          <w:rPr>
            <w:rFonts w:ascii="Cambria Math" w:hAnsi="Cambria Math"/>
          </w:rPr>
          <m:t>L-Q</m:t>
        </m:r>
      </m:oMath>
      <w:r w:rsidR="004F43A3">
        <w:t xml:space="preserve"> is the net position of the trader in the risky asset at the end of the game and </w:t>
      </w:r>
      <m:oMath>
        <m:r>
          <w:rPr>
            <w:rFonts w:ascii="Cambria Math" w:hAnsi="Cambria Math"/>
          </w:rPr>
          <m:t>(Q⋅</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r>
          <w:rPr>
            <w:rFonts w:ascii="Cambria Math" w:hAnsi="Cambria Math"/>
          </w:rPr>
          <m:t>)</m:t>
        </m:r>
      </m:oMath>
      <w:r w:rsidR="004F43A3">
        <w:t xml:space="preserve"> is the cash from selling </w:t>
      </w:r>
      <m:oMath>
        <m:r>
          <w:rPr>
            <w:rFonts w:ascii="Cambria Math" w:hAnsi="Cambria Math"/>
          </w:rPr>
          <m:t>Q</m:t>
        </m:r>
      </m:oMath>
      <w:r w:rsidR="004F43A3">
        <w:t xml:space="preserve"> units of the risky asset at the best (highest) bid price. The liquidity trader will maximize his expected utility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w</m:t>
                </m:r>
              </m:e>
            </m:d>
          </m:e>
        </m:d>
        <m:r>
          <m:rPr>
            <m:scr m:val="double-struck"/>
          </m:rPr>
          <w:rPr>
            <w:rFonts w:ascii="Cambria Math" w:hAnsi="Cambria Math"/>
          </w:rPr>
          <m:t>=E[-</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L-Q</m:t>
                </m:r>
              </m:e>
            </m:d>
            <m:r>
              <w:rPr>
                <w:rFonts w:ascii="Cambria Math" w:hAnsi="Cambria Math"/>
              </w:rPr>
              <m:t>p+Q⋅</m:t>
            </m:r>
            <m:sSubSup>
              <m:sSubSupPr>
                <m:ctrlPr>
                  <w:rPr>
                    <w:rFonts w:ascii="Cambria Math" w:hAnsi="Cambria Math"/>
                    <w:i/>
                  </w:rPr>
                </m:ctrlPr>
              </m:sSubSupPr>
              <m:e>
                <m:r>
                  <w:rPr>
                    <w:rFonts w:ascii="Cambria Math" w:hAnsi="Cambria Math"/>
                  </w:rPr>
                  <m:t>p</m:t>
                </m:r>
              </m:e>
              <m:sub>
                <m:r>
                  <w:rPr>
                    <w:rFonts w:ascii="Cambria Math" w:hAnsi="Cambria Math"/>
                  </w:rPr>
                  <m:t>b</m:t>
                </m:r>
              </m:sub>
              <m:sup>
                <m:r>
                  <w:rPr>
                    <w:rFonts w:ascii="Cambria Math" w:hAnsi="Cambria Math"/>
                  </w:rPr>
                  <m:t>*</m:t>
                </m:r>
              </m:sup>
            </m:sSubSup>
          </m:e>
        </m:func>
        <m:r>
          <w:rPr>
            <w:rFonts w:ascii="Cambria Math" w:hAnsi="Cambria Math"/>
          </w:rPr>
          <m:t>]</m:t>
        </m:r>
      </m:oMath>
      <w:r w:rsidR="004F43A3">
        <w:t>. The optimal quantity is:</w:t>
      </w:r>
    </w:p>
    <w:p w14:paraId="23630CBD" w14:textId="77777777" w:rsidR="004F43A3" w:rsidRPr="0082615B" w:rsidRDefault="00000000" w:rsidP="00031822">
      <w:pPr>
        <w:ind w:firstLine="720"/>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sSup>
                <m:sSupPr>
                  <m:ctrlPr>
                    <w:rPr>
                      <w:rFonts w:ascii="Cambria Math" w:hAnsi="Cambria Math"/>
                      <w:i/>
                    </w:rPr>
                  </m:ctrlPr>
                </m:sSupPr>
                <m:e>
                  <m:r>
                    <w:rPr>
                      <w:rFonts w:ascii="Cambria Math" w:hAnsi="Cambria Math"/>
                    </w:rPr>
                    <m:t>σ</m:t>
                  </m:r>
                </m:e>
                <m:sup>
                  <m:r>
                    <w:rPr>
                      <w:rFonts w:ascii="Cambria Math" w:hAnsi="Cambria Math"/>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-1</m:t>
              </m:r>
            </m:e>
          </m:d>
          <m:r>
            <w:rPr>
              <w:rFonts w:ascii="Cambria Math" w:eastAsiaTheme="minorEastAsia" w:hAnsi="Cambria Math"/>
            </w:rPr>
            <m:t>+L</m:t>
          </m:r>
        </m:oMath>
      </m:oMathPara>
    </w:p>
    <w:p w14:paraId="29EC86B4" w14:textId="3AF1B0C7" w:rsidR="004F43A3" w:rsidRPr="00D83385" w:rsidRDefault="00781E75" w:rsidP="00031822">
      <w:r>
        <w:t>w</w:t>
      </w:r>
      <w:r w:rsidR="004F43A3">
        <w:t xml:space="preserve">here I have used the fact that </w:t>
      </w:r>
      <m:oMath>
        <m:r>
          <m:rPr>
            <m:scr m:val="double-struck"/>
            <m:sty m:val="p"/>
          </m:rPr>
          <w:rPr>
            <w:rFonts w:ascii="Cambria Math" w:hAnsi="Cambria Math"/>
          </w:rPr>
          <m:t>E</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exp</m:t>
                </m:r>
              </m:fName>
              <m:e>
                <m:r>
                  <w:rPr>
                    <w:rFonts w:ascii="Cambria Math" w:hAnsi="Cambria Math"/>
                  </w:rPr>
                  <m:t>z</m:t>
                </m:r>
              </m:e>
            </m:func>
          </m:e>
        </m:d>
        <m:r>
          <m:rPr>
            <m:sty m:val="p"/>
          </m:rPr>
          <w:rPr>
            <w:rFonts w:ascii="Cambria Math" w:hAnsi="Cambria Math"/>
          </w:rPr>
          <m:t xml:space="preserve">, </m:t>
        </m:r>
        <m:r>
          <w:rPr>
            <w:rFonts w:ascii="Cambria Math" w:hAnsi="Cambria Math"/>
          </w:rPr>
          <m:t>z</m:t>
        </m:r>
        <m:r>
          <m:rPr>
            <m:sty m:val="p"/>
          </m:rPr>
          <w:rPr>
            <w:rFonts w:ascii="Cambria Math" w:hAnsi="Cambria Math"/>
          </w:rPr>
          <m:t>~</m:t>
        </m:r>
        <m:r>
          <w:rPr>
            <w:rFonts w:ascii="Cambria Math" w:hAnsi="Cambria Math"/>
          </w:rPr>
          <m:t>N</m:t>
        </m:r>
        <m:d>
          <m:dPr>
            <m:ctrlPr>
              <w:rPr>
                <w:rFonts w:ascii="Cambria Math" w:hAnsi="Cambria Math"/>
              </w:rPr>
            </m:ctrlPr>
          </m:dPr>
          <m:e>
            <m:r>
              <w:rPr>
                <w:rFonts w:ascii="Cambria Math" w:hAnsi="Cambria Math"/>
              </w:rPr>
              <m:t>μ</m:t>
            </m:r>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e>
        </m:d>
        <m:r>
          <m:rPr>
            <m:sty m:val="p"/>
          </m:rPr>
          <w:rPr>
            <w:rFonts w:ascii="Cambria Math" w:hAnsi="Cambria Math"/>
          </w:rPr>
          <m:t>=</m:t>
        </m:r>
        <m:func>
          <m:funcPr>
            <m:ctrlPr>
              <w:rPr>
                <w:rFonts w:ascii="Cambria Math" w:hAnsi="Cambria Math"/>
              </w:rPr>
            </m:ctrlPr>
          </m:funcPr>
          <m:fName>
            <m:r>
              <m:rPr>
                <m:sty m:val="p"/>
              </m:rPr>
              <w:rPr>
                <w:rFonts w:ascii="Cambria Math" w:hAnsi="Cambria Math"/>
              </w:rPr>
              <m:t>exp</m:t>
            </m:r>
          </m:fName>
          <m:e>
            <m:r>
              <w:rPr>
                <w:rFonts w:ascii="Cambria Math" w:hAnsi="Cambria Math"/>
              </w:rPr>
              <m:t>μ</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σ</m:t>
                    </m:r>
                  </m:e>
                  <m:sup>
                    <m:r>
                      <m:rPr>
                        <m:sty m:val="p"/>
                      </m:rPr>
                      <w:rPr>
                        <w:rFonts w:ascii="Cambria Math" w:hAnsi="Cambria Math"/>
                      </w:rPr>
                      <m:t>2</m:t>
                    </m:r>
                  </m:sup>
                </m:sSup>
              </m:num>
              <m:den>
                <m:r>
                  <m:rPr>
                    <m:sty m:val="p"/>
                  </m:rPr>
                  <w:rPr>
                    <w:rFonts w:ascii="Cambria Math" w:hAnsi="Cambria Math"/>
                  </w:rPr>
                  <m:t>2</m:t>
                </m:r>
              </m:den>
            </m:f>
          </m:e>
        </m:func>
      </m:oMath>
    </w:p>
    <w:p w14:paraId="62384BFF" w14:textId="3FF36892" w:rsidR="004F43A3" w:rsidRDefault="00781E75" w:rsidP="00031822">
      <w:r>
        <w:t xml:space="preserve">In the </w:t>
      </w:r>
      <w:r w:rsidR="004F43A3">
        <w:t xml:space="preserve">case of </w:t>
      </w:r>
      <w:r w:rsidR="005C11C0">
        <w:t xml:space="preserve">the reservation quote for </w:t>
      </w:r>
      <w:r w:rsidR="004F43A3">
        <w:t>dealer 1, competing over a market buy order. If he has the best price, he receives the order flow and has wealth:</w:t>
      </w:r>
    </w:p>
    <w:p w14:paraId="24C86150" w14:textId="77777777" w:rsidR="004F43A3" w:rsidRPr="00C42C82" w:rsidRDefault="004F43A3" w:rsidP="00031822">
      <w:pPr>
        <w:ind w:firstLine="720"/>
        <w:rPr>
          <w:rFonts w:eastAsiaTheme="minorEastAsia"/>
        </w:rPr>
      </w:pPr>
      <m:oMathPara>
        <m:oMath>
          <m:r>
            <w:rPr>
              <w:rFonts w:ascii="Cambria Math" w:hAnsi="Cambria Math"/>
            </w:rPr>
            <m:t>w=</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m:t>
                  </m:r>
                </m:sup>
              </m:sSup>
            </m:e>
          </m:d>
          <m:r>
            <w:rPr>
              <w:rFonts w:ascii="Cambria Math" w:hAnsi="Cambria Math"/>
            </w:rPr>
            <m:t>p-</m:t>
          </m:r>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b</m:t>
              </m:r>
            </m:sup>
          </m:sSubSup>
          <m:r>
            <w:rPr>
              <w:rFonts w:ascii="Cambria Math" w:hAnsi="Cambria Math"/>
            </w:rPr>
            <m:t xml:space="preserve">Q </m:t>
          </m:r>
        </m:oMath>
      </m:oMathPara>
    </w:p>
    <w:p w14:paraId="3649EE37" w14:textId="77FF6CFF" w:rsidR="004F43A3" w:rsidRDefault="00781E75" w:rsidP="00031822">
      <w:r>
        <w:t>w</w:t>
      </w:r>
      <w:r w:rsidR="004F43A3">
        <w:t xml:space="preserve">here: </w:t>
      </w:r>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b</m:t>
            </m:r>
          </m:sup>
        </m:sSubSup>
      </m:oMath>
      <w:r w:rsidR="004F43A3">
        <w:t xml:space="preserve"> is the bid price set by dealer 1, </w:t>
      </w:r>
      <m:oMath>
        <m:sSup>
          <m:sSupPr>
            <m:ctrlPr>
              <w:rPr>
                <w:rFonts w:ascii="Cambria Math" w:hAnsi="Cambria Math"/>
                <w:i/>
              </w:rPr>
            </m:ctrlPr>
          </m:sSupPr>
          <m:e>
            <m:r>
              <w:rPr>
                <w:rFonts w:ascii="Cambria Math" w:hAnsi="Cambria Math"/>
              </w:rPr>
              <m:t>Q</m:t>
            </m:r>
          </m:e>
          <m:sup>
            <m:r>
              <w:rPr>
                <w:rFonts w:ascii="Cambria Math" w:hAnsi="Cambria Math"/>
              </w:rPr>
              <m:t>*</m:t>
            </m:r>
          </m:sup>
        </m:sSup>
      </m:oMath>
      <w:r w:rsidR="004F43A3">
        <w:t xml:space="preserve"> is the size of the market order and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4F43A3">
        <w:t xml:space="preserve"> is his random inventory position (a number between </w:t>
      </w:r>
      <m:oMath>
        <m:r>
          <w:rPr>
            <w:rFonts w:ascii="Cambria Math" w:hAnsi="Cambria Math"/>
          </w:rPr>
          <m:t>[-R, R]</m:t>
        </m:r>
      </m:oMath>
      <w:r w:rsidR="004F43A3">
        <w:t>). If he does not have the best price, he receives:</w:t>
      </w:r>
    </w:p>
    <w:p w14:paraId="4D4477A4" w14:textId="77777777" w:rsidR="004F43A3" w:rsidRDefault="004F43A3" w:rsidP="00031822">
      <w:pPr>
        <w:ind w:firstLine="720"/>
        <w:rPr>
          <w:rFonts w:eastAsiaTheme="minorEastAsia"/>
        </w:rPr>
      </w:pPr>
      <m:oMathPara>
        <m:oMath>
          <m:r>
            <w:rPr>
              <w:rFonts w:ascii="Cambria Math" w:eastAsiaTheme="minorEastAsia" w:hAnsi="Cambria Math"/>
            </w:rPr>
            <m:t>w=</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p</m:t>
          </m:r>
        </m:oMath>
      </m:oMathPara>
    </w:p>
    <w:p w14:paraId="059F8120" w14:textId="1D05692D" w:rsidR="004F43A3" w:rsidRDefault="005C11C0" w:rsidP="00031822">
      <w:r>
        <w:t>D</w:t>
      </w:r>
      <w:r w:rsidR="004F43A3">
        <w:t xml:space="preserve">ealer </w:t>
      </w:r>
      <w:r>
        <w:t xml:space="preserve">1 </w:t>
      </w:r>
      <w:r w:rsidR="004F43A3">
        <w:t xml:space="preserve">is indifferent between trading and not trading when the expected utility from both actions </w:t>
      </w:r>
      <w:r w:rsidR="00781E75">
        <w:t>is</w:t>
      </w:r>
      <w:r w:rsidR="004F43A3">
        <w:t xml:space="preserve"> the same. This happens when:</w:t>
      </w:r>
    </w:p>
    <w:p w14:paraId="532954AF" w14:textId="77777777" w:rsidR="004F43A3" w:rsidRPr="00461C55" w:rsidRDefault="00000000" w:rsidP="00031822">
      <w:pPr>
        <w:ind w:firstLine="720"/>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r,1</m:t>
              </m:r>
            </m:sub>
            <m:sup>
              <m:r>
                <w:rPr>
                  <w:rFonts w:ascii="Cambria Math" w:hAnsi="Cambria Math"/>
                </w:rPr>
                <m:t>b</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num>
            <m:den>
              <m:r>
                <w:rPr>
                  <w:rFonts w:ascii="Cambria Math" w:eastAsiaTheme="minorEastAsia" w:hAnsi="Cambria Math"/>
                </w:rPr>
                <m:t>2</m:t>
              </m:r>
            </m:den>
          </m:f>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r>
            <m:rPr>
              <m:sty m:val="p"/>
            </m:rPr>
            <w:rPr>
              <w:rFonts w:ascii="Cambria Math" w:eastAsiaTheme="minorEastAsia" w:hAnsi="Cambria Math"/>
            </w:rPr>
            <w:br/>
          </m:r>
        </m:oMath>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)-1</m:t>
          </m:r>
        </m:oMath>
      </m:oMathPara>
    </w:p>
    <w:p w14:paraId="73A28FEB" w14:textId="73A0A475" w:rsidR="004F43A3" w:rsidRDefault="00781E75" w:rsidP="00031822">
      <w:r>
        <w:t>w</w:t>
      </w:r>
      <w:r w:rsidR="004F43A3">
        <w:t xml:space="preserve">here the price is subscripted with </w:t>
      </w:r>
      <m:oMath>
        <m:r>
          <w:rPr>
            <w:rFonts w:ascii="Cambria Math" w:hAnsi="Cambria Math"/>
          </w:rPr>
          <m:t>r</m:t>
        </m:r>
      </m:oMath>
      <w:r w:rsidR="004F43A3">
        <w:t xml:space="preserve"> to emphasize it is the reservation price. A similar analysis holds for the ask price:</w:t>
      </w:r>
    </w:p>
    <w:p w14:paraId="3E781C1D" w14:textId="77777777" w:rsidR="004F43A3" w:rsidRPr="00B03657" w:rsidRDefault="00000000" w:rsidP="00031822">
      <w:pPr>
        <w:ind w:firstLine="72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)-1</m:t>
          </m:r>
        </m:oMath>
      </m:oMathPara>
    </w:p>
    <w:p w14:paraId="20DB5409" w14:textId="2C1DBF03" w:rsidR="004F43A3" w:rsidRDefault="00781E75" w:rsidP="00031822">
      <w:r>
        <w:t>a</w:t>
      </w:r>
      <w:r w:rsidR="004F43A3">
        <w:t xml:space="preserve">nd in </w:t>
      </w:r>
      <w:r w:rsidR="005C11C0">
        <w:t>general,</w:t>
      </w:r>
      <w:r w:rsidR="004F43A3">
        <w:t xml:space="preserve"> for dealer </w:t>
      </w:r>
      <m:oMath>
        <m:r>
          <w:rPr>
            <w:rFonts w:ascii="Cambria Math" w:hAnsi="Cambria Math"/>
          </w:rPr>
          <m:t>i</m:t>
        </m:r>
      </m:oMath>
      <w:r w:rsidR="004F43A3">
        <w:t>, the reservation prices are:</w:t>
      </w:r>
    </w:p>
    <w:p w14:paraId="1933AC66" w14:textId="77777777" w:rsidR="004F43A3" w:rsidRPr="00B03657" w:rsidRDefault="00000000" w:rsidP="00031822">
      <w:pPr>
        <w:ind w:firstLine="72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m:t>
          </m:r>
        </m:oMath>
      </m:oMathPara>
    </w:p>
    <w:p w14:paraId="6E697156" w14:textId="77777777" w:rsidR="004F43A3" w:rsidRPr="00B03657" w:rsidRDefault="00000000" w:rsidP="00031822">
      <w:pPr>
        <w:ind w:firstLine="72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m:t>
          </m:r>
        </m:oMath>
      </m:oMathPara>
    </w:p>
    <w:p w14:paraId="1FB0E227" w14:textId="1A4F0AB4" w:rsidR="004F43A3" w:rsidRDefault="005C11C0" w:rsidP="00031822">
      <w:pPr>
        <w:rPr>
          <w:rFonts w:eastAsiaTheme="minorEastAsia"/>
        </w:rPr>
      </w:pPr>
      <w:r>
        <w:rPr>
          <w:rFonts w:eastAsiaTheme="minorEastAsia"/>
        </w:rPr>
        <w:t xml:space="preserve">I analyze the case of the optimal bid quote for dealer 1, </w:t>
      </w:r>
      <w:r>
        <w:t>a</w:t>
      </w:r>
      <w:r w:rsidR="004F43A3">
        <w:t>ssum</w:t>
      </w:r>
      <w:r>
        <w:t xml:space="preserve">ing </w:t>
      </w:r>
      <w:r w:rsidR="004F43A3">
        <w:t>competing dealer</w:t>
      </w:r>
      <w:r>
        <w:t>s</w:t>
      </w:r>
      <w:r w:rsidR="004F43A3">
        <w:t xml:space="preserve"> do not observe </w:t>
      </w:r>
      <w:r>
        <w:t>the</w:t>
      </w:r>
      <w:r w:rsidR="004F43A3">
        <w:t xml:space="preserve"> other’s inventory levels, but both assume that the others inventory is drawn uniformly from </w:t>
      </w:r>
      <m:oMath>
        <m:r>
          <w:rPr>
            <w:rFonts w:ascii="Cambria Math" w:hAnsi="Cambria Math"/>
          </w:rPr>
          <m:t>[-R,R]</m:t>
        </m:r>
      </m:oMath>
      <w:r w:rsidR="004F43A3">
        <w:rPr>
          <w:rFonts w:eastAsiaTheme="minorEastAsia"/>
        </w:rPr>
        <w:t xml:space="preserve">. By increasing his bid quote, </w:t>
      </w:r>
      <w:r>
        <w:rPr>
          <w:rFonts w:eastAsiaTheme="minorEastAsia"/>
        </w:rPr>
        <w:t xml:space="preserve">a dealer </w:t>
      </w:r>
      <w:r w:rsidR="004F43A3">
        <w:rPr>
          <w:rFonts w:eastAsiaTheme="minorEastAsia"/>
        </w:rPr>
        <w:t>increases his probability of winning the order flow, but he must balance this against the fact that he pays more for each unit acquired. He would not like to increase his quote beyond his reservation price. The optimal bid quote is:</w:t>
      </w:r>
    </w:p>
    <w:p w14:paraId="5FE0C2CA" w14:textId="77777777" w:rsidR="004F43A3" w:rsidRPr="00525000" w:rsidRDefault="00000000" w:rsidP="00031822">
      <w:pPr>
        <w:ind w:firstLine="720"/>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b</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um>
            <m:den>
              <m:r>
                <w:rPr>
                  <w:rFonts w:ascii="Cambria Math" w:eastAsiaTheme="minorEastAsia" w:hAnsi="Cambria Math"/>
                </w:rPr>
                <m:t>2</m:t>
              </m:r>
            </m:den>
          </m:f>
        </m:oMath>
      </m:oMathPara>
    </w:p>
    <w:p w14:paraId="4C9DAA4E" w14:textId="77777777" w:rsidR="004F43A3" w:rsidRDefault="004F43A3" w:rsidP="00031822">
      <w:r>
        <w:t>Similarly, the optimal ask quote is:</w:t>
      </w:r>
    </w:p>
    <w:p w14:paraId="579B53E4" w14:textId="77777777" w:rsidR="004F43A3" w:rsidRPr="00525000" w:rsidRDefault="00000000" w:rsidP="00031822">
      <w:pPr>
        <w:ind w:firstLine="720"/>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a</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r,1</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num>
            <m:den>
              <m:r>
                <w:rPr>
                  <w:rFonts w:ascii="Cambria Math" w:eastAsiaTheme="minorEastAsia" w:hAnsi="Cambria Math"/>
                </w:rPr>
                <m:t>2</m:t>
              </m:r>
            </m:den>
          </m:f>
        </m:oMath>
      </m:oMathPara>
    </w:p>
    <w:p w14:paraId="7CEE3EB2" w14:textId="00A2C68C" w:rsidR="004F43A3" w:rsidRDefault="00781E75" w:rsidP="00031822">
      <w:r>
        <w:t>a</w:t>
      </w:r>
      <w:r w:rsidR="004F43A3">
        <w:t xml:space="preserve">nd in general, the optimal bid and ask quotes for dealer </w:t>
      </w:r>
      <m:oMath>
        <m:r>
          <w:rPr>
            <w:rFonts w:ascii="Cambria Math" w:hAnsi="Cambria Math"/>
          </w:rPr>
          <m:t>i</m:t>
        </m:r>
      </m:oMath>
      <w:r w:rsidR="004F43A3">
        <w:t xml:space="preserve"> are:</w:t>
      </w:r>
    </w:p>
    <w:p w14:paraId="5AE82FF1" w14:textId="77777777" w:rsidR="004F43A3" w:rsidRPr="0082707C" w:rsidRDefault="00000000" w:rsidP="00031822">
      <w:pPr>
        <w:ind w:firstLine="720"/>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a</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r>
            <m:rPr>
              <m:sty m:val="p"/>
            </m:rPr>
            <w:rPr>
              <w:rFonts w:ascii="Cambria Math" w:eastAsiaTheme="minorEastAsia" w:hAnsi="Cambria Math"/>
            </w:rPr>
            <w:br/>
          </m:r>
        </m:oMath>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b</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oMath>
      </m:oMathPara>
    </w:p>
    <w:p w14:paraId="1884255E" w14:textId="77777777" w:rsidR="004F43A3" w:rsidRDefault="004F43A3" w:rsidP="00031822">
      <w:r>
        <w:t>The observed bid ask spread is:</w:t>
      </w:r>
    </w:p>
    <w:p w14:paraId="209A4172" w14:textId="77777777" w:rsidR="004F43A3" w:rsidRPr="0082707C" w:rsidRDefault="004F43A3" w:rsidP="00031822">
      <w:pPr>
        <w:ind w:firstLine="720"/>
        <w:rPr>
          <w:rFonts w:eastAsiaTheme="minorEastAsia"/>
        </w:rPr>
      </w:pPr>
      <m:oMathPara>
        <m:oMath>
          <m:r>
            <w:rPr>
              <w:rFonts w:ascii="Cambria Math" w:hAnsi="Cambria Math"/>
            </w:rPr>
            <m:t>S=</m:t>
          </m:r>
          <m:func>
            <m:funcPr>
              <m:ctrlPr>
                <w:rPr>
                  <w:rFonts w:ascii="Cambria Math" w:hAnsi="Cambria Math"/>
                  <w:i/>
                </w:rPr>
              </m:ctrlPr>
            </m:funcPr>
            <m:fName>
              <m:r>
                <m:rPr>
                  <m:sty m:val="p"/>
                </m:rPr>
                <w:rPr>
                  <w:rFonts w:ascii="Cambria Math" w:hAnsi="Cambria Math"/>
                </w:rPr>
                <m:t>max</m:t>
              </m:r>
            </m:fName>
            <m:e>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b</m:t>
                  </m:r>
                </m:sup>
              </m:sSubSup>
              <m:r>
                <w:rPr>
                  <w:rFonts w:ascii="Cambria Math" w:hAnsi="Cambria Math"/>
                </w:rPr>
                <m:t>]</m:t>
              </m:r>
            </m:e>
          </m:func>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a</m:t>
                      </m:r>
                    </m:sup>
                  </m:sSubSup>
                </m:e>
              </m:d>
            </m:e>
          </m:func>
        </m:oMath>
      </m:oMathPara>
    </w:p>
    <w:p w14:paraId="58CD7207" w14:textId="77777777" w:rsidR="004F43A3" w:rsidRDefault="004F43A3" w:rsidP="00031822">
      <w:r>
        <w:t xml:space="preserve">NB: Under competition with many dealers, the second term on the RHS of the above equation is </w:t>
      </w:r>
      <m:oMath>
        <m:r>
          <w:rPr>
            <w:rFonts w:ascii="Cambria Math" w:hAnsi="Cambria Math"/>
          </w:rPr>
          <m:t>α⋅</m:t>
        </m:r>
        <m:sSup>
          <m:sSupPr>
            <m:ctrlPr>
              <w:rPr>
                <w:rFonts w:ascii="Cambria Math" w:hAnsi="Cambria Math"/>
                <w:i/>
              </w:rPr>
            </m:ctrlPr>
          </m:sSupPr>
          <m:e>
            <m:r>
              <w:rPr>
                <w:rFonts w:ascii="Cambria Math" w:hAnsi="Cambria Math"/>
              </w:rPr>
              <m:t>σ</m:t>
            </m:r>
          </m:e>
          <m:sup>
            <m:r>
              <w:rPr>
                <w:rFonts w:ascii="Cambria Math" w:hAnsi="Cambria Math"/>
              </w:rPr>
              <m:t>2</m:t>
            </m:r>
          </m:sup>
        </m:sSup>
        <m:f>
          <m:fPr>
            <m:ctrlPr>
              <w:rPr>
                <w:rFonts w:ascii="Cambria Math" w:hAnsi="Cambria Math"/>
                <w:i/>
              </w:rPr>
            </m:ctrlPr>
          </m:fPr>
          <m:num>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i</m:t>
                    </m:r>
                  </m:sub>
                </m:sSub>
              </m:e>
            </m:d>
          </m:num>
          <m:den>
            <m:r>
              <w:rPr>
                <w:rFonts w:ascii="Cambria Math" w:hAnsi="Cambria Math"/>
              </w:rPr>
              <m:t>N</m:t>
            </m:r>
          </m:den>
        </m:f>
      </m:oMath>
      <w:r>
        <w:t xml:space="preserve">, which approaches </w:t>
      </w:r>
      <m:oMath>
        <m:r>
          <w:rPr>
            <w:rFonts w:ascii="Cambria Math" w:hAnsi="Cambria Math"/>
          </w:rPr>
          <m:t>0</m:t>
        </m:r>
      </m:oMath>
      <w:r>
        <w:t xml:space="preserve"> as </w:t>
      </w:r>
      <m:oMath>
        <m:r>
          <w:rPr>
            <w:rFonts w:ascii="Cambria Math" w:hAnsi="Cambria Math"/>
          </w:rPr>
          <m:t>N→∞</m:t>
        </m:r>
      </m:oMath>
      <w:r>
        <w:t xml:space="preserve">, and the bid ask quotes </w:t>
      </w:r>
      <w:proofErr w:type="gramStart"/>
      <w:r>
        <w:t>become</w:t>
      </w:r>
      <w:proofErr w:type="gramEnd"/>
      <w:r>
        <w:t xml:space="preserve"> the reservation quotes.</w:t>
      </w:r>
    </w:p>
    <w:p w14:paraId="5C9C588C" w14:textId="3B5E30D9" w:rsidR="004F43A3" w:rsidRPr="00143C59" w:rsidRDefault="00234D83" w:rsidP="00031822">
      <w:pPr>
        <w:pStyle w:val="Heading3"/>
      </w:pPr>
      <w:r>
        <w:t>W</w:t>
      </w:r>
      <w:r w:rsidR="00834DE5">
        <w:t xml:space="preserve">ith </w:t>
      </w:r>
      <w:r w:rsidR="004F43A3" w:rsidRPr="00143C59">
        <w:t>counterparty risk</w:t>
      </w:r>
    </w:p>
    <w:p w14:paraId="74FDE32D" w14:textId="3C18494F" w:rsidR="004F43A3" w:rsidRDefault="004F43A3" w:rsidP="00031822">
      <w:pPr>
        <w:rPr>
          <w:rFonts w:eastAsiaTheme="minorEastAsia"/>
        </w:rPr>
      </w:pPr>
      <w:r>
        <w:lastRenderedPageBreak/>
        <w:t xml:space="preserve">Under the scenario where there is counterparty risk, if the counterparty defaults the value of the asset is impaired (the holder of the non-defaulting leg no longer receives expected cash flows). However, for the defaulter, the value of the asset is enhanced (as he no longer needs to make payments). I model this as an additional shock to the realized value of the asset: </w:t>
      </w:r>
      <m:oMath>
        <m:r>
          <w:rPr>
            <w:rFonts w:ascii="Cambria Math" w:hAnsi="Cambria Math"/>
          </w:rPr>
          <m:t>p=</m:t>
        </m:r>
        <m:d>
          <m:dPr>
            <m:ctrlPr>
              <w:rPr>
                <w:rFonts w:ascii="Cambria Math" w:hAnsi="Cambria Math"/>
                <w:i/>
              </w:rPr>
            </m:ctrlPr>
          </m:dPr>
          <m:e>
            <m:r>
              <w:rPr>
                <w:rFonts w:ascii="Cambria Math" w:hAnsi="Cambria Math"/>
              </w:rPr>
              <m:t>1+z+y</m:t>
            </m:r>
          </m:e>
        </m:d>
        <m:r>
          <w:rPr>
            <w:rFonts w:ascii="Cambria Math" w:eastAsiaTheme="minorEastAsia" w:hAnsi="Cambria Math"/>
          </w:rPr>
          <m:t>, y∼N</m:t>
        </m:r>
        <m:d>
          <m:dPr>
            <m:ctrlPr>
              <w:rPr>
                <w:rFonts w:ascii="Cambria Math" w:eastAsiaTheme="minorEastAsia" w:hAnsi="Cambria Math"/>
                <w:i/>
              </w:rPr>
            </m:ctrlPr>
          </m:dPr>
          <m:e>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e>
        </m:d>
      </m:oMath>
      <w:r>
        <w:rPr>
          <w:rFonts w:eastAsiaTheme="minorEastAsia"/>
        </w:rPr>
        <w:t>. The analysis remains essentially the same, but the optimal market order size, reservation prices, and optimal quotes now become:</w:t>
      </w:r>
    </w:p>
    <w:p w14:paraId="4B0119E7" w14:textId="77777777" w:rsidR="004F43A3" w:rsidRPr="005003FC" w:rsidRDefault="00000000" w:rsidP="00031822">
      <w:pPr>
        <w:ind w:firstLine="720"/>
        <w:rPr>
          <w:rFonts w:eastAsiaTheme="minorEastAsia"/>
        </w:rPr>
      </w:pPr>
      <m:oMathPara>
        <m:oMath>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sSup>
                <m:sSupPr>
                  <m:ctrlPr>
                    <w:rPr>
                      <w:rFonts w:ascii="Cambria Math" w:hAnsi="Cambria Math"/>
                      <w:i/>
                    </w:rPr>
                  </m:ctrlPr>
                </m:sSupPr>
                <m:e>
                  <m:d>
                    <m:dPr>
                      <m:ctrlPr>
                        <w:rPr>
                          <w:rFonts w:ascii="Cambria Math" w:hAnsi="Cambria Math"/>
                          <w:i/>
                        </w:rPr>
                      </m:ctrlPr>
                    </m:dPr>
                    <m:e>
                      <m:r>
                        <w:rPr>
                          <w:rFonts w:ascii="Cambria Math" w:hAnsi="Cambria Math"/>
                        </w:rPr>
                        <m:t>σ+δ</m:t>
                      </m:r>
                    </m:e>
                  </m:d>
                </m:e>
                <m:sup>
                  <m:r>
                    <w:rPr>
                      <w:rFonts w:ascii="Cambria Math" w:hAnsi="Cambria Math"/>
                    </w:rPr>
                    <m:t>2</m:t>
                  </m:r>
                </m:sup>
              </m:sSup>
            </m:den>
          </m:f>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-1</m:t>
              </m:r>
            </m:e>
          </m:d>
          <m:r>
            <w:rPr>
              <w:rFonts w:ascii="Cambria Math" w:eastAsiaTheme="minorEastAsia" w:hAnsi="Cambria Math"/>
            </w:rPr>
            <m:t>+L</m:t>
          </m:r>
          <m:r>
            <m:rPr>
              <m:sty m:val="p"/>
            </m:rPr>
            <w:rPr>
              <w:rFonts w:ascii="Cambria Math" w:eastAsiaTheme="minorEastAsia" w:hAnsi="Cambria Math"/>
            </w:rPr>
            <w:br/>
          </m:r>
        </m:oMath>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σ+δ</m:t>
                  </m:r>
                </m:e>
              </m:d>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r>
            <w:rPr>
              <w:rFonts w:ascii="Cambria Math" w:eastAsiaTheme="minorEastAsia" w:hAnsi="Cambria Math"/>
            </w:rPr>
            <m:t>-1</m:t>
          </m:r>
          <m:r>
            <m:rPr>
              <m:sty m:val="p"/>
            </m:rPr>
            <w:rPr>
              <w:rFonts w:ascii="Cambria Math" w:eastAsiaTheme="minorEastAsia" w:hAnsi="Cambria Math"/>
            </w:rPr>
            <w:br/>
          </m:r>
        </m:oMath>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(σ+δ)</m:t>
              </m:r>
            </m:e>
            <m:sup>
              <m:r>
                <w:rPr>
                  <w:rFonts w:ascii="Cambria Math" w:eastAsiaTheme="minorEastAsia" w:hAnsi="Cambria Math"/>
                </w:rPr>
                <m:t>2</m:t>
              </m:r>
            </m:sup>
          </m:sSup>
          <m:r>
            <w:rPr>
              <w:rFonts w:ascii="Cambria Math" w:eastAsiaTheme="minorEastAsia" w:hAnsi="Cambria Math"/>
            </w:rPr>
            <m:t>(L-2</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r>
            <w:rPr>
              <w:rFonts w:ascii="Cambria Math" w:eastAsiaTheme="minorEastAsia" w:hAnsi="Cambria Math"/>
            </w:rPr>
            <m:t>)-1</m:t>
          </m:r>
        </m:oMath>
      </m:oMathPara>
    </w:p>
    <w:p w14:paraId="044B839F" w14:textId="77777777" w:rsidR="004F43A3" w:rsidRPr="0082707C" w:rsidRDefault="00000000" w:rsidP="00031822">
      <w:pPr>
        <w:ind w:firstLine="720"/>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a</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a</m:t>
              </m:r>
            </m:sup>
          </m:sSubSup>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(σ+δ)</m:t>
              </m:r>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r>
            <m:rPr>
              <m:sty m:val="p"/>
            </m:rPr>
            <w:rPr>
              <w:rFonts w:ascii="Cambria Math" w:eastAsiaTheme="minorEastAsia" w:hAnsi="Cambria Math"/>
            </w:rPr>
            <w:br/>
          </m:r>
        </m:oMath>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b</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r,i</m:t>
              </m:r>
            </m:sub>
            <m:sup>
              <m:r>
                <w:rPr>
                  <w:rFonts w:ascii="Cambria Math" w:eastAsiaTheme="minorEastAsia" w:hAnsi="Cambria Math"/>
                </w:rPr>
                <m:t>b</m:t>
              </m:r>
            </m:sup>
          </m:sSubSup>
          <m:r>
            <w:rPr>
              <w:rFonts w:ascii="Cambria Math" w:eastAsiaTheme="minorEastAsia" w:hAnsi="Cambria Math"/>
            </w:rPr>
            <m:t>+α⋅</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σ+δ</m:t>
                  </m:r>
                </m:e>
              </m:d>
            </m:e>
            <m:sup>
              <m:r>
                <w:rPr>
                  <w:rFonts w:ascii="Cambria Math" w:eastAsiaTheme="minorEastAsia" w:hAnsi="Cambria Math"/>
                </w:rPr>
                <m:t>2</m:t>
              </m:r>
            </m:sup>
          </m:sSup>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m:t>
                      </m:r>
                    </m:sub>
                  </m:sSub>
                </m:e>
              </m:d>
            </m:num>
            <m:den>
              <m:r>
                <w:rPr>
                  <w:rFonts w:ascii="Cambria Math" w:eastAsiaTheme="minorEastAsia" w:hAnsi="Cambria Math"/>
                </w:rPr>
                <m:t>2</m:t>
              </m:r>
            </m:den>
          </m:f>
        </m:oMath>
      </m:oMathPara>
    </w:p>
    <w:p w14:paraId="2B9CFCD9" w14:textId="77777777" w:rsidR="004F43A3" w:rsidRDefault="004F43A3" w:rsidP="00AB12F9">
      <w:pPr>
        <w:pStyle w:val="Heading2"/>
      </w:pPr>
      <w:r>
        <w:t>Models of Price Volatility</w:t>
      </w:r>
    </w:p>
    <w:p w14:paraId="602ABF15" w14:textId="452EB32F" w:rsidR="004F43A3" w:rsidRPr="00CD17A1" w:rsidRDefault="004F43A3" w:rsidP="00031822">
      <w:pPr>
        <w:pStyle w:val="Heading3"/>
      </w:pPr>
      <w:r w:rsidRPr="00CD17A1">
        <w:t>Markets without Counterparty Risk</w:t>
      </w:r>
    </w:p>
    <w:p w14:paraId="62F179FE" w14:textId="32CDAE2F" w:rsidR="004F43A3" w:rsidRDefault="004F43A3" w:rsidP="00031822">
      <w:r>
        <w:t>I develop an original model of price volatility.</w:t>
      </w:r>
      <w:r w:rsidR="00234D83">
        <w:t xml:space="preserve"> </w:t>
      </w:r>
      <w:r>
        <w:t xml:space="preserve">There are two sets of agents: market-makers who post bid and ask prices, and liquidity traders who post market orders. Assume that order-flow (net market-buy or market-sell orders) in one period are </w:t>
      </w:r>
      <w:proofErr w:type="spellStart"/>
      <w:r>
        <w:t>i.i.d</w:t>
      </w:r>
      <w:proofErr w:type="spellEnd"/>
      <w:r>
        <w:t xml:space="preserve"> Normal with variance</w:t>
      </w:r>
      <w:r>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oMath>
      <w:r>
        <w:t>:</w:t>
      </w:r>
    </w:p>
    <w:p w14:paraId="64E1FEA8" w14:textId="714BFC18" w:rsidR="004F43A3" w:rsidRDefault="004F43A3" w:rsidP="00031822">
      <m:oMathPara>
        <m:oMath>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~N</m:t>
          </m:r>
          <m:d>
            <m:dPr>
              <m:ctrlPr>
                <w:rPr>
                  <w:rFonts w:ascii="Cambria Math" w:hAnsi="Cambria Math"/>
                  <w:i/>
                </w:rPr>
              </m:ctrlPr>
            </m:dPr>
            <m:e>
              <m:r>
                <w:rPr>
                  <w:rFonts w:ascii="Cambria Math" w:hAnsi="Cambria Math"/>
                </w:rPr>
                <m:t>0,</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e>
          </m:d>
          <m:r>
            <m:rPr>
              <m:sty m:val="p"/>
            </m:rPr>
            <w:rPr>
              <w:rFonts w:ascii="Cambria Math" w:eastAsiaTheme="minorEastAsia" w:hAnsi="Cambria Math"/>
            </w:rPr>
            <w:br/>
          </m:r>
        </m:oMath>
      </m:oMathPara>
      <w:r>
        <w:t>Market-makers adjust their next period price based on the current period’s observed order-flow:</w:t>
      </w:r>
    </w:p>
    <w:p w14:paraId="4CF356C3" w14:textId="77777777" w:rsidR="004F43A3" w:rsidRDefault="00000000" w:rsidP="00031822">
      <m:oMathPara>
        <m:oMath>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+α⋅O</m:t>
          </m:r>
          <m:sSub>
            <m:sSubPr>
              <m:ctrlPr>
                <w:rPr>
                  <w:rFonts w:ascii="Cambria Math" w:hAnsi="Cambria Math"/>
                  <w:i/>
                </w:rPr>
              </m:ctrlPr>
            </m:sSubPr>
            <m:e>
              <m:r>
                <w:rPr>
                  <w:rFonts w:ascii="Cambria Math" w:hAnsi="Cambria Math"/>
                </w:rPr>
                <m:t>F</m:t>
              </m:r>
            </m:e>
            <m:sub>
              <m:r>
                <w:rPr>
                  <w:rFonts w:ascii="Cambria Math" w:hAnsi="Cambria Math"/>
                </w:rPr>
                <m:t>t</m:t>
              </m:r>
            </m:sub>
          </m:sSub>
          <m:r>
            <m:rPr>
              <m:sty m:val="p"/>
            </m:rPr>
            <w:rPr>
              <w:rFonts w:ascii="Cambria Math" w:hAnsi="Cambria Math"/>
            </w:rPr>
            <w:br/>
          </m:r>
        </m:oMath>
      </m:oMathPara>
      <w:r w:rsidR="004F43A3">
        <w:t xml:space="preserve">Where: </w:t>
      </w:r>
      <m:oMath>
        <m:r>
          <w:rPr>
            <w:rFonts w:ascii="Cambria Math" w:hAnsi="Cambria Math"/>
          </w:rPr>
          <m:t>α</m:t>
        </m:r>
      </m:oMath>
      <w:r w:rsidR="004F43A3">
        <w:t xml:space="preserve"> is a parameter for the market-makers sensitivity to order-flow.</w:t>
      </w:r>
    </w:p>
    <w:p w14:paraId="2E54479D" w14:textId="77777777" w:rsidR="004F43A3" w:rsidRDefault="004F43A3" w:rsidP="00031822">
      <w:r>
        <w:t>The expression for the volatility in this case is:</w:t>
      </w:r>
    </w:p>
    <w:p w14:paraId="724C2487" w14:textId="14DDC951" w:rsidR="004F43A3" w:rsidRPr="00967EAF" w:rsidRDefault="004F43A3" w:rsidP="00031822">
      <w:pPr>
        <w:ind w:firstLine="720"/>
        <w:rPr>
          <w:rFonts w:eastAsiaTheme="minorEastAsia"/>
        </w:rPr>
      </w:pPr>
      <m:oMathPara>
        <m:oMath>
          <m:r>
            <w:rPr>
              <w:rFonts w:ascii="Cambria Math" w:hAnsi="Cambria Math"/>
            </w:rPr>
            <m:t>vol=</m:t>
          </m:r>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e>
          </m:rad>
          <m:r>
            <w:rPr>
              <w:rFonts w:ascii="Cambria Math" w:hAnsi="Cambria Math"/>
            </w:rPr>
            <m:t>=α⋅</m:t>
          </m:r>
          <m:sSub>
            <m:sSubPr>
              <m:ctrlPr>
                <w:rPr>
                  <w:rFonts w:ascii="Cambria Math" w:hAnsi="Cambria Math"/>
                  <w:i/>
                </w:rPr>
              </m:ctrlPr>
            </m:sSubPr>
            <m:e>
              <m:r>
                <w:rPr>
                  <w:rFonts w:ascii="Cambria Math" w:hAnsi="Cambria Math"/>
                </w:rPr>
                <m:t>σ</m:t>
              </m:r>
            </m:e>
            <m:sub>
              <m:r>
                <w:rPr>
                  <w:rFonts w:ascii="Cambria Math" w:hAnsi="Cambria Math"/>
                </w:rPr>
                <m:t>ϵ</m:t>
              </m:r>
            </m:sub>
          </m:sSub>
        </m:oMath>
      </m:oMathPara>
    </w:p>
    <w:p w14:paraId="6E224EB8" w14:textId="77777777" w:rsidR="004F43A3" w:rsidRPr="00CD17A1" w:rsidRDefault="004F43A3" w:rsidP="00031822">
      <w:pPr>
        <w:pStyle w:val="Heading3"/>
      </w:pPr>
      <w:r w:rsidRPr="00CD17A1">
        <w:t>Price Volatility in Markets with Counterparty Risk</w:t>
      </w:r>
    </w:p>
    <w:p w14:paraId="3532D677" w14:textId="7172347E" w:rsidR="004F43A3" w:rsidRDefault="004F43A3" w:rsidP="00031822">
      <w:r>
        <w:t xml:space="preserve">I modify the above model to include additional order-flow dynamics related to counterparty risk. Assume that when the current period’s order-flow is negative, there is additional sell-off of the risky asset in the next period due to (perceived) additional counterparty risk, and when the current </w:t>
      </w:r>
      <w:r>
        <w:lastRenderedPageBreak/>
        <w:t>period’s order flow is positive, there is additional buying of the risky asset in the next period due to (perceived) reduction in counterparty risk. The order-flow dynamics are now given by:</w:t>
      </w:r>
    </w:p>
    <w:p w14:paraId="7A5A632D" w14:textId="77777777" w:rsidR="004F43A3" w:rsidRPr="00333C73" w:rsidRDefault="004F43A3" w:rsidP="00031822">
      <w:pPr>
        <w:ind w:firstLine="720"/>
        <w:rPr>
          <w:rFonts w:eastAsiaTheme="minorEastAsia"/>
        </w:rPr>
      </w:pPr>
      <m:oMathPara>
        <m:oMath>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t+1</m:t>
              </m:r>
            </m:sub>
          </m:sSub>
          <m:r>
            <w:rPr>
              <w:rFonts w:ascii="Cambria Math" w:hAnsi="Cambria Math"/>
            </w:rPr>
            <m:t>=ρO</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t+1</m:t>
              </m:r>
            </m:sub>
          </m:sSub>
        </m:oMath>
      </m:oMathPara>
    </w:p>
    <w:p w14:paraId="789BAE47" w14:textId="77777777" w:rsidR="004F43A3" w:rsidRDefault="004F43A3" w:rsidP="00031822">
      <w:pPr>
        <w:ind w:firstLine="720"/>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t+1</m:t>
            </m:r>
          </m:sub>
        </m:sSub>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0,</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ϵ</m:t>
                </m:r>
              </m:sub>
              <m:sup>
                <m:r>
                  <w:rPr>
                    <w:rFonts w:ascii="Cambria Math" w:eastAsiaTheme="minorEastAsia" w:hAnsi="Cambria Math"/>
                  </w:rPr>
                  <m:t>2</m:t>
                </m:r>
              </m:sup>
            </m:sSubSup>
          </m:e>
        </m:d>
      </m:oMath>
    </w:p>
    <w:p w14:paraId="0779E071" w14:textId="77777777" w:rsidR="004F43A3" w:rsidRDefault="004F43A3" w:rsidP="00031822">
      <w:r>
        <w:t>The expression for the price chance becomes:</w:t>
      </w:r>
    </w:p>
    <w:p w14:paraId="69A41242" w14:textId="77777777" w:rsidR="004F43A3" w:rsidRPr="00E45497" w:rsidRDefault="004F43A3" w:rsidP="00031822">
      <w:pPr>
        <w:ind w:firstLine="720"/>
        <w:rPr>
          <w:rFonts w:eastAsiaTheme="minorEastAsia"/>
        </w:rPr>
      </w:pPr>
      <m:oMathPara>
        <m:oMath>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e>
          </m:d>
          <m:r>
            <w:rPr>
              <w:rFonts w:ascii="Cambria Math" w:hAnsi="Cambria Math"/>
            </w:rPr>
            <m:t>=αO</m:t>
          </m:r>
          <m:sSub>
            <m:sSubPr>
              <m:ctrlPr>
                <w:rPr>
                  <w:rFonts w:ascii="Cambria Math" w:hAnsi="Cambria Math"/>
                  <w:i/>
                </w:rPr>
              </m:ctrlPr>
            </m:sSubPr>
            <m:e>
              <m:r>
                <w:rPr>
                  <w:rFonts w:ascii="Cambria Math" w:hAnsi="Cambria Math"/>
                </w:rPr>
                <m:t>F</m:t>
              </m:r>
            </m:e>
            <m:sub>
              <m:r>
                <w:rPr>
                  <w:rFonts w:ascii="Cambria Math" w:hAnsi="Cambria Math"/>
                </w:rPr>
                <m:t>t+1</m:t>
              </m:r>
            </m:sub>
          </m:sSub>
          <m:r>
            <w:rPr>
              <w:rFonts w:ascii="Cambria Math" w:hAnsi="Cambria Math"/>
            </w:rPr>
            <m:t>=α⋅</m:t>
          </m:r>
          <m:d>
            <m:dPr>
              <m:ctrlPr>
                <w:rPr>
                  <w:rFonts w:ascii="Cambria Math" w:hAnsi="Cambria Math"/>
                  <w:i/>
                </w:rPr>
              </m:ctrlPr>
            </m:dPr>
            <m:e>
              <m:r>
                <w:rPr>
                  <w:rFonts w:ascii="Cambria Math" w:hAnsi="Cambria Math"/>
                </w:rPr>
                <m:t>ρ⋅O</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t+1</m:t>
                  </m:r>
                </m:sub>
              </m:sSub>
            </m:e>
          </m:d>
          <m:r>
            <m:rPr>
              <m:sty m:val="p"/>
            </m:rPr>
            <w:rPr>
              <w:rFonts w:ascii="Cambria Math" w:hAnsi="Cambria Math"/>
            </w:rPr>
            <w:br/>
          </m:r>
        </m:oMath>
        <m:oMath>
          <m:r>
            <w:rPr>
              <w:rFonts w:ascii="Cambria Math" w:hAnsi="Cambria Math"/>
            </w:rPr>
            <m:t>vol=</m:t>
          </m:r>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t</m:t>
                      </m:r>
                    </m:sub>
                  </m:sSub>
                </m:e>
              </m:d>
            </m:e>
          </m:ra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r>
                <w:rPr>
                  <w:rFonts w:ascii="Cambria Math" w:eastAsiaTheme="minorEastAsia" w:hAnsi="Cambria Math"/>
                </w:rPr>
                <m:t>Var</m:t>
              </m:r>
              <m:d>
                <m:dPr>
                  <m:ctrlPr>
                    <w:rPr>
                      <w:rFonts w:ascii="Cambria Math" w:eastAsiaTheme="minorEastAsia" w:hAnsi="Cambria Math"/>
                      <w:i/>
                    </w:rPr>
                  </m:ctrlPr>
                </m:dPr>
                <m:e>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r>
                <w:rPr>
                  <w:rFonts w:ascii="Cambria Math" w:eastAsiaTheme="minorEastAsia" w:hAnsi="Cambria Math"/>
                </w:rPr>
                <m:t>Var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t+1</m:t>
                      </m:r>
                    </m:sub>
                  </m:sSub>
                </m:e>
              </m:d>
            </m:e>
          </m:rad>
          <m:r>
            <m:rPr>
              <m:sty m:val="p"/>
            </m:rPr>
            <w:rPr>
              <w:rFonts w:ascii="Cambria Math" w:eastAsiaTheme="minorEastAsia" w:hAnsi="Cambria Math"/>
            </w:rPr>
            <w:br/>
          </m:r>
        </m:oMath>
        <m:oMath>
          <m:r>
            <w:rPr>
              <w:rFonts w:ascii="Cambria Math" w:hAnsi="Cambria Math"/>
            </w:rPr>
            <m:t>=Var</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t+1</m:t>
                  </m:r>
                </m:sub>
              </m:sSub>
            </m:e>
          </m:d>
          <m:r>
            <w:rPr>
              <w:rFonts w:ascii="Cambria Math" w:hAnsi="Cambria Math"/>
            </w:rPr>
            <m:t>=</m:t>
          </m:r>
          <m:sSup>
            <m:sSupPr>
              <m:ctrlPr>
                <w:rPr>
                  <w:rFonts w:ascii="Cambria Math" w:hAnsi="Cambria Math"/>
                  <w:i/>
                </w:rPr>
              </m:ctrlPr>
            </m:sSupPr>
            <m:e>
              <m:r>
                <w:rPr>
                  <w:rFonts w:ascii="Cambria Math" w:hAnsi="Cambria Math"/>
                </w:rPr>
                <m:t>ρ</m:t>
              </m:r>
            </m:e>
            <m:sup>
              <m:r>
                <w:rPr>
                  <w:rFonts w:ascii="Cambria Math" w:hAnsi="Cambria Math"/>
                </w:rPr>
                <m:t>2</m:t>
              </m:r>
            </m:sup>
          </m:sSup>
          <m:r>
            <w:rPr>
              <w:rFonts w:ascii="Cambria Math" w:hAnsi="Cambria Math"/>
            </w:rPr>
            <m:t>Var</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t+1</m:t>
                  </m:r>
                </m:sub>
              </m:sSub>
            </m:e>
          </m:d>
          <m:r>
            <m:rPr>
              <m:sty m:val="p"/>
            </m:rPr>
            <w:rPr>
              <w:rFonts w:ascii="Cambria Math" w:hAnsi="Cambria Math"/>
            </w:rPr>
            <w:br/>
          </m:r>
        </m:oMath>
        <m:oMath>
          <m:r>
            <w:rPr>
              <w:rFonts w:ascii="Cambria Math" w:hAnsi="Cambria Math"/>
            </w:rPr>
            <m:t>Var</m:t>
          </m:r>
          <m:d>
            <m:dPr>
              <m:ctrlPr>
                <w:rPr>
                  <w:rFonts w:ascii="Cambria Math" w:hAnsi="Cambria Math"/>
                  <w:i/>
                </w:rPr>
              </m:ctrlPr>
            </m:dPr>
            <m:e>
              <m:r>
                <w:rPr>
                  <w:rFonts w:ascii="Cambria Math" w:hAnsi="Cambria Math"/>
                </w:rPr>
                <m:t>O</m:t>
              </m:r>
              <m:sSub>
                <m:sSubPr>
                  <m:ctrlPr>
                    <w:rPr>
                      <w:rFonts w:ascii="Cambria Math" w:hAnsi="Cambria Math"/>
                      <w:i/>
                    </w:rPr>
                  </m:ctrlPr>
                </m:sSubPr>
                <m:e>
                  <m:r>
                    <w:rPr>
                      <w:rFonts w:ascii="Cambria Math" w:hAnsi="Cambria Math"/>
                    </w:rPr>
                    <m:t>F</m:t>
                  </m:r>
                </m:e>
                <m:sub>
                  <m:r>
                    <w:rPr>
                      <w:rFonts w:ascii="Cambria Math" w:hAnsi="Cambria Math"/>
                    </w:rPr>
                    <m:t>t</m:t>
                  </m:r>
                </m:sub>
              </m:sSub>
            </m:e>
          </m:d>
          <m:r>
            <w:rPr>
              <w:rFonts w:ascii="Cambria Math" w:hAnsi="Cambria Math"/>
            </w:rPr>
            <m:t>=</m:t>
          </m:r>
          <m:f>
            <m:fPr>
              <m:ctrlPr>
                <w:rPr>
                  <w:rFonts w:ascii="Cambria Math" w:eastAsiaTheme="minorEastAsia" w:hAnsi="Cambria Math"/>
                  <w:i/>
                </w:rPr>
              </m:ctrlPr>
            </m:fPr>
            <m:num>
              <m: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t+1</m:t>
                      </m:r>
                    </m:sub>
                  </m:sSub>
                </m:e>
              </m:d>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ρ</m:t>
                  </m:r>
                </m:e>
                <m:sup>
                  <m:r>
                    <w:rPr>
                      <w:rFonts w:ascii="Cambria Math" w:eastAsiaTheme="minorEastAsia" w:hAnsi="Cambria Math"/>
                    </w:rPr>
                    <m:t>2</m:t>
                  </m:r>
                </m:sup>
              </m:sSup>
            </m:den>
          </m:f>
          <m:r>
            <m:rPr>
              <m:sty m:val="p"/>
            </m:rPr>
            <w:rPr>
              <w:rFonts w:ascii="Cambria Math" w:eastAsiaTheme="minorEastAsia" w:hAnsi="Cambria Math"/>
            </w:rPr>
            <w:br/>
          </m:r>
        </m:oMath>
        <m:oMath>
          <m:r>
            <w:rPr>
              <w:rFonts w:ascii="Cambria Math" w:hAnsi="Cambria Math"/>
            </w:rPr>
            <m:t>vol=α</m:t>
          </m:r>
          <m:sSub>
            <m:sSubPr>
              <m:ctrlPr>
                <w:rPr>
                  <w:rFonts w:ascii="Cambria Math" w:hAnsi="Cambria Math"/>
                  <w:i/>
                </w:rPr>
              </m:ctrlPr>
            </m:sSubPr>
            <m:e>
              <m:r>
                <w:rPr>
                  <w:rFonts w:ascii="Cambria Math" w:hAnsi="Cambria Math"/>
                </w:rPr>
                <m:t>σ</m:t>
              </m:r>
            </m:e>
            <m:sub>
              <m:r>
                <w:rPr>
                  <w:rFonts w:ascii="Cambria Math" w:hAnsi="Cambria Math"/>
                </w:rPr>
                <m:t>ϵ</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1-ρ</m:t>
                  </m:r>
                </m:den>
              </m:f>
            </m:e>
          </m:rad>
        </m:oMath>
      </m:oMathPara>
    </w:p>
    <w:p w14:paraId="7382DA70" w14:textId="02DDD6AA" w:rsidR="004F43A3" w:rsidRDefault="004F43A3" w:rsidP="00031822">
      <w:r>
        <w:t xml:space="preserve">Where I have used the fact </w:t>
      </w:r>
      <m:oMath>
        <m:r>
          <w:rPr>
            <w:rFonts w:ascii="Cambria Math" w:hAnsi="Cambria Math"/>
          </w:rPr>
          <m:t>Var</m:t>
        </m:r>
        <m:d>
          <m:dPr>
            <m:ctrlPr>
              <w:rPr>
                <w:rFonts w:ascii="Cambria Math" w:hAnsi="Cambria Math"/>
              </w:rPr>
            </m:ctrlPr>
          </m:dPr>
          <m:e>
            <m:r>
              <w:rPr>
                <w:rFonts w:ascii="Cambria Math" w:hAnsi="Cambria Math"/>
              </w:rPr>
              <m:t>O</m:t>
            </m:r>
            <m:sSub>
              <m:sSubPr>
                <m:ctrlPr>
                  <w:rPr>
                    <w:rFonts w:ascii="Cambria Math" w:hAnsi="Cambria Math"/>
                  </w:rPr>
                </m:ctrlPr>
              </m:sSubPr>
              <m:e>
                <m:r>
                  <w:rPr>
                    <w:rFonts w:ascii="Cambria Math" w:hAnsi="Cambria Math"/>
                  </w:rPr>
                  <m:t>F</m:t>
                </m:r>
              </m:e>
              <m:sub>
                <m:r>
                  <w:rPr>
                    <w:rFonts w:ascii="Cambria Math" w:hAnsi="Cambria Math"/>
                  </w:rPr>
                  <m:t>t</m:t>
                </m:r>
                <m:r>
                  <m:rPr>
                    <m:sty m:val="p"/>
                  </m:rPr>
                  <w:rPr>
                    <w:rFonts w:ascii="Cambria Math" w:hAnsi="Cambria Math"/>
                  </w:rPr>
                  <m:t>+1</m:t>
                </m:r>
              </m:sub>
            </m:sSub>
          </m:e>
        </m:d>
        <m:r>
          <m:rPr>
            <m:sty m:val="p"/>
          </m:rPr>
          <w:rPr>
            <w:rFonts w:ascii="Cambria Math" w:hAnsi="Cambria Math"/>
          </w:rPr>
          <m:t>=</m:t>
        </m:r>
        <m:r>
          <w:rPr>
            <w:rFonts w:ascii="Cambria Math" w:hAnsi="Cambria Math"/>
          </w:rPr>
          <m:t>Var</m:t>
        </m:r>
        <m:d>
          <m:dPr>
            <m:ctrlPr>
              <w:rPr>
                <w:rFonts w:ascii="Cambria Math" w:hAnsi="Cambria Math"/>
              </w:rPr>
            </m:ctrlPr>
          </m:dPr>
          <m:e>
            <m:r>
              <w:rPr>
                <w:rFonts w:ascii="Cambria Math" w:hAnsi="Cambria Math"/>
              </w:rPr>
              <m:t>O</m:t>
            </m:r>
            <m:sSub>
              <m:sSubPr>
                <m:ctrlPr>
                  <w:rPr>
                    <w:rFonts w:ascii="Cambria Math" w:hAnsi="Cambria Math"/>
                  </w:rPr>
                </m:ctrlPr>
              </m:sSubPr>
              <m:e>
                <m:r>
                  <w:rPr>
                    <w:rFonts w:ascii="Cambria Math" w:hAnsi="Cambria Math"/>
                  </w:rPr>
                  <m:t>F</m:t>
                </m:r>
              </m:e>
              <m:sub>
                <m:r>
                  <w:rPr>
                    <w:rFonts w:ascii="Cambria Math" w:hAnsi="Cambria Math"/>
                  </w:rPr>
                  <m:t>t</m:t>
                </m:r>
              </m:sub>
            </m:sSub>
          </m:e>
        </m:d>
      </m:oMath>
      <w:r>
        <w:t xml:space="preserve"> on the 3</w:t>
      </w:r>
      <w:r w:rsidRPr="00E45497">
        <w:rPr>
          <w:vertAlign w:val="superscript"/>
        </w:rPr>
        <w:t>rd</w:t>
      </w:r>
      <w:r>
        <w:t xml:space="preserve"> line and that </w:t>
      </w:r>
      <m:oMath>
        <m:r>
          <w:rPr>
            <w:rFonts w:ascii="Cambria Math" w:hAnsi="Cambria Math"/>
          </w:rPr>
          <m:t>Var</m:t>
        </m:r>
        <m:d>
          <m:dPr>
            <m:ctrlPr>
              <w:rPr>
                <w:rFonts w:ascii="Cambria Math" w:hAnsi="Cambria Math"/>
              </w:rPr>
            </m:ctrlPr>
          </m:dPr>
          <m:e>
            <m:sSub>
              <m:sSubPr>
                <m:ctrlPr>
                  <w:rPr>
                    <w:rFonts w:ascii="Cambria Math" w:hAnsi="Cambria Math"/>
                  </w:rPr>
                </m:ctrlPr>
              </m:sSubPr>
              <m:e>
                <m:r>
                  <w:rPr>
                    <w:rFonts w:ascii="Cambria Math" w:hAnsi="Cambria Math"/>
                  </w:rPr>
                  <m:t>ϵ</m:t>
                </m:r>
              </m:e>
              <m:sub>
                <m:r>
                  <w:rPr>
                    <w:rFonts w:ascii="Cambria Math" w:hAnsi="Cambria Math"/>
                  </w:rPr>
                  <m:t>t</m:t>
                </m:r>
                <m:r>
                  <m:rPr>
                    <m:sty m:val="p"/>
                  </m:rPr>
                  <w:rPr>
                    <w:rFonts w:ascii="Cambria Math" w:hAnsi="Cambria Math"/>
                  </w:rPr>
                  <m:t>+1</m:t>
                </m:r>
              </m:sub>
            </m:sSub>
          </m:e>
        </m:d>
        <m:r>
          <m:rPr>
            <m:sty m:val="p"/>
          </m:rP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ϵ</m:t>
            </m:r>
          </m:sub>
          <m:sup>
            <m:r>
              <m:rPr>
                <m:sty m:val="p"/>
              </m:rPr>
              <w:rPr>
                <w:rFonts w:ascii="Cambria Math" w:hAnsi="Cambria Math"/>
              </w:rPr>
              <m:t>2</m:t>
            </m:r>
          </m:sup>
        </m:sSubSup>
      </m:oMath>
      <w:r>
        <w:t>.</w:t>
      </w:r>
    </w:p>
    <w:p w14:paraId="2B165F32" w14:textId="4482FFFF" w:rsidR="00012529" w:rsidRDefault="00A96B98" w:rsidP="009C0453">
      <w:pPr>
        <w:pStyle w:val="Heading1"/>
        <w:numPr>
          <w:ilvl w:val="0"/>
          <w:numId w:val="33"/>
        </w:numPr>
      </w:pPr>
      <w:bookmarkStart w:id="7" w:name="_Ref157719088"/>
      <w:r>
        <w:t>Identification Strategy</w:t>
      </w:r>
      <w:bookmarkEnd w:id="7"/>
    </w:p>
    <w:p w14:paraId="0FBD61B0" w14:textId="129E3EB6" w:rsidR="00CD17A1" w:rsidRPr="00CD17A1" w:rsidRDefault="00CD17A1" w:rsidP="00AB12F9">
      <w:pPr>
        <w:pStyle w:val="Heading2"/>
      </w:pPr>
      <w:r>
        <w:t>Pricing</w:t>
      </w:r>
    </w:p>
    <w:p w14:paraId="23FD4740" w14:textId="0A0494C8" w:rsidR="00EF140B" w:rsidRDefault="00EF140B" w:rsidP="00031822">
      <w:r>
        <w:t xml:space="preserve">I investigate the </w:t>
      </w:r>
      <w:r w:rsidR="006D47F1">
        <w:t xml:space="preserve">causal </w:t>
      </w:r>
      <w:r>
        <w:t xml:space="preserve">impact of the central clearing mandate on the interest rate swap prices by comparing the premium </w:t>
      </w:r>
      <w:r w:rsidR="006D47F1">
        <w:t xml:space="preserve">above the fair rate </w:t>
      </w:r>
      <w:r>
        <w:t>(</w:t>
      </w:r>
      <w:r w:rsidR="006D47F1">
        <w:t xml:space="preserve">that is, </w:t>
      </w:r>
      <w:r>
        <w:t xml:space="preserve">the difference between the </w:t>
      </w:r>
      <w:r w:rsidR="006D47F1">
        <w:t>“</w:t>
      </w:r>
      <w:r w:rsidR="008335A2">
        <w:t xml:space="preserve">riskless </w:t>
      </w:r>
      <w:r w:rsidR="006D47F1">
        <w:t xml:space="preserve">fixed </w:t>
      </w:r>
      <w:r w:rsidR="008335A2">
        <w:t>rate</w:t>
      </w:r>
      <w:r w:rsidR="006D47F1">
        <w:t>”</w:t>
      </w:r>
      <w:r w:rsidR="008335A2">
        <w:t xml:space="preserve"> described in </w:t>
      </w:r>
      <w:r w:rsidR="008335A2">
        <w:fldChar w:fldCharType="begin"/>
      </w:r>
      <w:r w:rsidR="008335A2">
        <w:instrText xml:space="preserve"> REF _Ref154527935 \r \h </w:instrText>
      </w:r>
      <w:r w:rsidR="008335A2">
        <w:fldChar w:fldCharType="separate"/>
      </w:r>
      <w:r w:rsidR="009373A0">
        <w:t>0</w:t>
      </w:r>
      <w:r w:rsidR="008335A2">
        <w:fldChar w:fldCharType="end"/>
      </w:r>
      <w:r w:rsidR="008335A2">
        <w:t xml:space="preserve"> </w:t>
      </w:r>
      <w:r>
        <w:t xml:space="preserve">and the </w:t>
      </w:r>
      <w:r w:rsidR="008B5A3B">
        <w:t xml:space="preserve">observed </w:t>
      </w:r>
      <w:r>
        <w:t>fixed rate</w:t>
      </w:r>
      <w:r w:rsidR="008B5A3B">
        <w:t xml:space="preserve"> on an actual contract</w:t>
      </w:r>
      <w:r>
        <w:t xml:space="preserve">) on USD denominated swaps versus </w:t>
      </w:r>
      <w:r w:rsidR="006D47F1">
        <w:t xml:space="preserve">the premium on </w:t>
      </w:r>
      <w:r>
        <w:t xml:space="preserve">CAD denominated swaps before and after the mandate. </w:t>
      </w:r>
      <w:r w:rsidR="00625ECF">
        <w:t>I</w:t>
      </w:r>
      <w:r>
        <w:t xml:space="preserve"> employ a difference-in-differences (DiD) identification strategy, </w:t>
      </w:r>
      <w:r w:rsidR="006D47F1">
        <w:t xml:space="preserve">with the CAD </w:t>
      </w:r>
      <w:r w:rsidR="00B75FC5">
        <w:t>denominated</w:t>
      </w:r>
      <w:r w:rsidR="006D47F1">
        <w:t xml:space="preserve"> swaps acting as the control group, </w:t>
      </w:r>
      <w:r>
        <w:t xml:space="preserve">which allows </w:t>
      </w:r>
      <w:r w:rsidR="00625ECF">
        <w:t>me</w:t>
      </w:r>
      <w:r>
        <w:t xml:space="preserve"> to </w:t>
      </w:r>
      <w:r w:rsidR="008B5A3B">
        <w:t xml:space="preserve">plausibly </w:t>
      </w:r>
      <w:r>
        <w:t>isolate the causal effect of the mandate on the swap premiums by exploiting the variation in the timing of the policy implementation.</w:t>
      </w:r>
    </w:p>
    <w:p w14:paraId="0D8AA38E" w14:textId="12EFC6D5" w:rsidR="00B75FC5" w:rsidRDefault="00625ECF" w:rsidP="004A2BFC">
      <w:r>
        <w:t xml:space="preserve">I </w:t>
      </w:r>
      <w:r w:rsidR="00EF140B">
        <w:t xml:space="preserve">begin by selecting a sample of interest rate swaps denominated in both USD and CAD from the </w:t>
      </w:r>
      <w:r>
        <w:t xml:space="preserve">ten trading days </w:t>
      </w:r>
      <w:r w:rsidR="00EF140B">
        <w:t xml:space="preserve">before and after the central clearing mandate was implemented. </w:t>
      </w:r>
      <w:r>
        <w:t>I</w:t>
      </w:r>
      <w:r w:rsidR="00EF140B">
        <w:t xml:space="preserve"> create two groups based on the currency of denomination: (1) the treatment group, consisting of USD denominated swaps that were affected by the central clearing mandate, and (2) the control group, consisting of CAD denominated swaps that were not subject to the mandate during the same period. By comparing the swap premiums between these two groups before and after the mandate, </w:t>
      </w:r>
      <w:r>
        <w:lastRenderedPageBreak/>
        <w:t>I</w:t>
      </w:r>
      <w:r w:rsidR="00EF140B">
        <w:t xml:space="preserve"> can </w:t>
      </w:r>
      <w:r w:rsidR="00A05111">
        <w:t xml:space="preserve">plausibly </w:t>
      </w:r>
      <w:r w:rsidR="00EF140B">
        <w:t xml:space="preserve">identify the causal effect of the policy on swap premiums </w:t>
      </w:r>
      <w:r w:rsidR="00E6619F">
        <w:t>if</w:t>
      </w:r>
      <w:r w:rsidR="00EF140B">
        <w:t xml:space="preserve"> both groups would have followed parallel trends in the absence of the </w:t>
      </w:r>
      <w:r w:rsidR="008335A2">
        <w:t>clearing mandate</w:t>
      </w:r>
      <w:r w:rsidR="00EF140B">
        <w:t>.</w:t>
      </w:r>
    </w:p>
    <w:p w14:paraId="78989354" w14:textId="064E1BEB" w:rsidR="00EF140B" w:rsidRDefault="00EF140B" w:rsidP="00031822">
      <w:r>
        <w:t xml:space="preserve">To estimate the causal effect of the central clearing mandate on swap premiums, </w:t>
      </w:r>
      <w:r w:rsidR="00625ECF">
        <w:t>I</w:t>
      </w:r>
      <w:r>
        <w:t xml:space="preserve"> employ a DiD regression model, which takes the following form:</w:t>
      </w:r>
    </w:p>
    <w:p w14:paraId="2A1970F5" w14:textId="3BF47D84" w:rsidR="00EF140B" w:rsidRPr="00625ECF" w:rsidRDefault="00000000" w:rsidP="00031822">
      <w:pPr>
        <w:rPr>
          <w:vertAlign w:val="subscript"/>
        </w:rPr>
      </w:pPr>
      <m:oMathPara>
        <m:oMath>
          <m:sSub>
            <m:sSubPr>
              <m:ctrlPr>
                <w:rPr>
                  <w:rFonts w:ascii="Cambria Math" w:hAnsi="Cambria Math"/>
                  <w:i/>
                  <w:vertAlign w:val="subscript"/>
                </w:rPr>
              </m:ctrlPr>
            </m:sSubPr>
            <m:e>
              <m:r>
                <w:rPr>
                  <w:rFonts w:ascii="Cambria Math" w:hAnsi="Cambria Math"/>
                  <w:vertAlign w:val="subscript"/>
                </w:rPr>
                <m:t>Y</m:t>
              </m:r>
            </m:e>
            <m:sub>
              <m:r>
                <w:rPr>
                  <w:rFonts w:ascii="Cambria Math" w:hAnsi="Cambria Math"/>
                  <w:vertAlign w:val="subscript"/>
                </w:rPr>
                <m:t>i,t</m:t>
              </m:r>
            </m:sub>
          </m:sSub>
          <m:r>
            <w:rPr>
              <w:rFonts w:ascii="Cambria Math" w:hAnsi="Cambria Math"/>
              <w:vertAlign w:val="subscript"/>
            </w:rPr>
            <m:t>=α+</m:t>
          </m:r>
          <m:sSub>
            <m:sSubPr>
              <m:ctrlPr>
                <w:rPr>
                  <w:rFonts w:ascii="Cambria Math" w:hAnsi="Cambria Math"/>
                  <w:i/>
                  <w:vertAlign w:val="subscript"/>
                </w:rPr>
              </m:ctrlPr>
            </m:sSubPr>
            <m:e>
              <m:r>
                <w:rPr>
                  <w:rFonts w:ascii="Cambria Math" w:hAnsi="Cambria Math"/>
                  <w:vertAlign w:val="subscript"/>
                </w:rPr>
                <m:t>β</m:t>
              </m:r>
            </m:e>
            <m:sub>
              <m:r>
                <w:rPr>
                  <w:rFonts w:ascii="Cambria Math" w:hAnsi="Cambria Math"/>
                  <w:vertAlign w:val="subscript"/>
                </w:rPr>
                <m:t>1</m:t>
              </m:r>
            </m:sub>
          </m:sSub>
          <m:r>
            <w:rPr>
              <w:rFonts w:ascii="Cambria Math" w:hAnsi="Cambria Math"/>
              <w:vertAlign w:val="subscript"/>
            </w:rPr>
            <m:t>*Treatmen</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β</m:t>
              </m:r>
            </m:e>
            <m:sub>
              <m:r>
                <w:rPr>
                  <w:rFonts w:ascii="Cambria Math" w:hAnsi="Cambria Math"/>
                  <w:vertAlign w:val="subscript"/>
                </w:rPr>
                <m:t>2</m:t>
              </m:r>
            </m:sub>
          </m:sSub>
          <m:r>
            <w:rPr>
              <w:rFonts w:ascii="Cambria Math" w:hAnsi="Cambria Math"/>
              <w:vertAlign w:val="subscript"/>
            </w:rPr>
            <m:t>Pos</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t</m:t>
              </m:r>
            </m:sub>
          </m:sSub>
          <m:r>
            <w:rPr>
              <w:rFonts w:ascii="Cambria Math" w:hAnsi="Cambria Math"/>
              <w:vertAlign w:val="subscript"/>
            </w:rPr>
            <m:t>+δ</m:t>
          </m:r>
          <m:d>
            <m:dPr>
              <m:ctrlPr>
                <w:rPr>
                  <w:rFonts w:ascii="Cambria Math" w:hAnsi="Cambria Math"/>
                  <w:i/>
                  <w:vertAlign w:val="subscript"/>
                </w:rPr>
              </m:ctrlPr>
            </m:dPr>
            <m:e>
              <m:r>
                <w:rPr>
                  <w:rFonts w:ascii="Cambria Math" w:hAnsi="Cambria Math"/>
                  <w:vertAlign w:val="subscript"/>
                </w:rPr>
                <m:t>Treatmen</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i</m:t>
                  </m:r>
                </m:sub>
              </m:sSub>
              <m:r>
                <w:rPr>
                  <w:rFonts w:ascii="Cambria Math" w:hAnsi="Cambria Math"/>
                  <w:vertAlign w:val="subscript"/>
                </w:rPr>
                <m:t>×Pos</m:t>
              </m:r>
              <m:sSub>
                <m:sSubPr>
                  <m:ctrlPr>
                    <w:rPr>
                      <w:rFonts w:ascii="Cambria Math" w:hAnsi="Cambria Math"/>
                      <w:i/>
                      <w:vertAlign w:val="subscript"/>
                    </w:rPr>
                  </m:ctrlPr>
                </m:sSubPr>
                <m:e>
                  <m:r>
                    <w:rPr>
                      <w:rFonts w:ascii="Cambria Math" w:hAnsi="Cambria Math"/>
                      <w:vertAlign w:val="subscript"/>
                    </w:rPr>
                    <m:t>t</m:t>
                  </m:r>
                </m:e>
                <m:sub>
                  <m:r>
                    <w:rPr>
                      <w:rFonts w:ascii="Cambria Math" w:hAnsi="Cambria Math"/>
                      <w:vertAlign w:val="subscript"/>
                    </w:rPr>
                    <m:t>t</m:t>
                  </m:r>
                </m:sub>
              </m:sSub>
            </m:e>
          </m:d>
          <m:r>
            <w:rPr>
              <w:rFonts w:ascii="Cambria Math" w:hAnsi="Cambria Math"/>
              <w:vertAlign w:val="subscript"/>
            </w:rPr>
            <m:t>+</m:t>
          </m:r>
          <m:sSubSup>
            <m:sSubSupPr>
              <m:ctrlPr>
                <w:rPr>
                  <w:rFonts w:ascii="Cambria Math" w:hAnsi="Cambria Math"/>
                  <w:i/>
                  <w:vertAlign w:val="subscript"/>
                </w:rPr>
              </m:ctrlPr>
            </m:sSubSupPr>
            <m:e>
              <m:r>
                <w:rPr>
                  <w:rFonts w:ascii="Cambria Math" w:hAnsi="Cambria Math"/>
                  <w:vertAlign w:val="subscript"/>
                </w:rPr>
                <m:t>X</m:t>
              </m:r>
            </m:e>
            <m:sub>
              <m:r>
                <w:rPr>
                  <w:rFonts w:ascii="Cambria Math" w:hAnsi="Cambria Math"/>
                  <w:vertAlign w:val="subscript"/>
                </w:rPr>
                <m:t>i,t</m:t>
              </m:r>
            </m:sub>
            <m:sup>
              <m:r>
                <w:rPr>
                  <w:rFonts w:ascii="Cambria Math" w:hAnsi="Cambria Math"/>
                  <w:vertAlign w:val="subscript"/>
                </w:rPr>
                <m:t>'</m:t>
              </m:r>
            </m:sup>
          </m:sSubSup>
          <m:r>
            <m:rPr>
              <m:sty m:val="p"/>
            </m:rPr>
            <w:rPr>
              <w:rFonts w:ascii="Cambria Math" w:hAnsi="Cambria Math"/>
              <w:vertAlign w:val="subscript"/>
            </w:rPr>
            <m:t>Γ</m:t>
          </m:r>
          <m:r>
            <w:rPr>
              <w:rFonts w:ascii="Cambria Math" w:hAnsi="Cambria Math"/>
              <w:vertAlign w:val="subscript"/>
            </w:rPr>
            <m:t>+</m:t>
          </m:r>
          <m:sSub>
            <m:sSubPr>
              <m:ctrlPr>
                <w:rPr>
                  <w:rFonts w:ascii="Cambria Math" w:hAnsi="Cambria Math"/>
                  <w:i/>
                  <w:vertAlign w:val="subscript"/>
                </w:rPr>
              </m:ctrlPr>
            </m:sSubPr>
            <m:e>
              <m:r>
                <w:rPr>
                  <w:rFonts w:ascii="Cambria Math" w:hAnsi="Cambria Math"/>
                  <w:vertAlign w:val="subscript"/>
                </w:rPr>
                <m:t>ϵ</m:t>
              </m:r>
            </m:e>
            <m:sub>
              <m:r>
                <w:rPr>
                  <w:rFonts w:ascii="Cambria Math" w:hAnsi="Cambria Math"/>
                  <w:vertAlign w:val="subscript"/>
                </w:rPr>
                <m:t>it</m:t>
              </m:r>
            </m:sub>
          </m:sSub>
        </m:oMath>
      </m:oMathPara>
    </w:p>
    <w:p w14:paraId="3AADCD5E" w14:textId="05C11BA5" w:rsidR="00EF140B" w:rsidRDefault="00EF140B" w:rsidP="00031822">
      <w:r>
        <w:t xml:space="preserve">Where </w:t>
      </w:r>
      <m:oMath>
        <m:sSub>
          <m:sSubPr>
            <m:ctrlPr>
              <w:rPr>
                <w:rFonts w:ascii="Cambria Math" w:hAnsi="Cambria Math"/>
                <w:i/>
              </w:rPr>
            </m:ctrlPr>
          </m:sSubPr>
          <m:e>
            <m:r>
              <w:rPr>
                <w:rFonts w:ascii="Cambria Math" w:hAnsi="Cambria Math"/>
              </w:rPr>
              <m:t>Y</m:t>
            </m:r>
          </m:e>
          <m:sub>
            <m:r>
              <w:rPr>
                <w:rFonts w:ascii="Cambria Math" w:hAnsi="Cambria Math"/>
              </w:rPr>
              <m:t>it</m:t>
            </m:r>
          </m:sub>
        </m:sSub>
      </m:oMath>
      <w:r>
        <w:t xml:space="preserve"> is the swap premium for swap </w:t>
      </w:r>
      <m:oMath>
        <m:r>
          <w:rPr>
            <w:rFonts w:ascii="Cambria Math" w:hAnsi="Cambria Math"/>
          </w:rPr>
          <m:t>i</m:t>
        </m:r>
      </m:oMath>
      <w:r>
        <w:t xml:space="preserve"> at time </w:t>
      </w:r>
      <m:oMath>
        <m:r>
          <w:rPr>
            <w:rFonts w:ascii="Cambria Math" w:hAnsi="Cambria Math"/>
          </w:rPr>
          <m:t>t</m:t>
        </m:r>
      </m:oMath>
      <w:r>
        <w:t xml:space="preserve">, </w:t>
      </w:r>
      <m:oMath>
        <m:r>
          <w:rPr>
            <w:rFonts w:ascii="Cambria Math" w:hAnsi="Cambria Math"/>
          </w:rPr>
          <m:t>Treatmen</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an indicator variable equal to 1 if the swap is denominated in USD (treatment group) and 0 otherwise (control group), </w:t>
      </w:r>
      <m:oMath>
        <m:r>
          <w:rPr>
            <w:rFonts w:ascii="Cambria Math" w:hAnsi="Cambria Math"/>
          </w:rPr>
          <m:t>Pos</m:t>
        </m:r>
        <m:sSub>
          <m:sSubPr>
            <m:ctrlPr>
              <w:rPr>
                <w:rFonts w:ascii="Cambria Math" w:hAnsi="Cambria Math"/>
                <w:i/>
              </w:rPr>
            </m:ctrlPr>
          </m:sSubPr>
          <m:e>
            <m:r>
              <w:rPr>
                <w:rFonts w:ascii="Cambria Math" w:hAnsi="Cambria Math"/>
              </w:rPr>
              <m:t>t</m:t>
            </m:r>
          </m:e>
          <m:sub>
            <m:r>
              <w:rPr>
                <w:rFonts w:ascii="Cambria Math" w:hAnsi="Cambria Math"/>
              </w:rPr>
              <m:t>t</m:t>
            </m:r>
          </m:sub>
        </m:sSub>
      </m:oMath>
      <w:r>
        <w:t xml:space="preserve"> is an indicator variable equal to 1 for the period after the mandate was implemented, and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t xml:space="preserve"> is a vector of control variables. The coefficient of interest is δ, which captures the causal effect of the central clearing mandate on swap premiums.</w:t>
      </w:r>
    </w:p>
    <w:p w14:paraId="48A28C1E" w14:textId="45575869" w:rsidR="00EF140B" w:rsidRDefault="00EF140B" w:rsidP="00031822">
      <w:r>
        <w:t xml:space="preserve">To ensure the validity of </w:t>
      </w:r>
      <w:r w:rsidR="0004387C">
        <w:t>the</w:t>
      </w:r>
      <w:r>
        <w:t xml:space="preserve"> identification strategy, </w:t>
      </w:r>
      <w:r w:rsidR="00625ECF">
        <w:t>I</w:t>
      </w:r>
      <w:r>
        <w:t xml:space="preserve"> first test the parallel trends assumption by visually inspecting the pre-treatment trends of swap premiums for both treatment and control groups and conducting placebo tests. Additionally, </w:t>
      </w:r>
      <w:r w:rsidR="00625ECF">
        <w:t>I</w:t>
      </w:r>
      <w:r>
        <w:t xml:space="preserve"> perform several robustness checks, such as using alternative control </w:t>
      </w:r>
      <w:r w:rsidR="009373A0">
        <w:t xml:space="preserve">and experimental </w:t>
      </w:r>
      <w:r>
        <w:t>groups, and</w:t>
      </w:r>
      <w:r w:rsidR="004A2BFC">
        <w:t xml:space="preserve"> placebo DiD</w:t>
      </w:r>
      <w:r w:rsidR="0032163A">
        <w:t xml:space="preserve"> (described in the results section)</w:t>
      </w:r>
      <w:r>
        <w:t>.</w:t>
      </w:r>
    </w:p>
    <w:p w14:paraId="034557F9" w14:textId="201ECB63" w:rsidR="00C61057" w:rsidRDefault="00C61057" w:rsidP="00C61057">
      <w:r>
        <w:t xml:space="preserve">I begin by examining whether the parallel trends assumption holds by visually inspecting the swap rate (fixed rate of an interest rate swaps contract) prior to each phase of the implementation of the clearing mandate. I examine the three most common tenors of USD and CAD interest rate swaps (2-year, 5-year and 10-year swaps). The data is reported by Bloomberg and is usually the average of 11 or more contracts traded around 11:00 AM Eastern Time of the trading day that meet contract specifications (described earlier). </w:t>
      </w:r>
      <w:r>
        <w:fldChar w:fldCharType="begin"/>
      </w:r>
      <w:r>
        <w:instrText xml:space="preserve"> REF _Ref160963634 \h </w:instrText>
      </w:r>
      <w:r>
        <w:fldChar w:fldCharType="separate"/>
      </w:r>
      <w:r w:rsidR="009373A0">
        <w:t xml:space="preserve">Figure </w:t>
      </w:r>
      <w:r w:rsidR="009373A0">
        <w:rPr>
          <w:noProof/>
        </w:rPr>
        <w:t>2</w:t>
      </w:r>
      <w:r>
        <w:fldChar w:fldCharType="end"/>
      </w:r>
      <w:r>
        <w:t xml:space="preserve"> shows these trends for the periods described above. The swaps rates show a parallel trend prior to the implementation of the clearing mandate, with the Canadian swaps rate being higher than the US rate. This is likely due to differences in key policy rates between the US (lower Fed Funds target rate 0%) and Canada (key policy rate target 1%). There was no change to these policy rates in 2013.</w:t>
      </w:r>
    </w:p>
    <w:p w14:paraId="05F862AB" w14:textId="75CDFCE9" w:rsidR="00CF1F18" w:rsidRDefault="00CF1F18" w:rsidP="00AB12F9">
      <w:pPr>
        <w:pStyle w:val="Heading2"/>
      </w:pPr>
      <w:r>
        <w:t>Liquidity</w:t>
      </w:r>
    </w:p>
    <w:p w14:paraId="7EF43508" w14:textId="2EF574D1" w:rsidR="000D2256" w:rsidRDefault="000D2256" w:rsidP="000D2256">
      <w:r>
        <w:t xml:space="preserve">To identify the central clearing mandate's impact on liquidity in the IR swaps market, I examine bid-ask spreads as indicators of market liquidity, comparing spreads for the CAD-denominated swaps vs. the USD-denominated swaps before and after the mandate. I collect end-of-day bid, ask, </w:t>
      </w:r>
      <w:r>
        <w:lastRenderedPageBreak/>
        <w:t>and mid-quote data for 2-year, 5-year, and 10-year interest rate swaps for the ten trading days immediately preceding and following the three regulatory phases: Phase 1 starting on March 11, Phase 2 on June 10, and Phase 3 on September 9. The liquidity metric I employ—the bid-ask spread as a percentage of the mid-quote—serves to standardize the measure of liquidity across various price levels and tenors of contracts. I employ a difference-in-difference (</w:t>
      </w:r>
      <w:proofErr w:type="spellStart"/>
      <w:r>
        <w:t>DiD</w:t>
      </w:r>
      <w:proofErr w:type="spellEnd"/>
      <w:r>
        <w:t>) approach to identify the mandate's effect on liquidity.</w:t>
      </w:r>
    </w:p>
    <w:p w14:paraId="2883F7A0" w14:textId="647646F0" w:rsidR="000D2256" w:rsidRDefault="006A6918" w:rsidP="005B2B99">
      <w:r>
        <w:t>L</w:t>
      </w:r>
      <w:r w:rsidR="000D2256">
        <w:t>iquidity of is modeled as follows:</w:t>
      </w:r>
    </w:p>
    <w:p w14:paraId="70D759B3" w14:textId="04168DD3" w:rsidR="000D2256" w:rsidRDefault="00000000" w:rsidP="005B2B99">
      <m:oMathPara>
        <m:oMath>
          <m:sSub>
            <m:sSubPr>
              <m:ctrlPr>
                <w:rPr>
                  <w:rFonts w:ascii="Cambria Math" w:hAnsi="Cambria Math"/>
                </w:rPr>
              </m:ctrlPr>
            </m:sSubPr>
            <m:e>
              <m:r>
                <m:rPr>
                  <m:sty m:val="p"/>
                </m:rPr>
                <w:rPr>
                  <w:rFonts w:ascii="Cambria Math" w:hAnsi="Cambria Math"/>
                </w:rPr>
                <m:t>Liquidity</m:t>
              </m:r>
            </m:e>
            <m:sub>
              <m:r>
                <m:rPr>
                  <m:sty m:val="p"/>
                </m:rP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Curr</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Period</m:t>
              </m:r>
            </m:e>
            <m:sub>
              <m:r>
                <m:rPr>
                  <m:sty m:val="p"/>
                </m:rPr>
                <w:rPr>
                  <w:rFonts w:ascii="Cambria Math" w:hAnsi="Cambria Math"/>
                </w:rPr>
                <m:t>t</m:t>
              </m:r>
            </m:sub>
          </m:sSub>
          <m:r>
            <m:rPr>
              <m:sty m:val="p"/>
            </m:rPr>
            <w:rPr>
              <w:rFonts w:ascii="Cambria Math" w:hAnsi="Cambria Math"/>
            </w:rPr>
            <m:t>+δ⋅</m:t>
          </m:r>
          <m:d>
            <m:dPr>
              <m:ctrlPr>
                <w:rPr>
                  <w:rFonts w:ascii="Cambria Math" w:hAnsi="Cambria Math"/>
                </w:rPr>
              </m:ctrlPr>
            </m:dPr>
            <m:e>
              <m:sSub>
                <m:sSubPr>
                  <m:ctrlPr>
                    <w:rPr>
                      <w:rFonts w:ascii="Cambria Math" w:hAnsi="Cambria Math"/>
                    </w:rPr>
                  </m:ctrlPr>
                </m:sSubPr>
                <m:e>
                  <m:r>
                    <m:rPr>
                      <m:sty m:val="p"/>
                    </m:rPr>
                    <w:rPr>
                      <w:rFonts w:ascii="Cambria Math" w:hAnsi="Cambria Math"/>
                    </w:rPr>
                    <m:t>Curr</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Period</m:t>
                  </m:r>
                </m:e>
                <m:sub>
                  <m:r>
                    <m:rPr>
                      <m:sty m:val="p"/>
                    </m:rPr>
                    <w:rPr>
                      <w:rFonts w:ascii="Cambria Math" w:hAnsi="Cambria Math"/>
                    </w:rPr>
                    <m:t>t</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ϵ</m:t>
              </m:r>
            </m:e>
            <m:sub>
              <m:r>
                <m:rPr>
                  <m:sty m:val="p"/>
                </m:rPr>
                <w:rPr>
                  <w:rFonts w:ascii="Cambria Math" w:hAnsi="Cambria Math"/>
                </w:rPr>
                <m:t>it</m:t>
              </m:r>
            </m:sub>
          </m:sSub>
        </m:oMath>
      </m:oMathPara>
    </w:p>
    <w:p w14:paraId="45B3191F" w14:textId="0BC663A5" w:rsidR="000D2256" w:rsidRDefault="005B2B99" w:rsidP="000D2256">
      <w:r>
        <w:t xml:space="preserve">where: </w:t>
      </w:r>
      <m:oMath>
        <m:r>
          <w:rPr>
            <w:rFonts w:ascii="Cambria Math" w:hAnsi="Cambria Math"/>
          </w:rPr>
          <m:t>Liquidit</m:t>
        </m:r>
        <m:sSub>
          <m:sSubPr>
            <m:ctrlPr>
              <w:rPr>
                <w:rFonts w:ascii="Cambria Math" w:hAnsi="Cambria Math"/>
                <w:i/>
              </w:rPr>
            </m:ctrlPr>
          </m:sSubPr>
          <m:e>
            <m:r>
              <w:rPr>
                <w:rFonts w:ascii="Cambria Math" w:hAnsi="Cambria Math"/>
              </w:rPr>
              <m:t>y</m:t>
            </m:r>
          </m:e>
          <m:sub>
            <m:r>
              <w:rPr>
                <w:rFonts w:ascii="Cambria Math" w:hAnsi="Cambria Math"/>
              </w:rPr>
              <m:t>i,t</m:t>
            </m:r>
          </m:sub>
        </m:sSub>
      </m:oMath>
      <w:r w:rsidR="000D2256">
        <w:t xml:space="preserve">​ is the liquidity measure for contract </w:t>
      </w:r>
      <m:oMath>
        <m:r>
          <w:rPr>
            <w:rFonts w:ascii="Cambria Math" w:hAnsi="Cambria Math"/>
          </w:rPr>
          <m:t>i</m:t>
        </m:r>
      </m:oMath>
      <w:r w:rsidR="000D2256">
        <w:t xml:space="preserve"> at time </w:t>
      </w:r>
      <m:oMath>
        <m:r>
          <w:rPr>
            <w:rFonts w:ascii="Cambria Math" w:hAnsi="Cambria Math"/>
          </w:rPr>
          <m:t>t</m:t>
        </m:r>
      </m:oMath>
      <w:r w:rsidR="000D2256">
        <w:t xml:space="preserve">, </w:t>
      </w:r>
      <m:oMath>
        <m:r>
          <w:rPr>
            <w:rFonts w:ascii="Cambria Math" w:hAnsi="Cambria Math"/>
          </w:rPr>
          <m:t>Cur</m:t>
        </m:r>
        <m:sSub>
          <m:sSubPr>
            <m:ctrlPr>
              <w:rPr>
                <w:rFonts w:ascii="Cambria Math" w:hAnsi="Cambria Math"/>
                <w:i/>
              </w:rPr>
            </m:ctrlPr>
          </m:sSubPr>
          <m:e>
            <m:r>
              <w:rPr>
                <w:rFonts w:ascii="Cambria Math" w:hAnsi="Cambria Math"/>
              </w:rPr>
              <m:t>r</m:t>
            </m:r>
          </m:e>
          <m:sub>
            <m:r>
              <w:rPr>
                <w:rFonts w:ascii="Cambria Math" w:hAnsi="Cambria Math"/>
              </w:rPr>
              <m:t>i</m:t>
            </m:r>
          </m:sub>
        </m:sSub>
      </m:oMath>
      <w:r w:rsidR="000D2256">
        <w:t xml:space="preserve">​ </w:t>
      </w:r>
      <w:r>
        <w:t>indicates</w:t>
      </w:r>
      <w:r w:rsidR="000D2256">
        <w:t xml:space="preserve"> if the contract is within the treatment group (if currency is USD), and </w:t>
      </w:r>
      <m:oMath>
        <m:r>
          <w:rPr>
            <w:rFonts w:ascii="Cambria Math" w:hAnsi="Cambria Math"/>
          </w:rPr>
          <m:t>Perio</m:t>
        </m:r>
        <m:sSub>
          <m:sSubPr>
            <m:ctrlPr>
              <w:rPr>
                <w:rFonts w:ascii="Cambria Math" w:hAnsi="Cambria Math"/>
                <w:i/>
              </w:rPr>
            </m:ctrlPr>
          </m:sSubPr>
          <m:e>
            <m:r>
              <w:rPr>
                <w:rFonts w:ascii="Cambria Math" w:hAnsi="Cambria Math"/>
              </w:rPr>
              <m:t>d</m:t>
            </m:r>
          </m:e>
          <m:sub>
            <m:r>
              <w:rPr>
                <w:rFonts w:ascii="Cambria Math" w:hAnsi="Cambria Math"/>
              </w:rPr>
              <m:t>t</m:t>
            </m:r>
          </m:sub>
        </m:sSub>
      </m:oMath>
      <w:r w:rsidR="000D2256">
        <w:t xml:space="preserve">​ </w:t>
      </w:r>
      <w:r>
        <w:t>indicates</w:t>
      </w:r>
      <w:r w:rsidR="000D2256">
        <w:t xml:space="preserve"> the post-regulation timeframe. The coefficient </w:t>
      </w:r>
      <m:oMath>
        <m:r>
          <w:rPr>
            <w:rFonts w:ascii="Cambria Math" w:hAnsi="Cambria Math"/>
          </w:rPr>
          <m:t>δ</m:t>
        </m:r>
      </m:oMath>
      <w:r w:rsidR="000D2256">
        <w:t xml:space="preserve"> is the parameter of interest, providing the estimated impact of the regulatory change on liquidity.</w:t>
      </w:r>
    </w:p>
    <w:p w14:paraId="1A3EAAFC" w14:textId="7D4FF191" w:rsidR="005B2B99" w:rsidRDefault="000D2256" w:rsidP="005B2B99">
      <w:r>
        <w:t>To ensure the credibility of my approach, I validate the parallel trends assumption by examining pre-treatment liquidity trends in both the treatment and control groups graphically.</w:t>
      </w:r>
      <w:r w:rsidR="005B2B99">
        <w:t xml:space="preserve"> </w:t>
      </w:r>
      <w:r>
        <w:t xml:space="preserve">I conduct various robustness checks, including altering the observation windows </w:t>
      </w:r>
      <w:r w:rsidR="005B2B99">
        <w:t xml:space="preserve">(applying the </w:t>
      </w:r>
      <w:proofErr w:type="spellStart"/>
      <w:r w:rsidR="005B2B99">
        <w:t>DiD</w:t>
      </w:r>
      <w:proofErr w:type="spellEnd"/>
      <w:r w:rsidR="005B2B99">
        <w:t xml:space="preserve"> methodology to periods when no regulatory change occurred) </w:t>
      </w:r>
      <w:r>
        <w:t>and employing alternative control groups.</w:t>
      </w:r>
    </w:p>
    <w:p w14:paraId="6BB52863" w14:textId="760D00C0" w:rsidR="005A5A35" w:rsidRDefault="005A5A35" w:rsidP="00AB12F9">
      <w:pPr>
        <w:pStyle w:val="Heading2"/>
      </w:pPr>
      <w:r>
        <w:t>Volatility</w:t>
      </w:r>
    </w:p>
    <w:p w14:paraId="5362A515" w14:textId="48EF44D1" w:rsidR="001234EE" w:rsidRDefault="00F05299" w:rsidP="001234EE">
      <w:r>
        <w:t>As is common practice in literature, I use the realized volatility as my measure of volatility.</w:t>
      </w:r>
      <w:r w:rsidR="00A04EBB">
        <w:t xml:space="preserve"> </w:t>
      </w:r>
      <w:r w:rsidR="003439E1">
        <w:t xml:space="preserve">Define the return between period </w:t>
      </w:r>
      <m:oMath>
        <m:r>
          <w:rPr>
            <w:rFonts w:ascii="Cambria Math" w:hAnsi="Cambria Math"/>
          </w:rPr>
          <m:t>[t-1, t]</m:t>
        </m:r>
      </m:oMath>
      <w:r w:rsidR="003439E1">
        <w:t xml:space="preserve"> as</w:t>
      </w:r>
      <w:r w:rsidR="00A04EBB">
        <w:t>:</w:t>
      </w:r>
    </w:p>
    <w:p w14:paraId="5A12F79D" w14:textId="4C0414F3" w:rsidR="00A04EBB" w:rsidRPr="00A04EBB" w:rsidRDefault="00000000" w:rsidP="001234EE">
      <m:oMathPara>
        <m:oMath>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num>
                    <m:den>
                      <m:sSub>
                        <m:sSubPr>
                          <m:ctrlPr>
                            <w:rPr>
                              <w:rFonts w:ascii="Cambria Math" w:hAnsi="Cambria Math"/>
                              <w:i/>
                            </w:rPr>
                          </m:ctrlPr>
                        </m:sSubPr>
                        <m:e>
                          <m:r>
                            <w:rPr>
                              <w:rFonts w:ascii="Cambria Math" w:hAnsi="Cambria Math"/>
                            </w:rPr>
                            <m:t>P</m:t>
                          </m:r>
                        </m:e>
                        <m:sub>
                          <m:r>
                            <w:rPr>
                              <w:rFonts w:ascii="Cambria Math" w:hAnsi="Cambria Math"/>
                            </w:rPr>
                            <m:t>t-1</m:t>
                          </m:r>
                        </m:sub>
                      </m:sSub>
                    </m:den>
                  </m:f>
                </m:e>
              </m:d>
            </m:e>
          </m:func>
        </m:oMath>
      </m:oMathPara>
    </w:p>
    <w:p w14:paraId="54C6E07C" w14:textId="59201941" w:rsidR="00A04EBB" w:rsidRDefault="00A04EBB" w:rsidP="001234EE">
      <w:r>
        <w:t xml:space="preserve">The </w:t>
      </w:r>
      <w:r w:rsidR="003439E1">
        <w:t>realized volatility of the return is then:</w:t>
      </w:r>
    </w:p>
    <w:p w14:paraId="4B50C211" w14:textId="5190F617" w:rsidR="003439E1" w:rsidRPr="003439E1" w:rsidRDefault="003439E1" w:rsidP="001234EE">
      <m:oMathPara>
        <m:oMath>
          <m:r>
            <w:rPr>
              <w:rFonts w:ascii="Cambria Math" w:hAnsi="Cambria Math"/>
            </w:rPr>
            <m:t>RV=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e>
              </m:d>
            </m:e>
            <m:sup>
              <m:r>
                <w:rPr>
                  <w:rFonts w:ascii="Cambria Math" w:hAnsi="Cambria Math"/>
                </w:rPr>
                <m:t>2</m:t>
              </m:r>
            </m:sup>
          </m:sSup>
        </m:oMath>
      </m:oMathPara>
    </w:p>
    <w:p w14:paraId="29989C0B" w14:textId="294C6FE2" w:rsidR="003439E1" w:rsidRDefault="003439E1" w:rsidP="001234EE">
      <w:r>
        <w:t>For each trading day, I select contracts with “whole number tenor years” between 1 and 10 years, as well as 15 and 30 year</w:t>
      </w:r>
      <w:r w:rsidR="00A669F6">
        <w:t>s</w:t>
      </w:r>
      <w:r>
        <w:t xml:space="preserve">. For Canadian contracts, these are the most </w:t>
      </w:r>
      <w:r w:rsidR="00A669F6">
        <w:t xml:space="preserve">liquid contracts (I exclude contracts that are “partial year”, such as 18-month [1.5Y] and 30-month contracts [2.5Y]). Since calculating volatility in each period requires several observations (it is essentially the standard deviation of returns), thinly traded Canadian contracts present a challenge in calculating the RV </w:t>
      </w:r>
      <w:r w:rsidR="00A669F6">
        <w:lastRenderedPageBreak/>
        <w:t>measure. However, the contracts selected represent 90% of the Canadian IRS market and there are enough observations on most days to calculate the RV measure.</w:t>
      </w:r>
    </w:p>
    <w:p w14:paraId="5EBC1127" w14:textId="406F9AED" w:rsidR="00A669F6" w:rsidRDefault="00A669F6" w:rsidP="001234EE">
      <w:r>
        <w:t xml:space="preserve">I group contracts by currency, </w:t>
      </w:r>
      <w:r w:rsidR="00FF16CD">
        <w:t>tenor,</w:t>
      </w:r>
      <w:r>
        <w:t xml:space="preserve"> and trading day (I exclude the Memorial Day and Labor Day holidays as too few contracts are traded</w:t>
      </w:r>
      <w:r w:rsidR="00FF16CD">
        <w:t xml:space="preserve"> on those days to calculate RV). Ideally, I would have 24 observations (one for each currency, for each tenor between 1 and 10 years, 15 years, and 30 years) for each trading day and 58 trading days. However, on some trading days, no Canadian contract of a particular tenor is traded, so the RV cannot be calculated for that day. I ultimately end up with 745 observations in my data set.</w:t>
      </w:r>
    </w:p>
    <w:p w14:paraId="4E267B12" w14:textId="0ABA692F" w:rsidR="00FF16CD" w:rsidRDefault="00FF16CD" w:rsidP="001234EE">
      <w:r>
        <w:t>Like liquidity and pricing calculations, I classify each observation as either in the control group (if currency is CAD) or treatment group (if currency is USD), and whether it is in the pre-treatment or post-treatment period. I then perform a difference-in-difference regression:</w:t>
      </w:r>
    </w:p>
    <w:p w14:paraId="0553F68F" w14:textId="6A655B8B" w:rsidR="00FF16CD" w:rsidRPr="00FF16CD" w:rsidRDefault="00FF16CD" w:rsidP="001234EE">
      <m:oMathPara>
        <m:oMath>
          <m:r>
            <w:rPr>
              <w:rFonts w:ascii="Cambria Math" w:hAnsi="Cambria Math"/>
            </w:rPr>
            <m:t>RV=</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Grp+</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Period+</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Grp*Period</m:t>
              </m:r>
            </m:e>
          </m:d>
          <m:r>
            <w:rPr>
              <w:rFonts w:ascii="Cambria Math" w:hAnsi="Cambria Math"/>
            </w:rPr>
            <m:t>+ϵ</m:t>
          </m:r>
        </m:oMath>
      </m:oMathPara>
    </w:p>
    <w:p w14:paraId="3CD475E6" w14:textId="4045CCA3" w:rsidR="00FF16CD" w:rsidRPr="00F05299" w:rsidRDefault="00FF16CD" w:rsidP="001234EE">
      <w:r>
        <w:t xml:space="preserve">Where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t xml:space="preserve"> (the interaction between group and pre/post-treatment period) is the parameter of interest.</w:t>
      </w:r>
    </w:p>
    <w:p w14:paraId="517154C7" w14:textId="4EC87616" w:rsidR="00A96B98" w:rsidRDefault="00A96B98" w:rsidP="009C0453">
      <w:pPr>
        <w:pStyle w:val="Heading1"/>
        <w:numPr>
          <w:ilvl w:val="0"/>
          <w:numId w:val="33"/>
        </w:numPr>
      </w:pPr>
      <w:bookmarkStart w:id="8" w:name="_Ref157719326"/>
      <w:r>
        <w:t>Data</w:t>
      </w:r>
      <w:bookmarkEnd w:id="8"/>
    </w:p>
    <w:p w14:paraId="02FB73A2" w14:textId="24C02753" w:rsidR="008A79F1" w:rsidRDefault="00935E65" w:rsidP="00031822">
      <w:r w:rsidRPr="00935E65">
        <w:t xml:space="preserve">The Commodity Futures Trading Commission's (CFTC) clearing mandate on IR swaps became effective on March 11, 2013. The regulation was implemented in three phases. Phase 1 mandated clearing for certain IR swaps involving swap dealers (SD), major swap participants (MSP), or active funds. Phase 2 extended the mandate to additional entities, </w:t>
      </w:r>
      <w:r w:rsidR="008C6991">
        <w:t xml:space="preserve">including commodity pool operators, banks and other financial institutions, </w:t>
      </w:r>
      <w:r w:rsidRPr="00935E65">
        <w:t>while Phase 3 covered all remaining entities</w:t>
      </w:r>
      <w:r w:rsidR="00544B00">
        <w:t xml:space="preserve"> (</w:t>
      </w:r>
      <w:r w:rsidRPr="00935E65">
        <w:t>unless exempted</w:t>
      </w:r>
      <w:r w:rsidR="00FD79B0">
        <w:t>, for example if the swap user is a non-financial entity that uses swaps to hedge commercial risk</w:t>
      </w:r>
      <w:r w:rsidR="00544B00">
        <w:t>)</w:t>
      </w:r>
      <w:r w:rsidRPr="00935E65">
        <w:t xml:space="preserve">. </w:t>
      </w:r>
      <w:r w:rsidR="008B5A3B">
        <w:t xml:space="preserve">The CFTC defined contract specifications for swaps that must be cleared. These specifications included the currency (USD, GBP, EUR, JPY), the contract tenor (28 days to 50 years for USD, GBP and EUR based contracts, 28 days to 30 years for JPY bases contracts), and the floating leg reference (LIBOR or EURIBOR). It also specified “negative” characteristics (that is, swaps having these characteristics do not need to be cleared) </w:t>
      </w:r>
      <w:r w:rsidR="00EF7BA6">
        <w:t xml:space="preserve">including no dual currencies, no conditional notional amount and no optionality. </w:t>
      </w:r>
      <w:r w:rsidRPr="00935E65">
        <w:t xml:space="preserve">The IR swaps covered by the mandate were the largest </w:t>
      </w:r>
      <w:r w:rsidR="004A2BFC">
        <w:t>categories</w:t>
      </w:r>
      <w:r w:rsidRPr="00935E65">
        <w:t xml:space="preserve"> by volume.</w:t>
      </w:r>
    </w:p>
    <w:p w14:paraId="4DD52F25" w14:textId="77777777" w:rsidR="00655B55" w:rsidRDefault="0004387C" w:rsidP="00655B55">
      <w:pPr>
        <w:rPr>
          <w:color w:val="000000" w:themeColor="text1"/>
        </w:rPr>
      </w:pPr>
      <w:r>
        <w:t xml:space="preserve">I </w:t>
      </w:r>
      <w:r w:rsidR="005356E2" w:rsidRPr="0004387C">
        <w:t xml:space="preserve">compare prices, price volatility, and </w:t>
      </w:r>
      <w:r>
        <w:t xml:space="preserve">liquidity </w:t>
      </w:r>
      <w:r w:rsidR="005356E2" w:rsidRPr="0004387C">
        <w:t xml:space="preserve">before </w:t>
      </w:r>
      <w:r>
        <w:t xml:space="preserve">in each of the three </w:t>
      </w:r>
      <w:r w:rsidR="00D024F1">
        <w:t>phases</w:t>
      </w:r>
      <w:r>
        <w:t xml:space="preserve">, comparing </w:t>
      </w:r>
      <w:r w:rsidR="005356E2" w:rsidRPr="0004387C">
        <w:t xml:space="preserve">USD and CAD denominated swaps – the largest regulated and unregulated markets, respectively. </w:t>
      </w:r>
      <w:r w:rsidR="005356E2" w:rsidRPr="0004387C">
        <w:lastRenderedPageBreak/>
        <w:t xml:space="preserve">To minimize the impact of interest rate policy and other macroeconomic variables, I analyze </w:t>
      </w:r>
      <w:r w:rsidR="009F7AFA">
        <w:t xml:space="preserve">a small </w:t>
      </w:r>
      <w:r w:rsidR="008C6991" w:rsidRPr="0004387C">
        <w:t>ten-day</w:t>
      </w:r>
      <w:r w:rsidR="009F7AFA">
        <w:t xml:space="preserve"> </w:t>
      </w:r>
      <w:r w:rsidR="005356E2" w:rsidRPr="0004387C">
        <w:t xml:space="preserve">trading </w:t>
      </w:r>
      <w:r w:rsidR="009F7AFA">
        <w:t xml:space="preserve">window </w:t>
      </w:r>
      <w:r w:rsidR="005356E2" w:rsidRPr="0004387C">
        <w:t>before (Feb 25 – Mar 8</w:t>
      </w:r>
      <w:r w:rsidR="00D024F1">
        <w:t>, May 27 – Jun 7</w:t>
      </w:r>
      <w:r w:rsidR="008C6991">
        <w:t xml:space="preserve"> </w:t>
      </w:r>
      <w:r w:rsidR="00D024F1">
        <w:t>and Aug 26 – Sep 6</w:t>
      </w:r>
      <w:r w:rsidR="005356E2" w:rsidRPr="0004387C">
        <w:t>) and after (Mar 11 – Mar 22</w:t>
      </w:r>
      <w:r w:rsidR="00D024F1">
        <w:t>, Jun 10 – Jun</w:t>
      </w:r>
      <w:r w:rsidR="008C6991">
        <w:t xml:space="preserve"> </w:t>
      </w:r>
      <w:r w:rsidR="00D024F1">
        <w:t>21</w:t>
      </w:r>
      <w:r w:rsidR="008C6991">
        <w:t xml:space="preserve"> </w:t>
      </w:r>
      <w:r w:rsidR="00D024F1">
        <w:t xml:space="preserve">and Sep 9 </w:t>
      </w:r>
      <w:r w:rsidR="008C6991">
        <w:t xml:space="preserve">– </w:t>
      </w:r>
      <w:r w:rsidR="00D024F1">
        <w:t>Sep 20</w:t>
      </w:r>
      <w:r w:rsidR="005356E2" w:rsidRPr="0004387C">
        <w:t>) the regulation's effective date</w:t>
      </w:r>
      <w:r w:rsidR="003B1DFC">
        <w:t xml:space="preserve"> in each phase</w:t>
      </w:r>
      <w:r w:rsidR="005356E2" w:rsidRPr="0004387C">
        <w:t>.</w:t>
      </w:r>
      <w:r w:rsidR="008335A2">
        <w:t xml:space="preserve"> The data are reported by the Depository Trust and Clearing Corporation Swaps Data Repository (DTCC SDR) and obtained using the SDR screen of the Bloomberg terminal.</w:t>
      </w:r>
      <w:r w:rsidR="008F2992">
        <w:t xml:space="preserve"> For the main part of the dissertation, I restrict my dataset to observations where the premium is within ±50 bps</w:t>
      </w:r>
      <w:r w:rsidR="0038485E">
        <w:t xml:space="preserve"> of the Bloomberg reported price of a swap with similar </w:t>
      </w:r>
      <w:r w:rsidR="009373A0">
        <w:t>characteristics</w:t>
      </w:r>
      <w:r w:rsidR="008F2992">
        <w:t xml:space="preserve">. Swaps that have a much higher premia are likely to have unseen characteristics (such as early termination clauses, conditional notional amounts, etc.) that are not observable in the dataset. In an appendix, I show that </w:t>
      </w:r>
      <w:r w:rsidR="005B5046">
        <w:t>my</w:t>
      </w:r>
      <w:r w:rsidR="008F2992">
        <w:t xml:space="preserve"> results are robust to including these outliers.</w:t>
      </w:r>
      <w:r w:rsidR="00655B55">
        <w:t>]</w:t>
      </w:r>
    </w:p>
    <w:p w14:paraId="038FAF33" w14:textId="041251B5" w:rsidR="008A79F1" w:rsidRPr="00655B55" w:rsidRDefault="00655B55" w:rsidP="00655B55">
      <w:pPr>
        <w:rPr>
          <w:color w:val="000000" w:themeColor="text1"/>
        </w:rPr>
      </w:pPr>
      <w:r>
        <w:rPr>
          <w:color w:val="000000" w:themeColor="text1"/>
        </w:rPr>
        <w:t>Note that before the regulation is passed, (voluntary) clearing in USD-denominated swaps is a little less than 61%. After phase 1 implementation, clearing increases to around 78%. After phase 2 implementation, clearing jumps to 89% and remains at that level after phase 3. The CAD-denominated market is much smaller (both in number of trades, and notional value). Clearing in Canadian IR swaps hovers around 48% prior to Phase 1. It reaches a high of around 56% in phase 2 and diminishes back to 48% after phase 3. Note that clearing in CAD denominated swaps is voluntary.</w:t>
      </w:r>
    </w:p>
    <w:p w14:paraId="71DAE32C" w14:textId="30D4B693" w:rsidR="009F7AFA" w:rsidRDefault="005356E2" w:rsidP="00031822">
      <w:r w:rsidRPr="0004387C">
        <w:t xml:space="preserve">To calculate the </w:t>
      </w:r>
      <w:r w:rsidR="008335A2">
        <w:t xml:space="preserve">theoretical counterparty-riskless </w:t>
      </w:r>
      <w:r w:rsidRPr="0004387C">
        <w:t xml:space="preserve">price of IR swaps, I forecast future floating rate payments and discount the payments using the </w:t>
      </w:r>
      <w:r w:rsidR="0004387C">
        <w:t>appropriate</w:t>
      </w:r>
      <w:r w:rsidRPr="0004387C">
        <w:t xml:space="preserve"> yield curve. I use a single curve method, the prevalent pricing method during the study perio</w:t>
      </w:r>
      <w:r w:rsidR="00FD79B0">
        <w:t>d (subsequently, the market switched to a dual-curve method of pricing swaps, where one curve was used to calculate future floating-rate payments, and another curve to discount those payments to their present value)</w:t>
      </w:r>
      <w:r w:rsidRPr="0004387C">
        <w:t xml:space="preserve">. For USD swaps, I obtain the USD semiannual fixed-floating rate curve </w:t>
      </w:r>
      <w:r w:rsidR="009F7AFA">
        <w:t xml:space="preserve">(curve </w:t>
      </w:r>
      <w:r w:rsidR="00FD79B0">
        <w:t>S23</w:t>
      </w:r>
      <w:r w:rsidR="009F7AFA">
        <w:t xml:space="preserve">) </w:t>
      </w:r>
      <w:r w:rsidRPr="0004387C">
        <w:t xml:space="preserve">for each trading day from Bloomberg. I </w:t>
      </w:r>
      <w:r w:rsidR="00180890">
        <w:t xml:space="preserve">similarly </w:t>
      </w:r>
      <w:r w:rsidRPr="0004387C">
        <w:t xml:space="preserve">obtain the Canadian yield curve </w:t>
      </w:r>
      <w:r w:rsidR="00180890">
        <w:t xml:space="preserve">(curve S__) </w:t>
      </w:r>
      <w:r w:rsidRPr="0004387C">
        <w:t>from the Bloomberg Terminal</w:t>
      </w:r>
      <w:r w:rsidR="00180890">
        <w:t xml:space="preserve"> for pricing Canadian swaps</w:t>
      </w:r>
      <w:r w:rsidRPr="0004387C">
        <w:t>.</w:t>
      </w:r>
    </w:p>
    <w:p w14:paraId="3A40E47D" w14:textId="0268F8E3" w:rsidR="008A79F1" w:rsidRPr="0004387C" w:rsidRDefault="005356E2" w:rsidP="00031822">
      <w:r w:rsidRPr="0004387C">
        <w:t xml:space="preserve">I use the QuantLib-python library to construct </w:t>
      </w:r>
      <w:r w:rsidR="009F7AFA">
        <w:t xml:space="preserve">the forward </w:t>
      </w:r>
      <w:r w:rsidRPr="0004387C">
        <w:t>curve.</w:t>
      </w:r>
      <w:r w:rsidR="009F7AFA">
        <w:t xml:space="preserve"> For the USD swaps curve, the short-end (3M or less) of the curve is anchored by LIBOR rates</w:t>
      </w:r>
      <w:r w:rsidR="00AA454A">
        <w:t>;</w:t>
      </w:r>
      <w:r w:rsidR="009F7AFA">
        <w:t xml:space="preserve"> </w:t>
      </w:r>
      <w:r w:rsidR="00286E2A">
        <w:t xml:space="preserve">the </w:t>
      </w:r>
      <w:r w:rsidR="009F7AFA">
        <w:t>medium</w:t>
      </w:r>
      <w:r w:rsidR="00286E2A">
        <w:t xml:space="preserve">-end </w:t>
      </w:r>
      <w:r w:rsidR="009F7AFA">
        <w:t>(6M – 18M)</w:t>
      </w:r>
      <w:r w:rsidR="00AA454A">
        <w:t xml:space="preserve"> of </w:t>
      </w:r>
      <w:r w:rsidR="00286E2A">
        <w:t xml:space="preserve">the curve is anchored by Eurodollar </w:t>
      </w:r>
      <w:r w:rsidR="00AA454A">
        <w:t>f</w:t>
      </w:r>
      <w:r w:rsidR="00286E2A">
        <w:t>utures</w:t>
      </w:r>
      <w:r w:rsidR="00AA454A">
        <w:t xml:space="preserve">; and the </w:t>
      </w:r>
      <w:r w:rsidR="00286E2A">
        <w:t xml:space="preserve">long-end (24M onward) </w:t>
      </w:r>
      <w:r w:rsidR="00AA454A">
        <w:t xml:space="preserve">of </w:t>
      </w:r>
      <w:r w:rsidR="00286E2A">
        <w:t xml:space="preserve">the curve is anchored by US swap rates. </w:t>
      </w:r>
      <w:r w:rsidR="00387B98">
        <w:fldChar w:fldCharType="begin"/>
      </w:r>
      <w:r w:rsidR="00387B98">
        <w:instrText xml:space="preserve"> REF _Ref160808244 \h </w:instrText>
      </w:r>
      <w:r w:rsidR="00387B98">
        <w:fldChar w:fldCharType="separate"/>
      </w:r>
      <w:r w:rsidR="009373A0">
        <w:t xml:space="preserve">Table </w:t>
      </w:r>
      <w:r w:rsidR="009373A0">
        <w:rPr>
          <w:noProof/>
        </w:rPr>
        <w:t>3</w:t>
      </w:r>
      <w:r w:rsidR="00387B98">
        <w:fldChar w:fldCharType="end"/>
      </w:r>
      <w:r w:rsidR="00387B98">
        <w:t xml:space="preserve"> shows sample data for CAD and USD yield curves on September 11, 2013. Note that futures rates need to have a convexity adjustment applied </w:t>
      </w:r>
      <w:r w:rsidR="00531890">
        <w:t xml:space="preserve">since futures payoffs differ from payoffs for other instruments. The values reported in the table have this </w:t>
      </w:r>
      <w:r w:rsidR="00531890">
        <w:lastRenderedPageBreak/>
        <w:t xml:space="preserve">convexity adjustment applied. </w:t>
      </w:r>
      <w:r w:rsidR="00286E2A">
        <w:t xml:space="preserve">Values between the </w:t>
      </w:r>
      <w:r w:rsidR="00531890">
        <w:t>“</w:t>
      </w:r>
      <w:r w:rsidR="00FD79B0">
        <w:t>pillars</w:t>
      </w:r>
      <w:r w:rsidR="00531890">
        <w:t>”</w:t>
      </w:r>
      <w:r w:rsidR="00FD79B0">
        <w:t xml:space="preserve"> </w:t>
      </w:r>
      <w:r w:rsidR="00531890">
        <w:t xml:space="preserve">(data points) </w:t>
      </w:r>
      <w:r w:rsidR="0038485E">
        <w:t xml:space="preserve">of the yield curve </w:t>
      </w:r>
      <w:r w:rsidR="00286E2A">
        <w:t>need to be interpolated. I use piecewise linear interpolation.</w:t>
      </w:r>
      <w:r w:rsidR="00531890">
        <w:t xml:space="preserve"> I verify the curve by pricing contracts using my constructed curve and comparing against calculations by Bloomberg SWPM function. I </w:t>
      </w:r>
      <w:r w:rsidR="0038485E">
        <w:t>can</w:t>
      </w:r>
      <w:r w:rsidR="00531890">
        <w:t xml:space="preserve"> match the output of SWPM up to 4 decimal places.</w:t>
      </w:r>
    </w:p>
    <w:p w14:paraId="668A5947" w14:textId="6F4663F7" w:rsidR="008A79F1" w:rsidRDefault="00FF211F" w:rsidP="00031822">
      <w:r w:rsidRPr="0004387C">
        <w:t xml:space="preserve">The </w:t>
      </w:r>
      <w:r w:rsidR="0038485E">
        <w:t xml:space="preserve">contract characteristics </w:t>
      </w:r>
      <w:r w:rsidR="000A7FDC">
        <w:t xml:space="preserve">reported in the DTCC SDR </w:t>
      </w:r>
      <w:r w:rsidRPr="0004387C">
        <w:t xml:space="preserve">include swap currency, trade date and time, effective date, maturity date, fixed rate, payment frequencies, clearing status, notional value, and capped notional indicator. For USD swaps, USD LIBOR is the floating rate index for 98% of swaps, while for CAD swaps, CDOR is the index for 99% of swaps. I exclude </w:t>
      </w:r>
      <w:r w:rsidR="0004387C">
        <w:t xml:space="preserve">certain </w:t>
      </w:r>
      <w:r w:rsidRPr="0004387C">
        <w:t>swaps that make a single payment at maturity (i.e., payment frequency is 1T</w:t>
      </w:r>
      <w:r w:rsidR="003B1DFC">
        <w:t>)</w:t>
      </w:r>
      <w:r w:rsidR="009373A0">
        <w:t xml:space="preserve">, which should actually be classified as </w:t>
      </w:r>
      <w:proofErr w:type="gramStart"/>
      <w:r w:rsidR="009373A0">
        <w:t>a</w:t>
      </w:r>
      <w:proofErr w:type="gramEnd"/>
      <w:r w:rsidR="009373A0">
        <w:t xml:space="preserve"> FRA</w:t>
      </w:r>
      <w:r w:rsidRPr="0004387C">
        <w:t xml:space="preserve">. </w:t>
      </w:r>
      <w:r w:rsidR="00CF1F18">
        <w:fldChar w:fldCharType="begin"/>
      </w:r>
      <w:r w:rsidR="00CF1F18">
        <w:instrText xml:space="preserve"> REF _Ref92820171 \h </w:instrText>
      </w:r>
      <w:r w:rsidR="00031822">
        <w:instrText xml:space="preserve"> \* MERGEFORMAT </w:instrText>
      </w:r>
      <w:r w:rsidR="00CF1F18">
        <w:fldChar w:fldCharType="separate"/>
      </w:r>
      <w:r w:rsidR="009373A0" w:rsidRPr="0004387C">
        <w:rPr>
          <w:color w:val="000000" w:themeColor="text1"/>
        </w:rPr>
        <w:t xml:space="preserve">Table </w:t>
      </w:r>
      <w:r w:rsidR="009373A0">
        <w:rPr>
          <w:noProof/>
          <w:color w:val="000000" w:themeColor="text1"/>
        </w:rPr>
        <w:t>4</w:t>
      </w:r>
      <w:r w:rsidR="00CF1F18">
        <w:fldChar w:fldCharType="end"/>
      </w:r>
      <w:r w:rsidR="00CF1F18">
        <w:t xml:space="preserve"> </w:t>
      </w:r>
      <w:r w:rsidRPr="0004387C">
        <w:t>shows the notional value and number of trades captured in my data</w:t>
      </w:r>
      <w:r w:rsidR="009373A0">
        <w:t>, by clearing status and reference floating leg rate</w:t>
      </w:r>
      <w:r w:rsidRPr="0004387C">
        <w:t>.</w:t>
      </w:r>
    </w:p>
    <w:p w14:paraId="418A783B" w14:textId="313BA737" w:rsidR="005F746F" w:rsidRDefault="005F746F" w:rsidP="00031822">
      <w:r>
        <w:fldChar w:fldCharType="begin"/>
      </w:r>
      <w:r>
        <w:instrText xml:space="preserve"> REF _Ref160966456 \h </w:instrText>
      </w:r>
      <w:r>
        <w:fldChar w:fldCharType="separate"/>
      </w:r>
      <w:r>
        <w:t xml:space="preserve">Table </w:t>
      </w:r>
      <w:r>
        <w:rPr>
          <w:noProof/>
        </w:rPr>
        <w:t>5</w:t>
      </w:r>
      <w:r>
        <w:fldChar w:fldCharType="end"/>
      </w:r>
      <w:r>
        <w:t xml:space="preserve"> shows summary statistics of the control variables used in the regression. Only contracts using LIBOR as the floating reference leg are included. Additionally, contracts that were “voluntarily cleared” prior to the mandate or “exempt from clearing” after the mandate </w:t>
      </w:r>
      <w:r w:rsidR="00E31AF6">
        <w:t xml:space="preserve">are </w:t>
      </w:r>
      <w:r>
        <w:t xml:space="preserve">excluded. The </w:t>
      </w:r>
      <w:r w:rsidR="00E31AF6">
        <w:t>leftmost column (unfiltered dataset) shows the statistics from this dataset. For the main part of the paper, I further filter this data to swaps whose fixed rate is within 50 bps of the Bloomberg calculated fixed rate. The rightmost column shows the statistics for this filtered dataset. Note that this filtering does not substantially alter the characteristics of the control variables. Wednesday was the most active trading day</w:t>
      </w:r>
      <w:r w:rsidR="00E41AF8">
        <w:t xml:space="preserve"> and Monday and Friday were the least active trading days. The dataset includes two trading holidays (Monday May 27, </w:t>
      </w:r>
      <w:proofErr w:type="gramStart"/>
      <w:r w:rsidR="00E41AF8">
        <w:t>2013</w:t>
      </w:r>
      <w:proofErr w:type="gramEnd"/>
      <w:r w:rsidR="00E41AF8">
        <w:t xml:space="preserve"> was Memorial Day and Monday, September 2, 2013 was Labor Day).</w:t>
      </w:r>
      <w:r w:rsidR="008D5647">
        <w:t xml:space="preserve"> I split the trading day into 4 sessions (corresponding roughly to the trading times on the NYSE) based </w:t>
      </w:r>
      <w:r w:rsidR="00655B55">
        <w:t>o</w:t>
      </w:r>
      <w:r w:rsidR="008D5647">
        <w:t>n the reported trade time: 8:00 AM – 10:59 AM (Morning), 11:00 – 1:59 PM (Mid-Day), 2:00 PM – 4:59 PM (Afternoon) and 5:00 PM – 7:59 AM (After Hours). The mid-day trading session was most active.</w:t>
      </w:r>
      <w:r w:rsidR="00E402EC">
        <w:t xml:space="preserve"> About 16% of contracts were traded during the </w:t>
      </w:r>
      <w:r w:rsidR="00655B55">
        <w:t>off-hour</w:t>
      </w:r>
      <w:r w:rsidR="00E402EC">
        <w:t xml:space="preserve"> trading session.</w:t>
      </w:r>
      <w:r w:rsidR="00655B55">
        <w:t xml:space="preserve"> The median notional value of the contract was $50M (with a range between $1,000 and $260M). The median tenor was about 7 years (with a range between 2 months and 43 years).</w:t>
      </w:r>
    </w:p>
    <w:p w14:paraId="124731DE" w14:textId="3F608438" w:rsidR="00AE2A76" w:rsidRDefault="00AA454A" w:rsidP="00640DD5">
      <w:r>
        <w:t xml:space="preserve">There are several limitations to the DTCC SDR dataset. Firstly, the dataset does not identify the counterparties. The identity of the counterparty (and more importantly, its </w:t>
      </w:r>
      <w:r w:rsidR="000A7FDC">
        <w:t>creditworthiness</w:t>
      </w:r>
      <w:r>
        <w:t>)</w:t>
      </w:r>
      <w:r w:rsidR="000A7FDC">
        <w:t xml:space="preserve"> </w:t>
      </w:r>
      <w:r w:rsidR="00841768">
        <w:t xml:space="preserve">could </w:t>
      </w:r>
      <w:r w:rsidR="000A7FDC">
        <w:t xml:space="preserve">have a significant impact on the </w:t>
      </w:r>
      <w:r w:rsidR="00841768">
        <w:t xml:space="preserve">swap price. In addition, the dataset does not mark which counterparty is the dealer (that is, whether the dealer is receiving the fixed rate or paying the fair </w:t>
      </w:r>
      <w:r w:rsidR="00841768">
        <w:lastRenderedPageBreak/>
        <w:t xml:space="preserve">rate). When receiving the fixed rate (and paying the floating leg), the dealer is likely to require a premium over the fair price. When paying the fixed rate, the dealer is likely to pay a discount below the fair price. I am also unable to observe </w:t>
      </w:r>
      <w:r w:rsidR="00506DDF">
        <w:t xml:space="preserve">non-standard contract characteristics such early termination previsions, collateral arrangements and day-count and settlement conventions. The standard-version of the interest rate swaps contract uses the International Swaps and Derivatives Association (ISDA) Master Agreement for specifying these contract terms. Deviations from the ISDA master agreement could affect the liquidity of the </w:t>
      </w:r>
    </w:p>
    <w:p w14:paraId="14E60527" w14:textId="77777777" w:rsidR="008F2992" w:rsidRDefault="008F2992" w:rsidP="008F2992"/>
    <w:p w14:paraId="451E3332" w14:textId="10C05760" w:rsidR="00180890" w:rsidRDefault="00180890" w:rsidP="00C66CC2">
      <w:pPr>
        <w:pStyle w:val="Caption"/>
        <w:jc w:val="center"/>
      </w:pPr>
      <w:bookmarkStart w:id="9" w:name="_Ref160808244"/>
      <w:r>
        <w:t xml:space="preserve">Table </w:t>
      </w:r>
      <w:r>
        <w:fldChar w:fldCharType="begin"/>
      </w:r>
      <w:r>
        <w:instrText xml:space="preserve"> SEQ Table \* ARABIC </w:instrText>
      </w:r>
      <w:r>
        <w:fldChar w:fldCharType="separate"/>
      </w:r>
      <w:r w:rsidR="008D236B">
        <w:rPr>
          <w:noProof/>
        </w:rPr>
        <w:t>3</w:t>
      </w:r>
      <w:r>
        <w:fldChar w:fldCharType="end"/>
      </w:r>
      <w:bookmarkEnd w:id="9"/>
      <w:r>
        <w:t>:</w:t>
      </w:r>
      <w:r>
        <w:rPr>
          <w:noProof/>
        </w:rPr>
        <w:t xml:space="preserve"> Sample data for USD and CAD yield curves</w:t>
      </w:r>
    </w:p>
    <w:p w14:paraId="13A00C6F" w14:textId="0CB73517" w:rsidR="00180890" w:rsidRDefault="00C66CC2" w:rsidP="00C66CC2">
      <w:pPr>
        <w:spacing w:line="240" w:lineRule="auto"/>
        <w:ind w:firstLine="0"/>
        <w:jc w:val="center"/>
      </w:pPr>
      <w:r>
        <w:t>[Table 3 about here]</w:t>
      </w:r>
    </w:p>
    <w:p w14:paraId="64B9E88B" w14:textId="0F42DC15" w:rsidR="00AE2A76" w:rsidRPr="0004387C" w:rsidRDefault="00AE2A76" w:rsidP="00640DD5">
      <w:pPr>
        <w:spacing w:line="240" w:lineRule="auto"/>
        <w:ind w:firstLine="0"/>
        <w:jc w:val="left"/>
      </w:pPr>
    </w:p>
    <w:p w14:paraId="648FED74" w14:textId="45AA268D" w:rsidR="008A79F1" w:rsidRDefault="008A79F1" w:rsidP="00031822">
      <w:pPr>
        <w:pStyle w:val="Caption"/>
        <w:keepNext/>
        <w:jc w:val="center"/>
        <w:rPr>
          <w:noProof/>
          <w:color w:val="000000" w:themeColor="text1"/>
        </w:rPr>
      </w:pPr>
      <w:bookmarkStart w:id="10" w:name="_Ref92820171"/>
      <w:r w:rsidRPr="0004387C">
        <w:rPr>
          <w:color w:val="000000" w:themeColor="text1"/>
        </w:rPr>
        <w:t xml:space="preserve">Table </w:t>
      </w:r>
      <w:r w:rsidRPr="0004387C">
        <w:rPr>
          <w:color w:val="000000" w:themeColor="text1"/>
        </w:rPr>
        <w:fldChar w:fldCharType="begin"/>
      </w:r>
      <w:r w:rsidRPr="0004387C">
        <w:rPr>
          <w:color w:val="000000" w:themeColor="text1"/>
        </w:rPr>
        <w:instrText xml:space="preserve"> SEQ Table \* ARABIC </w:instrText>
      </w:r>
      <w:r w:rsidRPr="0004387C">
        <w:rPr>
          <w:color w:val="000000" w:themeColor="text1"/>
        </w:rPr>
        <w:fldChar w:fldCharType="separate"/>
      </w:r>
      <w:r w:rsidR="008D236B">
        <w:rPr>
          <w:noProof/>
          <w:color w:val="000000" w:themeColor="text1"/>
        </w:rPr>
        <w:t>4</w:t>
      </w:r>
      <w:r w:rsidRPr="0004387C">
        <w:rPr>
          <w:noProof/>
          <w:color w:val="000000" w:themeColor="text1"/>
        </w:rPr>
        <w:fldChar w:fldCharType="end"/>
      </w:r>
      <w:bookmarkEnd w:id="10"/>
      <w:r w:rsidRPr="0004387C">
        <w:rPr>
          <w:noProof/>
          <w:color w:val="000000" w:themeColor="text1"/>
        </w:rPr>
        <w:t xml:space="preserve"> Number of trades and notional value of USD and CAD denominated </w:t>
      </w:r>
      <w:r w:rsidR="00CD1B3E" w:rsidRPr="0004387C">
        <w:rPr>
          <w:noProof/>
          <w:color w:val="000000" w:themeColor="text1"/>
        </w:rPr>
        <w:t>IR swaps</w:t>
      </w:r>
    </w:p>
    <w:p w14:paraId="3E325975" w14:textId="312C4558" w:rsidR="005F746F" w:rsidRDefault="00C66CC2" w:rsidP="00C66CC2">
      <w:pPr>
        <w:spacing w:line="240" w:lineRule="auto"/>
        <w:ind w:firstLine="0"/>
        <w:jc w:val="center"/>
        <w:rPr>
          <w:color w:val="000000" w:themeColor="text1"/>
        </w:rPr>
      </w:pPr>
      <w:r>
        <w:rPr>
          <w:color w:val="000000" w:themeColor="text1"/>
        </w:rPr>
        <w:t>[Table 4 about here]</w:t>
      </w:r>
    </w:p>
    <w:p w14:paraId="12E19475" w14:textId="77777777" w:rsidR="00C66CC2" w:rsidRDefault="00C66CC2">
      <w:pPr>
        <w:spacing w:line="240" w:lineRule="auto"/>
        <w:ind w:firstLine="0"/>
        <w:jc w:val="left"/>
        <w:rPr>
          <w:color w:val="000000" w:themeColor="text1"/>
        </w:rPr>
      </w:pPr>
    </w:p>
    <w:p w14:paraId="21783889" w14:textId="2A3D9160" w:rsidR="005F746F" w:rsidRDefault="005F746F" w:rsidP="00C66CC2">
      <w:pPr>
        <w:pStyle w:val="Caption"/>
        <w:keepNext/>
        <w:jc w:val="center"/>
      </w:pPr>
      <w:bookmarkStart w:id="11" w:name="_Ref160966456"/>
      <w:r>
        <w:t xml:space="preserve">Table </w:t>
      </w:r>
      <w:r>
        <w:fldChar w:fldCharType="begin"/>
      </w:r>
      <w:r>
        <w:instrText xml:space="preserve"> SEQ Table \* ARABIC </w:instrText>
      </w:r>
      <w:r>
        <w:fldChar w:fldCharType="separate"/>
      </w:r>
      <w:r w:rsidR="008D236B">
        <w:rPr>
          <w:noProof/>
        </w:rPr>
        <w:t>5</w:t>
      </w:r>
      <w:r>
        <w:fldChar w:fldCharType="end"/>
      </w:r>
      <w:bookmarkEnd w:id="11"/>
      <w:r>
        <w:rPr>
          <w:noProof/>
        </w:rPr>
        <w:t xml:space="preserve"> Selected characteristics of control variables</w:t>
      </w:r>
    </w:p>
    <w:p w14:paraId="2ABE662F" w14:textId="562E81A4" w:rsidR="008335A2" w:rsidRDefault="00C66CC2" w:rsidP="00C66CC2">
      <w:pPr>
        <w:ind w:firstLine="0"/>
        <w:jc w:val="center"/>
        <w:rPr>
          <w:color w:val="000000" w:themeColor="text1"/>
        </w:rPr>
      </w:pPr>
      <w:r>
        <w:rPr>
          <w:color w:val="000000" w:themeColor="text1"/>
        </w:rPr>
        <w:t>[Table 5 about here]</w:t>
      </w:r>
    </w:p>
    <w:p w14:paraId="0AF87036" w14:textId="4632ABA3" w:rsidR="00C66CC2" w:rsidRDefault="00C66CC2" w:rsidP="00C66CC2">
      <w:pPr>
        <w:spacing w:line="240" w:lineRule="auto"/>
        <w:ind w:firstLine="0"/>
        <w:jc w:val="left"/>
        <w:rPr>
          <w:color w:val="000000" w:themeColor="text1"/>
        </w:rPr>
      </w:pPr>
    </w:p>
    <w:p w14:paraId="3C87E4A9" w14:textId="2DF31044" w:rsidR="00A96B98" w:rsidRPr="0004387C" w:rsidRDefault="00A96B98" w:rsidP="009C0453">
      <w:pPr>
        <w:pStyle w:val="Heading1"/>
        <w:numPr>
          <w:ilvl w:val="0"/>
          <w:numId w:val="33"/>
        </w:numPr>
      </w:pPr>
      <w:bookmarkStart w:id="12" w:name="_Ref157719497"/>
      <w:r w:rsidRPr="00D024F1">
        <w:t>Results</w:t>
      </w:r>
      <w:bookmarkEnd w:id="12"/>
    </w:p>
    <w:p w14:paraId="6324256F" w14:textId="77777777" w:rsidR="002F3376" w:rsidRPr="0004387C" w:rsidRDefault="002F3376" w:rsidP="00AB12F9">
      <w:pPr>
        <w:pStyle w:val="Heading2"/>
      </w:pPr>
      <w:r w:rsidRPr="00D024F1">
        <w:t>Prices</w:t>
      </w:r>
    </w:p>
    <w:p w14:paraId="59B879B0" w14:textId="38504416" w:rsidR="00417DAA" w:rsidRDefault="00417DAA" w:rsidP="00031822">
      <w:r>
        <w:t xml:space="preserve">For analyzing the impact of </w:t>
      </w:r>
      <w:r w:rsidR="000F28B2">
        <w:t xml:space="preserve">the clearing mandate on prices, I compare the USD LIBOR denominated </w:t>
      </w:r>
      <w:r w:rsidR="0047037D">
        <w:t xml:space="preserve">contracts against the CDOR contracts. The USD LIBOR contracts are subject to the CFTC clearing mandate (note that USD denominated contracts using another floating rate index such as the Federal Funds Rate is not subject to the clearing mandate, but these contracts can be </w:t>
      </w:r>
      <w:r w:rsidR="00A03CBF">
        <w:t>voluntarily</w:t>
      </w:r>
      <w:r w:rsidR="0047037D">
        <w:t xml:space="preserve"> cleared.</w:t>
      </w:r>
    </w:p>
    <w:p w14:paraId="38017BBC" w14:textId="5920A8FA" w:rsidR="00A03CBF" w:rsidRDefault="00A03CBF" w:rsidP="00031822">
      <w:r>
        <w:fldChar w:fldCharType="begin"/>
      </w:r>
      <w:r>
        <w:instrText xml:space="preserve"> REF _Ref149507984 \h </w:instrText>
      </w:r>
      <w:r w:rsidR="00031822">
        <w:instrText xml:space="preserve"> \* MERGEFORMAT </w:instrText>
      </w:r>
      <w:r>
        <w:fldChar w:fldCharType="separate"/>
      </w:r>
      <w:r w:rsidR="00655B55">
        <w:t xml:space="preserve">Table </w:t>
      </w:r>
      <w:r w:rsidR="00655B55">
        <w:rPr>
          <w:noProof/>
        </w:rPr>
        <w:t>6</w:t>
      </w:r>
      <w:r>
        <w:fldChar w:fldCharType="end"/>
      </w:r>
      <w:r>
        <w:t xml:space="preserve"> lists the </w:t>
      </w:r>
      <w:proofErr w:type="spellStart"/>
      <w:r>
        <w:t>DiD</w:t>
      </w:r>
      <w:proofErr w:type="spellEnd"/>
      <w:r>
        <w:t xml:space="preserve"> </w:t>
      </w:r>
      <w:r w:rsidR="007C0BF5">
        <w:t xml:space="preserve">results </w:t>
      </w:r>
      <w:r>
        <w:t xml:space="preserve">for </w:t>
      </w:r>
      <w:r w:rsidR="00E106E8">
        <w:t>the swap premium</w:t>
      </w:r>
      <w:r>
        <w:t>.</w:t>
      </w:r>
      <w:r w:rsidR="007C0BF5">
        <w:t xml:space="preserve"> Column 1 shows </w:t>
      </w:r>
      <w:r w:rsidR="00E106E8">
        <w:t xml:space="preserve">a </w:t>
      </w:r>
      <w:r w:rsidR="007C0BF5">
        <w:t xml:space="preserve">basic </w:t>
      </w:r>
      <w:r w:rsidR="00E106E8">
        <w:t xml:space="preserve">model </w:t>
      </w:r>
      <w:r w:rsidR="007C0BF5">
        <w:t>without any controls</w:t>
      </w:r>
      <w:r w:rsidR="00E106E8">
        <w:t xml:space="preserve"> for contract characteristics</w:t>
      </w:r>
      <w:r w:rsidR="007C0BF5">
        <w:t>. The clearing mandate causes a ~1</w:t>
      </w:r>
      <w:r w:rsidR="00E106E8">
        <w:t>4</w:t>
      </w:r>
      <w:r w:rsidR="007C0BF5">
        <w:t xml:space="preserve"> bps rise in premia. As expected, reducing the riskiness of the contract increases its price. Column 2 shows the effects additional controls, such as the </w:t>
      </w:r>
      <w:r w:rsidR="00E106E8">
        <w:t xml:space="preserve">(log) </w:t>
      </w:r>
      <w:r w:rsidR="007C0BF5">
        <w:t>notional value of the contrac</w:t>
      </w:r>
      <w:r w:rsidR="004050F2">
        <w:t xml:space="preserve">t, day and period of trading and whether the notional value was “capped” (i.e. the exact value was not reported to the trade repo). </w:t>
      </w:r>
      <w:r w:rsidR="00E106E8">
        <w:t>In this model, premia rise by ~ 1</w:t>
      </w:r>
      <w:r w:rsidR="00655B55">
        <w:t>3</w:t>
      </w:r>
      <w:r w:rsidR="00E106E8">
        <w:t xml:space="preserve"> bps. Thus</w:t>
      </w:r>
      <w:r w:rsidR="00D23019">
        <w:t>,</w:t>
      </w:r>
      <w:r w:rsidR="00E106E8">
        <w:t xml:space="preserve"> t</w:t>
      </w:r>
      <w:r w:rsidR="004050F2">
        <w:t>he results are robust to such controls.</w:t>
      </w:r>
    </w:p>
    <w:p w14:paraId="55704DC6" w14:textId="6DFF7964" w:rsidR="00FE7E8B" w:rsidRDefault="00531890" w:rsidP="00FE7E8B">
      <w:r>
        <w:lastRenderedPageBreak/>
        <w:t xml:space="preserve">Using Wednesday as the reference level, I note that there is a 1-3 bps increase in the premium </w:t>
      </w:r>
      <w:r w:rsidR="00537BC1">
        <w:t>depending on the trading day.</w:t>
      </w:r>
      <w:r w:rsidR="00FE7E8B">
        <w:t xml:space="preserve"> There is also a 1.0-1.3 bps decrease in the premium for trading in morning, afternoon or off hours trading sessions (as compared to mid-day). Note that both results contrast with assumptions of “</w:t>
      </w:r>
      <w:r w:rsidR="00655B55">
        <w:t>efficient</w:t>
      </w:r>
      <w:r w:rsidR="00FE7E8B">
        <w:t xml:space="preserve"> markets”, where there should be no arbitrage opportunities by trading during special days or times. A </w:t>
      </w:r>
      <w:r w:rsidR="00E051B0">
        <w:t>one-year</w:t>
      </w:r>
      <w:r w:rsidR="00FE7E8B">
        <w:t xml:space="preserve"> increase in the tenor is associated with a 0.03 bps increase in the premium.</w:t>
      </w:r>
      <w:r w:rsidR="00E051B0">
        <w:t xml:space="preserve"> A one percent increase in the notional value is associated with a 0.77 bps increase in the premium.</w:t>
      </w:r>
      <w:r w:rsidR="00655B55">
        <w:t xml:space="preserve"> Again, these </w:t>
      </w:r>
      <w:r w:rsidR="00B30913">
        <w:t xml:space="preserve">result </w:t>
      </w:r>
      <w:r w:rsidR="00655B55">
        <w:t xml:space="preserve">contrast with expectations from “efficient market” assumptions because arbitrage opportunities exist (for example, a dealer can make a riskless profit by agreeing to receive a fixed rate on a higher-priced a “large” contract and </w:t>
      </w:r>
      <w:r w:rsidR="00B30913">
        <w:t xml:space="preserve">agreeing to pay the fixed-rate for </w:t>
      </w:r>
      <w:r w:rsidR="00655B55">
        <w:t xml:space="preserve">two </w:t>
      </w:r>
      <w:r w:rsidR="00B30913">
        <w:t>lower-priced “</w:t>
      </w:r>
      <w:r w:rsidR="00655B55">
        <w:t>small</w:t>
      </w:r>
      <w:r w:rsidR="00B30913">
        <w:t xml:space="preserve">” </w:t>
      </w:r>
      <w:r w:rsidR="00655B55">
        <w:t>contracts</w:t>
      </w:r>
      <w:r w:rsidR="00B30913">
        <w:t>). However, these differences could be related to liquidity or counterparty risk, or other contract characteristics of larger and longer swaps, which is not observable in our data</w:t>
      </w:r>
      <w:r w:rsidR="00640DD5">
        <w:t xml:space="preserve">. Although statistically significant, the magnitude of the effects </w:t>
      </w:r>
      <w:proofErr w:type="gramStart"/>
      <w:r w:rsidR="00640DD5">
        <w:t>are</w:t>
      </w:r>
      <w:proofErr w:type="gramEnd"/>
      <w:r w:rsidR="00640DD5">
        <w:t xml:space="preserve"> small, ranging from 0.03 to 3 bps.</w:t>
      </w:r>
    </w:p>
    <w:p w14:paraId="1F049E33" w14:textId="5592BF4D" w:rsidR="007C0BF5" w:rsidRDefault="004050F2" w:rsidP="00031822">
      <w:r>
        <w:fldChar w:fldCharType="begin"/>
      </w:r>
      <w:r>
        <w:instrText xml:space="preserve"> REF _Ref149509644 \h </w:instrText>
      </w:r>
      <w:r w:rsidR="00031822">
        <w:instrText xml:space="preserve"> \* MERGEFORMAT </w:instrText>
      </w:r>
      <w:r>
        <w:fldChar w:fldCharType="separate"/>
      </w:r>
      <w:r w:rsidR="00B30913">
        <w:t xml:space="preserve">Table </w:t>
      </w:r>
      <w:r w:rsidR="00B30913">
        <w:rPr>
          <w:noProof/>
        </w:rPr>
        <w:t>7</w:t>
      </w:r>
      <w:r>
        <w:fldChar w:fldCharType="end"/>
      </w:r>
      <w:r>
        <w:t xml:space="preserve"> shows the result of running the simple model on each phase of the data separately. In phase 1, there is no effect of the clearing mandate on the premium. </w:t>
      </w:r>
      <w:r w:rsidR="00640DD5">
        <w:t xml:space="preserve">As noted previously, </w:t>
      </w:r>
      <w:r w:rsidR="00042905">
        <w:t xml:space="preserve">in </w:t>
      </w:r>
      <w:r w:rsidR="00640DD5">
        <w:t>phase 1</w:t>
      </w:r>
      <w:r w:rsidR="00042905">
        <w:t>, the clearing mandate</w:t>
      </w:r>
      <w:r w:rsidR="00640DD5">
        <w:t xml:space="preserve"> only applied to a limited set of market participants (dealers, major swaps participants and active funds). Although the volume of contracts that were cleared increased after the </w:t>
      </w:r>
      <w:r w:rsidR="00042905">
        <w:t>phase 1</w:t>
      </w:r>
      <w:r w:rsidR="00640DD5">
        <w:t xml:space="preserve">, perceptions of </w:t>
      </w:r>
      <w:r w:rsidR="00042905">
        <w:t>counterparty risk apparently did not, likely due to the limited number of participants who were affected. In phase 2 and phase 3, a larger set of market participants fell under the mandate, and the premium increased, as would be expected if clearing diminished counterparty risk.</w:t>
      </w:r>
    </w:p>
    <w:p w14:paraId="2BED27C1" w14:textId="04CE233E" w:rsidR="008D236B" w:rsidRDefault="008D236B" w:rsidP="00042905">
      <w:r>
        <w:fldChar w:fldCharType="begin"/>
      </w:r>
      <w:r>
        <w:instrText xml:space="preserve"> REF _Ref161098891 \h </w:instrText>
      </w:r>
      <w:r>
        <w:fldChar w:fldCharType="separate"/>
      </w:r>
      <w:r>
        <w:t xml:space="preserve">Table </w:t>
      </w:r>
      <w:r>
        <w:rPr>
          <w:noProof/>
        </w:rPr>
        <w:t>8</w:t>
      </w:r>
      <w:r>
        <w:fldChar w:fldCharType="end"/>
      </w:r>
      <w:r>
        <w:t xml:space="preserve"> shows </w:t>
      </w:r>
      <w:r w:rsidR="00B36827">
        <w:t>the results from a placebo difference-in-differences regression. I pick the 20 trading days before the periods studied above (60 trading days in total across three phases). I create a “placebo” difference-in-differences</w:t>
      </w:r>
      <w:r w:rsidR="00042905">
        <w:t>,</w:t>
      </w:r>
      <w:r w:rsidR="00B36827">
        <w:t xml:space="preserve"> as if there was a transition </w:t>
      </w:r>
      <w:r w:rsidR="00042905">
        <w:t xml:space="preserve">to clearing mandate on </w:t>
      </w:r>
      <w:r w:rsidR="00B36827">
        <w:t xml:space="preserve">Feb 11, May </w:t>
      </w:r>
      <w:proofErr w:type="gramStart"/>
      <w:r w:rsidR="00B36827">
        <w:t>13</w:t>
      </w:r>
      <w:proofErr w:type="gramEnd"/>
      <w:r w:rsidR="00B36827">
        <w:t xml:space="preserve"> and </w:t>
      </w:r>
      <w:r w:rsidR="00700AF9">
        <w:t xml:space="preserve">Aug 12. </w:t>
      </w:r>
      <w:r w:rsidR="00042905">
        <w:t>T</w:t>
      </w:r>
      <w:r w:rsidR="00700AF9">
        <w:t xml:space="preserve">he results do not show any effect from this placebo DiD, further strengthening our belief that the increase in premia seen in the actual </w:t>
      </w:r>
      <w:proofErr w:type="spellStart"/>
      <w:r w:rsidR="00700AF9">
        <w:t>DiD</w:t>
      </w:r>
      <w:proofErr w:type="spellEnd"/>
      <w:r w:rsidR="00700AF9">
        <w:t xml:space="preserve"> is real.</w:t>
      </w:r>
    </w:p>
    <w:p w14:paraId="1562322B" w14:textId="3737C598" w:rsidR="005B5046" w:rsidRDefault="00042905" w:rsidP="004B2BEF">
      <w:r>
        <w:t xml:space="preserve">Table __ shows the results </w:t>
      </w:r>
      <w:r w:rsidR="004B2BEF">
        <w:t xml:space="preserve">of analyzing an alternative currency pair.  GBP-denominated contracts fell under the clearing mandate while CHF-denominated contracts did not. </w:t>
      </w:r>
      <w:proofErr w:type="gramStart"/>
      <w:r w:rsidR="004B2BEF">
        <w:t>Similar to</w:t>
      </w:r>
      <w:proofErr w:type="gramEnd"/>
      <w:r w:rsidR="004B2BEF">
        <w:t xml:space="preserve"> the USD-CAD comparison, GBP contracts show a ~7-8 bps rise in premia following the passage of the mandate.</w:t>
      </w:r>
    </w:p>
    <w:p w14:paraId="730BD612" w14:textId="07A9B23E" w:rsidR="005B5046" w:rsidRDefault="005B5046" w:rsidP="00B002D8">
      <w:pPr>
        <w:pStyle w:val="Caption"/>
        <w:keepNext/>
      </w:pPr>
      <w:bookmarkStart w:id="13" w:name="_Ref160963634"/>
      <w:r>
        <w:lastRenderedPageBreak/>
        <w:t xml:space="preserve">Figure </w:t>
      </w:r>
      <w:r>
        <w:fldChar w:fldCharType="begin"/>
      </w:r>
      <w:r>
        <w:instrText xml:space="preserve"> SEQ Figure \* ARABIC </w:instrText>
      </w:r>
      <w:r>
        <w:fldChar w:fldCharType="separate"/>
      </w:r>
      <w:r w:rsidR="00C66CC2">
        <w:rPr>
          <w:noProof/>
        </w:rPr>
        <w:t>4</w:t>
      </w:r>
      <w:r>
        <w:fldChar w:fldCharType="end"/>
      </w:r>
      <w:bookmarkEnd w:id="13"/>
      <w:r>
        <w:t>: Bloomberg Reported Swap Rates for USD and CAD denominated interest rate swaps. From left-to-right and top-to-bottom: 2-year swaps during phase 1 (implementation date Mar 11, 2014), phase 2 (implementation date June 10, 2013), and phase 3 (implementation date September 9, 2013); 5-year swaps during phase 1, phase 2 and phase 3; 10-year swaps during phase 1, phase 2 and phase 3</w:t>
      </w:r>
    </w:p>
    <w:p w14:paraId="78DCF7EC" w14:textId="698BAEE8" w:rsidR="00B002D8" w:rsidRPr="00B002D8" w:rsidRDefault="00B002D8" w:rsidP="00B002D8">
      <w:pPr>
        <w:jc w:val="center"/>
      </w:pPr>
      <w:r>
        <w:t>[Figure 4 about here]</w:t>
      </w:r>
    </w:p>
    <w:p w14:paraId="283A7C55" w14:textId="77777777" w:rsidR="005B5046" w:rsidRDefault="005B5046" w:rsidP="004B2BEF">
      <w:pPr>
        <w:ind w:firstLine="0"/>
      </w:pPr>
    </w:p>
    <w:p w14:paraId="0DECA66E" w14:textId="14A133EB" w:rsidR="00A03CBF" w:rsidRDefault="00A03CBF" w:rsidP="00C66CC2">
      <w:pPr>
        <w:pStyle w:val="Caption"/>
        <w:keepNext/>
        <w:jc w:val="center"/>
      </w:pPr>
      <w:bookmarkStart w:id="14" w:name="_Ref149507984"/>
      <w:r>
        <w:t xml:space="preserve">Table </w:t>
      </w:r>
      <w:r>
        <w:fldChar w:fldCharType="begin"/>
      </w:r>
      <w:r>
        <w:instrText xml:space="preserve"> SEQ Table \* ARABIC </w:instrText>
      </w:r>
      <w:r>
        <w:fldChar w:fldCharType="separate"/>
      </w:r>
      <w:r w:rsidR="008D236B">
        <w:rPr>
          <w:noProof/>
        </w:rPr>
        <w:t>6</w:t>
      </w:r>
      <w:r>
        <w:rPr>
          <w:noProof/>
        </w:rPr>
        <w:fldChar w:fldCharType="end"/>
      </w:r>
      <w:bookmarkEnd w:id="14"/>
      <w:r>
        <w:rPr>
          <w:noProof/>
        </w:rPr>
        <w:t xml:space="preserve"> Difference-in-Difference Result</w:t>
      </w:r>
    </w:p>
    <w:p w14:paraId="1FF6B0DE" w14:textId="77777777" w:rsidR="00E106E8" w:rsidRPr="00B254A1" w:rsidRDefault="00E106E8" w:rsidP="004B2BEF"/>
    <w:p w14:paraId="5179D58C" w14:textId="2506B742" w:rsidR="00A03CBF" w:rsidRDefault="00C66CC2" w:rsidP="00031822">
      <w:pPr>
        <w:jc w:val="center"/>
      </w:pPr>
      <w:r>
        <w:t>[Table 6 about here]</w:t>
      </w:r>
    </w:p>
    <w:p w14:paraId="20444B68" w14:textId="19031197" w:rsidR="00C66CC2" w:rsidRDefault="00C66CC2">
      <w:pPr>
        <w:spacing w:line="240" w:lineRule="auto"/>
        <w:ind w:firstLine="0"/>
        <w:jc w:val="left"/>
      </w:pPr>
    </w:p>
    <w:p w14:paraId="61E2A797" w14:textId="77777777" w:rsidR="00C66CC2" w:rsidRDefault="00C66CC2" w:rsidP="00031822">
      <w:pPr>
        <w:jc w:val="center"/>
      </w:pPr>
    </w:p>
    <w:p w14:paraId="5B61C362" w14:textId="48E60EB8" w:rsidR="004050F2" w:rsidRDefault="004050F2" w:rsidP="00C66CC2">
      <w:pPr>
        <w:pStyle w:val="Caption"/>
        <w:keepNext/>
        <w:jc w:val="center"/>
      </w:pPr>
      <w:bookmarkStart w:id="15" w:name="_Ref149509644"/>
      <w:r>
        <w:t xml:space="preserve">Table </w:t>
      </w:r>
      <w:r>
        <w:fldChar w:fldCharType="begin"/>
      </w:r>
      <w:r>
        <w:instrText xml:space="preserve"> SEQ Table \* ARABIC </w:instrText>
      </w:r>
      <w:r>
        <w:fldChar w:fldCharType="separate"/>
      </w:r>
      <w:r w:rsidR="008D236B">
        <w:rPr>
          <w:noProof/>
        </w:rPr>
        <w:t>7</w:t>
      </w:r>
      <w:r>
        <w:rPr>
          <w:noProof/>
        </w:rPr>
        <w:fldChar w:fldCharType="end"/>
      </w:r>
      <w:bookmarkEnd w:id="15"/>
      <w:r>
        <w:rPr>
          <w:noProof/>
        </w:rPr>
        <w:t xml:space="preserve"> By Phase DiD Results</w:t>
      </w:r>
    </w:p>
    <w:p w14:paraId="0B05B2FA" w14:textId="77777777" w:rsidR="008D236B" w:rsidRPr="005A0301" w:rsidRDefault="008D236B" w:rsidP="004B2BEF"/>
    <w:p w14:paraId="359A0F22" w14:textId="671EA6E7" w:rsidR="008D236B" w:rsidRPr="005A0301" w:rsidRDefault="00C66CC2" w:rsidP="00640DD5">
      <w:pPr>
        <w:jc w:val="center"/>
      </w:pPr>
      <w:r>
        <w:t>[Table 7 about here]</w:t>
      </w:r>
    </w:p>
    <w:p w14:paraId="3672CE26" w14:textId="25C698DC" w:rsidR="008D236B" w:rsidRDefault="008D236B">
      <w:pPr>
        <w:spacing w:line="240" w:lineRule="auto"/>
        <w:ind w:firstLine="0"/>
        <w:jc w:val="left"/>
      </w:pPr>
    </w:p>
    <w:p w14:paraId="733FD803" w14:textId="77777777" w:rsidR="004050F2" w:rsidRDefault="004050F2" w:rsidP="00031822">
      <w:pPr>
        <w:jc w:val="center"/>
      </w:pPr>
    </w:p>
    <w:p w14:paraId="64A1D7B8" w14:textId="6450A64A" w:rsidR="008D236B" w:rsidRPr="006D2BD0" w:rsidRDefault="008D236B" w:rsidP="00B002D8">
      <w:pPr>
        <w:pStyle w:val="Caption"/>
        <w:jc w:val="center"/>
        <w:rPr>
          <w:rFonts w:ascii="Courier New" w:hAnsi="Courier New" w:cs="Courier New"/>
          <w:sz w:val="21"/>
          <w:szCs w:val="21"/>
        </w:rPr>
      </w:pPr>
      <w:bookmarkStart w:id="16" w:name="_Ref161098891"/>
      <w:r>
        <w:t xml:space="preserve">Table </w:t>
      </w:r>
      <w:r>
        <w:fldChar w:fldCharType="begin"/>
      </w:r>
      <w:r>
        <w:instrText xml:space="preserve"> SEQ Table \* ARABIC </w:instrText>
      </w:r>
      <w:r>
        <w:fldChar w:fldCharType="separate"/>
      </w:r>
      <w:r>
        <w:rPr>
          <w:noProof/>
        </w:rPr>
        <w:t>8</w:t>
      </w:r>
      <w:r>
        <w:fldChar w:fldCharType="end"/>
      </w:r>
      <w:bookmarkEnd w:id="16"/>
      <w:r>
        <w:rPr>
          <w:noProof/>
        </w:rPr>
        <w:t xml:space="preserve"> Placebo difference-in-difference</w:t>
      </w:r>
    </w:p>
    <w:p w14:paraId="1DE20447" w14:textId="1A5764A4" w:rsidR="008D236B" w:rsidRDefault="00B002D8" w:rsidP="00640DD5">
      <w:pPr>
        <w:jc w:val="center"/>
      </w:pPr>
      <w:r>
        <w:t>[Table 8 about here]</w:t>
      </w:r>
    </w:p>
    <w:p w14:paraId="50CBABCA" w14:textId="4EE302F1" w:rsidR="00B002D8" w:rsidRDefault="00B002D8" w:rsidP="004B2BEF"/>
    <w:p w14:paraId="40466E11" w14:textId="610068B4" w:rsidR="002853F0" w:rsidRDefault="002853F0" w:rsidP="00AB12F9">
      <w:pPr>
        <w:pStyle w:val="Heading2"/>
      </w:pPr>
      <w:r>
        <w:t>Liquidity</w:t>
      </w:r>
    </w:p>
    <w:p w14:paraId="1AEA17CD" w14:textId="70E0707B" w:rsidR="003B16CA" w:rsidRDefault="004B2BEF" w:rsidP="00031822">
      <w:r>
        <w:t xml:space="preserve">Table 9 shows the results </w:t>
      </w:r>
      <w:r w:rsidR="003B16CA">
        <w:t xml:space="preserve">of difference-in-difference regression for the liquidity metric (bid-ask spread as a percentage of mid-price). Note that since the period of study </w:t>
      </w:r>
      <w:r w:rsidR="003B16CA">
        <w:t>is short</w:t>
      </w:r>
      <w:r w:rsidR="003B16CA">
        <w:t xml:space="preserve"> (ten trading days before and ten trading after the clearing mandate implementation), and since liquidity is a “market wide”, rather than an individual contract-based measure, the opportunity to control for other variables that impact liquidity is limited. If a longer period were being studied, other variables that impact liquidity</w:t>
      </w:r>
      <w:r w:rsidR="001F696E">
        <w:t>,</w:t>
      </w:r>
      <w:r w:rsidR="003B16CA">
        <w:t xml:space="preserve"> such as monetary policy and credit availability could be added as controls. However, these variables do not change significantly during the short period studied.</w:t>
      </w:r>
    </w:p>
    <w:p w14:paraId="7390CEB8" w14:textId="62049A5E" w:rsidR="002853F0" w:rsidRDefault="003B16CA" w:rsidP="00031822">
      <w:r>
        <w:t xml:space="preserve">The clearing mandate does not impact the liquidity </w:t>
      </w:r>
      <w:r w:rsidR="001F696E">
        <w:t xml:space="preserve">as measured by bid-ask spreads. As noted in the </w:t>
      </w:r>
      <w:r w:rsidR="001319F2">
        <w:t xml:space="preserve">theory section, we should expect reductions in counterparty risk of interest rate swaps to cause a narrowing of the bid-ask spread (the spread is charged by dealers to offset their expected losses </w:t>
      </w:r>
      <w:r w:rsidR="001319F2">
        <w:lastRenderedPageBreak/>
        <w:t>from holding inventory). However, the spread is also driven by supply and demand conditions in the market. As explored in the pricing section, a reduction in riskiness of IRS increases their demand. If the swaps market is monopolistic (that is, new swaps dealers face barriers to entry), then incumbent dealers can choose not to lower their bid-ask spreads and pocket the additional profits from the high demand.</w:t>
      </w:r>
    </w:p>
    <w:p w14:paraId="7F78FE30" w14:textId="1BDED5DB" w:rsidR="002853F0" w:rsidRDefault="002853F0" w:rsidP="00AB12F9">
      <w:pPr>
        <w:pStyle w:val="Heading2"/>
      </w:pPr>
      <w:r>
        <w:t>Price Volatility</w:t>
      </w:r>
    </w:p>
    <w:p w14:paraId="0F321A6C" w14:textId="6A8031CC" w:rsidR="002853F0" w:rsidRPr="002853F0" w:rsidRDefault="001319F2" w:rsidP="00031822">
      <w:r>
        <w:t xml:space="preserve">Table 10 shows the results of </w:t>
      </w:r>
      <w:r w:rsidR="00ED10A4">
        <w:t xml:space="preserve">the price volatility difference-in-difference regression. Price volatility (as measured by realized volatility) is not affected by the clearing mandate. During “normal” trading periods, prices appear to follow a random walk, which makes it difficult to analyze the impact of the clearing mandate on volatility. Only during periods of market stress would we expect the volatility measure to behave differently in cleared vs. uncleared markets. However, since periods of market stress are unique events, this does not lend itself to difference-in-difference type analysis. As an alternative, I perform an “event study” type analysis, looking at the volatility in USD and CAD denominated contracts </w:t>
      </w:r>
      <w:r w:rsidR="00892B9D">
        <w:t>around the time of the (second) “Grexit” vote. Caution should be exercised when interpreting these results, as the “control group” (CAD contracts) have different exposure to the Greek economy than the “treatment” group. Nonetheless, we observe that the USD contracts had much lower price volatility during this period compared to CAD contracts.</w:t>
      </w:r>
    </w:p>
    <w:p w14:paraId="46EB96B1" w14:textId="14F41234" w:rsidR="00A96B98" w:rsidRDefault="00A96B98" w:rsidP="009C0453">
      <w:pPr>
        <w:pStyle w:val="Heading1"/>
        <w:numPr>
          <w:ilvl w:val="0"/>
          <w:numId w:val="33"/>
        </w:numPr>
      </w:pPr>
      <w:bookmarkStart w:id="17" w:name="_Ref157719507"/>
      <w:r>
        <w:t>Conclusion</w:t>
      </w:r>
      <w:bookmarkEnd w:id="17"/>
    </w:p>
    <w:p w14:paraId="04B82C4A" w14:textId="3D7E79AC" w:rsidR="00AE2A76" w:rsidRDefault="00AE2A76" w:rsidP="00AE2A76">
      <w:r>
        <w:t xml:space="preserve">Conclusion goes </w:t>
      </w:r>
      <w:proofErr w:type="gramStart"/>
      <w:r>
        <w:t>here</w:t>
      </w:r>
      <w:proofErr w:type="gramEnd"/>
    </w:p>
    <w:p w14:paraId="2F054196" w14:textId="77777777" w:rsidR="00B9115F" w:rsidRDefault="00B9115F" w:rsidP="00AE2A76"/>
    <w:p w14:paraId="013C1347" w14:textId="78BC429D" w:rsidR="00B9115F" w:rsidRDefault="00B9115F">
      <w:pPr>
        <w:spacing w:line="240" w:lineRule="auto"/>
        <w:ind w:firstLine="0"/>
        <w:jc w:val="left"/>
      </w:pPr>
      <w:r>
        <w:br w:type="page"/>
      </w:r>
    </w:p>
    <w:p w14:paraId="6E3416AA" w14:textId="77777777" w:rsidR="00E06975" w:rsidRPr="00E06975" w:rsidRDefault="00B9115F" w:rsidP="00E06975">
      <w:pPr>
        <w:pStyle w:val="Bibliography"/>
      </w:pPr>
      <w:r>
        <w:lastRenderedPageBreak/>
        <w:fldChar w:fldCharType="begin"/>
      </w:r>
      <w:r w:rsidR="00D41525">
        <w:instrText xml:space="preserve"> ADDIN ZOTERO_BIBL {"uncited":[],"omitted":[],"custom":[]} CSL_BIBLIOGRAPHY </w:instrText>
      </w:r>
      <w:r>
        <w:fldChar w:fldCharType="separate"/>
      </w:r>
      <w:r w:rsidR="00E06975" w:rsidRPr="00E06975">
        <w:t xml:space="preserve">Allen, Franklin, and Douglas Gale. 2000. “Financial Contagion.” </w:t>
      </w:r>
      <w:r w:rsidR="00E06975" w:rsidRPr="00E06975">
        <w:rPr>
          <w:i/>
          <w:iCs/>
        </w:rPr>
        <w:t>Journal of Political Economy</w:t>
      </w:r>
      <w:r w:rsidR="00E06975" w:rsidRPr="00E06975">
        <w:t xml:space="preserve"> 108 (1): 1–33. https://doi.org/10.1086/262109.</w:t>
      </w:r>
    </w:p>
    <w:p w14:paraId="5F567928" w14:textId="77777777" w:rsidR="00E06975" w:rsidRPr="00E06975" w:rsidRDefault="00E06975" w:rsidP="00E06975">
      <w:pPr>
        <w:pStyle w:val="Bibliography"/>
      </w:pPr>
      <w:r w:rsidRPr="00E06975">
        <w:t>Allen, Franklin, and Douglas M. Gale. 2007. “An Introduction to Financial Crises.” SSRN Scholarly Paper. Rochester, NY. https://doi.org/10.2139/ssrn.1008311.</w:t>
      </w:r>
    </w:p>
    <w:p w14:paraId="1372E80C" w14:textId="77777777" w:rsidR="00E06975" w:rsidRPr="00E06975" w:rsidRDefault="00E06975" w:rsidP="00E06975">
      <w:pPr>
        <w:pStyle w:val="Bibliography"/>
      </w:pPr>
      <w:r w:rsidRPr="00E06975">
        <w:t xml:space="preserve">Azad, A. S. M. Sohel, Victor Fang, and Chi-Hsiou Hung. 2012. “Linking the Interest Rate Swap Markets to the Macroeconomic Risk: The UK and Us Evidence.” </w:t>
      </w:r>
      <w:r w:rsidRPr="00E06975">
        <w:rPr>
          <w:i/>
          <w:iCs/>
        </w:rPr>
        <w:t>International Review of Financial Analysis</w:t>
      </w:r>
      <w:r w:rsidRPr="00E06975">
        <w:t xml:space="preserve"> 22 (April): 38–47. https://doi.org/10.1016/j.irfa.2012.03.001.</w:t>
      </w:r>
    </w:p>
    <w:p w14:paraId="3A3CD925" w14:textId="77777777" w:rsidR="00E06975" w:rsidRPr="00E06975" w:rsidRDefault="00E06975" w:rsidP="00E06975">
      <w:pPr>
        <w:pStyle w:val="Bibliography"/>
      </w:pPr>
      <w:r w:rsidRPr="00E06975">
        <w:t xml:space="preserve">Bebchuk, Lucian A., and Itay Goldstein. 2011. “Self-Fulfilling Credit Market Freezes.” </w:t>
      </w:r>
      <w:r w:rsidRPr="00E06975">
        <w:rPr>
          <w:i/>
          <w:iCs/>
        </w:rPr>
        <w:t>The Review of Financial Studies</w:t>
      </w:r>
      <w:r w:rsidRPr="00E06975">
        <w:t xml:space="preserve"> 24 (11): 3519–55. https://doi.org/10.1093/rfs/hhr086.</w:t>
      </w:r>
    </w:p>
    <w:p w14:paraId="4B63308A" w14:textId="77777777" w:rsidR="00E06975" w:rsidRPr="00E06975" w:rsidRDefault="00E06975" w:rsidP="00E06975">
      <w:pPr>
        <w:pStyle w:val="Bibliography"/>
      </w:pPr>
      <w:r w:rsidRPr="00E06975">
        <w:t>Benos, Evangelos, Wenqian Huang, Albert J. Menkveld, and Michalis Vasios. 2019. “The Cost of Clearing Fragmentation.” SSRN Scholarly Paper ID 3502465. Rochester, NY: Social Science Research Network. https://papers.ssrn.com/abstract=3502465.</w:t>
      </w:r>
    </w:p>
    <w:p w14:paraId="3749FEA4" w14:textId="77777777" w:rsidR="00E06975" w:rsidRPr="00E06975" w:rsidRDefault="00E06975" w:rsidP="00E06975">
      <w:pPr>
        <w:pStyle w:val="Bibliography"/>
      </w:pPr>
      <w:r w:rsidRPr="00E06975">
        <w:t xml:space="preserve">Benos, Evangelos, Richard Payne, and Michalis Vasios. 2020. “Centralized Trading, Transparency, and Interest Rate Swap Market Liquidity: Evidence from the Implementation of the Dodd–Frank Act.” </w:t>
      </w:r>
      <w:r w:rsidRPr="00E06975">
        <w:rPr>
          <w:i/>
          <w:iCs/>
        </w:rPr>
        <w:t>Journal of Financial and Quantitative Analysis</w:t>
      </w:r>
      <w:r w:rsidRPr="00E06975">
        <w:t xml:space="preserve"> 55 (1): 159–92. https://doi.org/10.1017/S0022109018001527.</w:t>
      </w:r>
    </w:p>
    <w:p w14:paraId="2CBAB19F" w14:textId="77777777" w:rsidR="00E06975" w:rsidRPr="00E06975" w:rsidRDefault="00E06975" w:rsidP="00E06975">
      <w:pPr>
        <w:pStyle w:val="Bibliography"/>
      </w:pPr>
      <w:r w:rsidRPr="00E06975">
        <w:t xml:space="preserve">Bernstein, Asaf, Eric Hughson, and Marc Weidenmier. 2019. “Counterparty Risk and the Establishment of the New York Stock Exchange Clearinghouse.” </w:t>
      </w:r>
      <w:r w:rsidRPr="00E06975">
        <w:rPr>
          <w:i/>
          <w:iCs/>
        </w:rPr>
        <w:t>Journal of Political Economy</w:t>
      </w:r>
      <w:r w:rsidRPr="00E06975">
        <w:t xml:space="preserve"> 127 (2): 689–729. https://doi.org/10.1086/701033.</w:t>
      </w:r>
    </w:p>
    <w:p w14:paraId="113CE4A6" w14:textId="77777777" w:rsidR="00E06975" w:rsidRPr="00E06975" w:rsidRDefault="00E06975" w:rsidP="00E06975">
      <w:pPr>
        <w:pStyle w:val="Bibliography"/>
      </w:pPr>
      <w:r w:rsidRPr="00E06975">
        <w:t xml:space="preserve">Biais, Bruno. 1993. “Price Formation and Equilibrium Liquidity in Fragmented and Centralized Markets.” </w:t>
      </w:r>
      <w:r w:rsidRPr="00E06975">
        <w:rPr>
          <w:i/>
          <w:iCs/>
        </w:rPr>
        <w:t>The Journal of Finance</w:t>
      </w:r>
      <w:r w:rsidRPr="00E06975">
        <w:t xml:space="preserve"> 48 (1): 157–85. https://doi.org/10.1111/j.1540-6261.1993.tb04705.x.</w:t>
      </w:r>
    </w:p>
    <w:p w14:paraId="681C7D82" w14:textId="77777777" w:rsidR="00E06975" w:rsidRPr="00E06975" w:rsidRDefault="00E06975" w:rsidP="00E06975">
      <w:pPr>
        <w:pStyle w:val="Bibliography"/>
      </w:pPr>
      <w:r w:rsidRPr="00E06975">
        <w:t xml:space="preserve">Bicksler, James, and Andrew H. Chen. 1986. “An Economic Analysis of Interest Rate Swaps.” </w:t>
      </w:r>
      <w:r w:rsidRPr="00E06975">
        <w:rPr>
          <w:i/>
          <w:iCs/>
        </w:rPr>
        <w:t>The Journal of Finance</w:t>
      </w:r>
      <w:r w:rsidRPr="00E06975">
        <w:t xml:space="preserve"> 41 (3): 645–55. https://doi.org/10.2307/2328495.</w:t>
      </w:r>
    </w:p>
    <w:p w14:paraId="2807CFD3" w14:textId="77777777" w:rsidR="00E06975" w:rsidRPr="00E06975" w:rsidRDefault="00E06975" w:rsidP="00E06975">
      <w:pPr>
        <w:pStyle w:val="Bibliography"/>
      </w:pPr>
      <w:r w:rsidRPr="00E06975">
        <w:t>Bolandnazar, Mohammadreza. 2020. “The Market Structure of Dealer-to-Client Interest Rate Swaps.” SSRN Scholarly Paper 3752367. Rochester, NY: Social Science Research Network. https://doi.org/10.2139/ssrn.3752367.</w:t>
      </w:r>
    </w:p>
    <w:p w14:paraId="4EBCA532" w14:textId="77777777" w:rsidR="00E06975" w:rsidRPr="00E06975" w:rsidRDefault="00E06975" w:rsidP="00E06975">
      <w:pPr>
        <w:pStyle w:val="Bibliography"/>
      </w:pPr>
      <w:r w:rsidRPr="00E06975">
        <w:t>Boudiaf, Ismael Alexander, Immo Frieden, and Martin Scheicher. 2024. “The Market Liquidity of Interest Rate Swaps.” SSRN Scholarly Paper. Rochester, NY. https://doi.org/10.2139/ssrn.4745740.</w:t>
      </w:r>
    </w:p>
    <w:p w14:paraId="361A5D4F" w14:textId="77777777" w:rsidR="00E06975" w:rsidRPr="00E06975" w:rsidRDefault="00E06975" w:rsidP="00E06975">
      <w:pPr>
        <w:pStyle w:val="Bibliography"/>
      </w:pPr>
      <w:r w:rsidRPr="00E06975">
        <w:t xml:space="preserve">Brunnermeier, Markus K. 2009. “Deciphering the Liquidity and Credit Crunch 2007-2008.” </w:t>
      </w:r>
      <w:r w:rsidRPr="00E06975">
        <w:rPr>
          <w:i/>
          <w:iCs/>
        </w:rPr>
        <w:t>Journal of Economic Perspectives</w:t>
      </w:r>
      <w:r w:rsidRPr="00E06975">
        <w:t xml:space="preserve"> 23 (1): 77–100. https://doi.org/10.1257/jep.23.1.77.</w:t>
      </w:r>
    </w:p>
    <w:p w14:paraId="2C7A79FD" w14:textId="77777777" w:rsidR="00E06975" w:rsidRPr="00E06975" w:rsidRDefault="00E06975" w:rsidP="00E06975">
      <w:pPr>
        <w:pStyle w:val="Bibliography"/>
      </w:pPr>
      <w:r w:rsidRPr="00E06975">
        <w:t xml:space="preserve">Capponi, Agostino, and Martin Larsson. 2015. “Price Contagion through Balance Sheet Linkages.” </w:t>
      </w:r>
      <w:r w:rsidRPr="00E06975">
        <w:rPr>
          <w:i/>
          <w:iCs/>
        </w:rPr>
        <w:t>The Review of Asset Pricing Studies</w:t>
      </w:r>
      <w:r w:rsidRPr="00E06975">
        <w:t xml:space="preserve"> 5 (2): 227–53. https://doi.org/10.1093/rapstu/rav006.</w:t>
      </w:r>
    </w:p>
    <w:p w14:paraId="71A6B407" w14:textId="77777777" w:rsidR="00E06975" w:rsidRPr="00E06975" w:rsidRDefault="00E06975" w:rsidP="00E06975">
      <w:pPr>
        <w:pStyle w:val="Bibliography"/>
      </w:pPr>
      <w:r w:rsidRPr="00E06975">
        <w:t xml:space="preserve">Cifuentes, Rodrigo, Gianluigi Ferrucci, and Hyun Song Shin. 2005. “Liquidity Risk and Contagion.” </w:t>
      </w:r>
      <w:r w:rsidRPr="00E06975">
        <w:rPr>
          <w:i/>
          <w:iCs/>
        </w:rPr>
        <w:t>Journal of the European Economic Association</w:t>
      </w:r>
      <w:r w:rsidRPr="00E06975">
        <w:t xml:space="preserve"> 3 (2–3): 556–66. https://doi.org/10.1162/jeea.2005.3.2-3.556.</w:t>
      </w:r>
    </w:p>
    <w:p w14:paraId="23555792" w14:textId="77777777" w:rsidR="00E06975" w:rsidRPr="00E06975" w:rsidRDefault="00E06975" w:rsidP="00E06975">
      <w:pPr>
        <w:pStyle w:val="Bibliography"/>
      </w:pPr>
      <w:r w:rsidRPr="00E06975">
        <w:t xml:space="preserve">Diamond, Douglas W., and Philip H. Dybvig. 1983. “Bank Runs, Deposit Insurance, and Liquidity.” </w:t>
      </w:r>
      <w:r w:rsidRPr="00E06975">
        <w:rPr>
          <w:i/>
          <w:iCs/>
        </w:rPr>
        <w:t>Journal of Political Economy</w:t>
      </w:r>
      <w:r w:rsidRPr="00E06975">
        <w:t xml:space="preserve"> 91 (3): 401–19. https://doi.org/10.1086/261155.</w:t>
      </w:r>
    </w:p>
    <w:p w14:paraId="1C0D4C97" w14:textId="77777777" w:rsidR="00E06975" w:rsidRPr="00E06975" w:rsidRDefault="00E06975" w:rsidP="00E06975">
      <w:pPr>
        <w:pStyle w:val="Bibliography"/>
      </w:pPr>
      <w:r w:rsidRPr="00E06975">
        <w:t xml:space="preserve">Diamond, Douglas W., and Raghuram G. Rajan. 2011. “Fear of Fire Sales, Illiquidity Seeking, and Credit Freezes *.” </w:t>
      </w:r>
      <w:r w:rsidRPr="00E06975">
        <w:rPr>
          <w:i/>
          <w:iCs/>
        </w:rPr>
        <w:t>The Quarterly Journal of Economics</w:t>
      </w:r>
      <w:r w:rsidRPr="00E06975">
        <w:t xml:space="preserve"> 126 (2): 557–91. https://doi.org/10.1093/qje/qjr012.</w:t>
      </w:r>
    </w:p>
    <w:p w14:paraId="453FFA72" w14:textId="77777777" w:rsidR="00E06975" w:rsidRPr="00E06975" w:rsidRDefault="00E06975" w:rsidP="00E06975">
      <w:pPr>
        <w:pStyle w:val="Bibliography"/>
      </w:pPr>
      <w:r w:rsidRPr="00E06975">
        <w:t xml:space="preserve">Duffie, Darrell, and Haoxiang Zhu. 2011. “Does a Central Clearing Counterparty Reduce Counterparty Risk?” </w:t>
      </w:r>
      <w:r w:rsidRPr="00E06975">
        <w:rPr>
          <w:i/>
          <w:iCs/>
        </w:rPr>
        <w:t>Review of Asset Pricing Studies</w:t>
      </w:r>
      <w:r w:rsidRPr="00E06975">
        <w:t xml:space="preserve"> 1 (1): 74–95.</w:t>
      </w:r>
    </w:p>
    <w:p w14:paraId="4277CD18" w14:textId="77777777" w:rsidR="00E06975" w:rsidRPr="00E06975" w:rsidRDefault="00E06975" w:rsidP="00E06975">
      <w:pPr>
        <w:pStyle w:val="Bibliography"/>
      </w:pPr>
      <w:r w:rsidRPr="00E06975">
        <w:lastRenderedPageBreak/>
        <w:t xml:space="preserve">Gai, Prasanna, and Sujit Kapadia. 2010. “Contagion in Financial Networks.” </w:t>
      </w:r>
      <w:r w:rsidRPr="00E06975">
        <w:rPr>
          <w:i/>
          <w:iCs/>
        </w:rPr>
        <w:t>Proceedings of the Royal Society A: Mathematical, Physical and Engineering Sciences</w:t>
      </w:r>
      <w:r w:rsidRPr="00E06975">
        <w:t xml:space="preserve"> 466 (2120): 2401–23. https://doi.org/10.1098/rspa.2009.0410.</w:t>
      </w:r>
    </w:p>
    <w:p w14:paraId="0903D7DB" w14:textId="77777777" w:rsidR="00E06975" w:rsidRPr="00E06975" w:rsidRDefault="00E06975" w:rsidP="00E06975">
      <w:pPr>
        <w:pStyle w:val="Bibliography"/>
      </w:pPr>
      <w:r w:rsidRPr="00E06975">
        <w:t xml:space="preserve">Greenwood, Robin, Augustin Landier, and David Thesmar. 2015. “Vulnerable Banks.” </w:t>
      </w:r>
      <w:r w:rsidRPr="00E06975">
        <w:rPr>
          <w:i/>
          <w:iCs/>
        </w:rPr>
        <w:t>Journal of Financial Economics</w:t>
      </w:r>
      <w:r w:rsidRPr="00E06975">
        <w:t xml:space="preserve"> 115 (3): 471–85. https://doi.org/10.1016/j.jfineco.2014.11.006.</w:t>
      </w:r>
    </w:p>
    <w:p w14:paraId="737CA0A2" w14:textId="77777777" w:rsidR="00E06975" w:rsidRPr="00E06975" w:rsidRDefault="00E06975" w:rsidP="00E06975">
      <w:pPr>
        <w:pStyle w:val="Bibliography"/>
      </w:pPr>
      <w:r w:rsidRPr="00E06975">
        <w:t xml:space="preserve">Jackson, Matthew O., and Agathe Pernoud. 2021. “Systemic Risk in Financial Networks: A Survey.” </w:t>
      </w:r>
      <w:r w:rsidRPr="00E06975">
        <w:rPr>
          <w:i/>
          <w:iCs/>
        </w:rPr>
        <w:t>Annual Review of Economics</w:t>
      </w:r>
      <w:r w:rsidRPr="00E06975">
        <w:t xml:space="preserve"> 13 (1): 171–202. https://doi.org/10.1146/annurev-economics-083120-111540.</w:t>
      </w:r>
    </w:p>
    <w:p w14:paraId="0F2B49E9" w14:textId="77777777" w:rsidR="00E06975" w:rsidRPr="00E06975" w:rsidRDefault="00E06975" w:rsidP="00E06975">
      <w:pPr>
        <w:pStyle w:val="Bibliography"/>
      </w:pPr>
      <w:r w:rsidRPr="00E06975">
        <w:t xml:space="preserve">Kiyotaki, Nobuhiro, and John Moore. 1997. “Credit Cycles.” </w:t>
      </w:r>
      <w:r w:rsidRPr="00E06975">
        <w:rPr>
          <w:i/>
          <w:iCs/>
        </w:rPr>
        <w:t>Journal of Political Economy</w:t>
      </w:r>
      <w:r w:rsidRPr="00E06975">
        <w:t xml:space="preserve"> 105 (2): 211–48. https://doi.org/10.1086/262072.</w:t>
      </w:r>
    </w:p>
    <w:p w14:paraId="0ABF2812" w14:textId="77777777" w:rsidR="00E06975" w:rsidRPr="00E06975" w:rsidRDefault="00E06975" w:rsidP="00E06975">
      <w:pPr>
        <w:pStyle w:val="Bibliography"/>
      </w:pPr>
      <w:r w:rsidRPr="00E06975">
        <w:t xml:space="preserve">Kleist, Karsten von, and C. Mallo. 2011. “OTC Derivatives Market Activity in the Second Half of 2010.” </w:t>
      </w:r>
      <w:r w:rsidRPr="00E06975">
        <w:rPr>
          <w:i/>
          <w:iCs/>
        </w:rPr>
        <w:t>Bank for International Settlements, Monetary and Economic Department, May</w:t>
      </w:r>
      <w:r w:rsidRPr="00E06975">
        <w:t>.</w:t>
      </w:r>
    </w:p>
    <w:p w14:paraId="6270E565" w14:textId="77777777" w:rsidR="00E06975" w:rsidRPr="00E06975" w:rsidRDefault="00E06975" w:rsidP="00E06975">
      <w:pPr>
        <w:pStyle w:val="Bibliography"/>
      </w:pPr>
      <w:r w:rsidRPr="00E06975">
        <w:t xml:space="preserve">Liu, Jun, Francis A. Longstaff, and Ravit E. Mandell. 2006. “The Market Price of Risk in Interest Rate Swaps: The Roles of Default and Liquidity Risks.” </w:t>
      </w:r>
      <w:r w:rsidRPr="00E06975">
        <w:rPr>
          <w:i/>
          <w:iCs/>
        </w:rPr>
        <w:t>The Journal of Business</w:t>
      </w:r>
      <w:r w:rsidRPr="00E06975">
        <w:t xml:space="preserve"> 79 (5): 2337–59. https://doi.org/10.1086/505237.</w:t>
      </w:r>
    </w:p>
    <w:p w14:paraId="201D5000" w14:textId="77777777" w:rsidR="00E06975" w:rsidRPr="00E06975" w:rsidRDefault="00E06975" w:rsidP="00E06975">
      <w:pPr>
        <w:pStyle w:val="Bibliography"/>
      </w:pPr>
      <w:r w:rsidRPr="00E06975">
        <w:t xml:space="preserve">Loon, Yee Cheng, and Zhaodong Ken Zhong. 2014. “The Impact of Central Clearing on Counterparty Risk, Liquidity, and Trading: Evidence from the Credit Default Swap Market.” </w:t>
      </w:r>
      <w:r w:rsidRPr="00E06975">
        <w:rPr>
          <w:i/>
          <w:iCs/>
        </w:rPr>
        <w:t>Journal of Financial Economics</w:t>
      </w:r>
      <w:r w:rsidRPr="00E06975">
        <w:t xml:space="preserve"> 112 (1): 91–115. https://doi.org/10.1016/j.jfineco.2013.12.001.</w:t>
      </w:r>
    </w:p>
    <w:p w14:paraId="1F92D097" w14:textId="77777777" w:rsidR="00E06975" w:rsidRPr="00E06975" w:rsidRDefault="00E06975" w:rsidP="00E06975">
      <w:pPr>
        <w:pStyle w:val="Bibliography"/>
      </w:pPr>
      <w:r w:rsidRPr="00E06975">
        <w:t xml:space="preserve">Minton, Bernadette A. 1997. “An Empirical Examination of Basic Valuation Models for Plain Vanilla U.S. Interest Rate Swaps.” </w:t>
      </w:r>
      <w:r w:rsidRPr="00E06975">
        <w:rPr>
          <w:i/>
          <w:iCs/>
        </w:rPr>
        <w:t>Journal of Financial Economics</w:t>
      </w:r>
      <w:r w:rsidRPr="00E06975">
        <w:t xml:space="preserve"> 44 (2): 251–77. https://doi.org/10.1016/S0304-405X(97)00005-6.</w:t>
      </w:r>
    </w:p>
    <w:p w14:paraId="5E58FA5C" w14:textId="77777777" w:rsidR="00E06975" w:rsidRPr="00E06975" w:rsidRDefault="00E06975" w:rsidP="00E06975">
      <w:pPr>
        <w:pStyle w:val="Bibliography"/>
      </w:pPr>
      <w:r w:rsidRPr="00E06975">
        <w:t>Pirrong, Craig. 2011. “The Economics of Central Clearing: Theory and Practice.”</w:t>
      </w:r>
    </w:p>
    <w:p w14:paraId="16897C88" w14:textId="77777777" w:rsidR="00E06975" w:rsidRPr="00E06975" w:rsidRDefault="00E06975" w:rsidP="00E06975">
      <w:pPr>
        <w:pStyle w:val="Bibliography"/>
      </w:pPr>
      <w:r w:rsidRPr="00E06975">
        <w:t xml:space="preserve">Rochet, Jean-Charles, and Jean Tirole. 1996. “Interbank Lending and Systemic Risk.” </w:t>
      </w:r>
      <w:r w:rsidRPr="00E06975">
        <w:rPr>
          <w:i/>
          <w:iCs/>
        </w:rPr>
        <w:t>Journal of Money, Credit and Banking</w:t>
      </w:r>
      <w:r w:rsidRPr="00E06975">
        <w:t xml:space="preserve"> 28 (4): 733–62. https://doi.org/10.2307/2077918.</w:t>
      </w:r>
    </w:p>
    <w:p w14:paraId="337B3078" w14:textId="77777777" w:rsidR="00E06975" w:rsidRPr="00E06975" w:rsidRDefault="00E06975" w:rsidP="00E06975">
      <w:pPr>
        <w:pStyle w:val="Bibliography"/>
      </w:pPr>
      <w:r w:rsidRPr="00E06975">
        <w:t>Skarr, Doug, and Kristin Szakaly-Moore. 2007. “Understanding Interest Rate Swap Math &amp; Pricing.” California Debt and Investment Advisory Commission. https://www.treasurer.ca.gov/cdiac/publications/math.pdf.</w:t>
      </w:r>
    </w:p>
    <w:p w14:paraId="17FF34E0" w14:textId="77777777" w:rsidR="00E06975" w:rsidRPr="00E06975" w:rsidRDefault="00E06975" w:rsidP="00E06975">
      <w:pPr>
        <w:pStyle w:val="Bibliography"/>
      </w:pPr>
      <w:r w:rsidRPr="00E06975">
        <w:t xml:space="preserve">Smith, Clifford W., Charles W. Smithson, and Lee Macdonald Wakeman. 1988. “The Market for Interest Rate Swaps.” </w:t>
      </w:r>
      <w:r w:rsidRPr="00E06975">
        <w:rPr>
          <w:i/>
          <w:iCs/>
        </w:rPr>
        <w:t>Financial Management</w:t>
      </w:r>
      <w:r w:rsidRPr="00E06975">
        <w:t xml:space="preserve"> 17 (4): 34–44. https://doi.org/10.2307/3665765.</w:t>
      </w:r>
    </w:p>
    <w:p w14:paraId="349C4194" w14:textId="77777777" w:rsidR="00E06975" w:rsidRPr="00E06975" w:rsidRDefault="00E06975" w:rsidP="00E06975">
      <w:pPr>
        <w:pStyle w:val="Bibliography"/>
      </w:pPr>
      <w:r w:rsidRPr="00E06975">
        <w:t xml:space="preserve">Sun, Tong-sheng, Suresh Sundaresan, and Ching Wang. 1993. “Interest Rate Swaps: An Empirical Investigation.” </w:t>
      </w:r>
      <w:r w:rsidRPr="00E06975">
        <w:rPr>
          <w:i/>
          <w:iCs/>
        </w:rPr>
        <w:t>Journal of Financial Economics</w:t>
      </w:r>
      <w:r w:rsidRPr="00E06975">
        <w:t xml:space="preserve"> 34 (1): 77–99. https://doi.org/10.1016/0304-405X(93)90041-9.</w:t>
      </w:r>
    </w:p>
    <w:p w14:paraId="6954673C" w14:textId="31EC1DF4" w:rsidR="00B9115F" w:rsidRPr="00AE2A76" w:rsidRDefault="00B9115F" w:rsidP="00AE2A76">
      <w:r>
        <w:fldChar w:fldCharType="end"/>
      </w:r>
    </w:p>
    <w:sectPr w:rsidR="00B9115F" w:rsidRPr="00AE2A7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174CB" w14:textId="77777777" w:rsidR="00AE6CBB" w:rsidRDefault="00AE6CBB" w:rsidP="00633D5C">
      <w:r>
        <w:separator/>
      </w:r>
    </w:p>
  </w:endnote>
  <w:endnote w:type="continuationSeparator" w:id="0">
    <w:p w14:paraId="340FAF69" w14:textId="77777777" w:rsidR="00AE6CBB" w:rsidRDefault="00AE6CBB" w:rsidP="00633D5C">
      <w:r>
        <w:continuationSeparator/>
      </w:r>
    </w:p>
  </w:endnote>
  <w:endnote w:type="continuationNotice" w:id="1">
    <w:p w14:paraId="37F12053" w14:textId="77777777" w:rsidR="00AE6CBB" w:rsidRDefault="00AE6C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Roman">
    <w:altName w:val="Times New Roman"/>
    <w:panose1 w:val="020B0604020202020204"/>
    <w:charset w:val="4D"/>
    <w:family w:val="auto"/>
    <w:notTrueType/>
    <w:pitch w:val="default"/>
    <w:sig w:usb0="00000003" w:usb1="00000000" w:usb2="00000000" w:usb3="00000000" w:csb0="00000001" w:csb1="00000000"/>
  </w:font>
  <w:font w:name="TimesLTStd-Roman">
    <w:altName w:val="Times New Roman"/>
    <w:panose1 w:val="020B0604020202020204"/>
    <w:charset w:val="4D"/>
    <w:family w:val="auto"/>
    <w:notTrueType/>
    <w:pitch w:val="default"/>
    <w:sig w:usb0="00000003" w:usb1="00000000" w:usb2="00000000" w:usb3="00000000" w:csb0="00000001" w:csb1="00000000"/>
  </w:font>
  <w:font w:name="TimesLTStd-Italic">
    <w:altName w:val="Times New Roman"/>
    <w:panose1 w:val="020B0604020202020204"/>
    <w:charset w:val="4D"/>
    <w:family w:val="auto"/>
    <w:notTrueType/>
    <w:pitch w:val="default"/>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1932523"/>
      <w:docPartObj>
        <w:docPartGallery w:val="Page Numbers (Bottom of Page)"/>
        <w:docPartUnique/>
      </w:docPartObj>
    </w:sdtPr>
    <w:sdtEndPr>
      <w:rPr>
        <w:noProof/>
      </w:rPr>
    </w:sdtEndPr>
    <w:sdtContent>
      <w:p w14:paraId="249030D8" w14:textId="7F18118B" w:rsidR="00BB66F3" w:rsidRDefault="00BB66F3">
        <w:pPr>
          <w:pStyle w:val="Footer"/>
          <w:jc w:val="right"/>
        </w:pPr>
        <w:r>
          <w:fldChar w:fldCharType="begin"/>
        </w:r>
        <w:r>
          <w:instrText xml:space="preserve"> PAGE   \* MERGEFORMAT </w:instrText>
        </w:r>
        <w:r>
          <w:fldChar w:fldCharType="separate"/>
        </w:r>
        <w:r w:rsidR="00CB305A">
          <w:rPr>
            <w:noProof/>
          </w:rPr>
          <w:t>4</w:t>
        </w:r>
        <w:r>
          <w:rPr>
            <w:noProof/>
          </w:rPr>
          <w:fldChar w:fldCharType="end"/>
        </w:r>
      </w:p>
    </w:sdtContent>
  </w:sdt>
  <w:p w14:paraId="3CE5F9FE" w14:textId="77777777" w:rsidR="00633D5C" w:rsidRDefault="00633D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9046D" w14:textId="77777777" w:rsidR="00AE6CBB" w:rsidRDefault="00AE6CBB" w:rsidP="00633D5C">
      <w:r>
        <w:separator/>
      </w:r>
    </w:p>
  </w:footnote>
  <w:footnote w:type="continuationSeparator" w:id="0">
    <w:p w14:paraId="7571D562" w14:textId="77777777" w:rsidR="00AE6CBB" w:rsidRDefault="00AE6CBB" w:rsidP="00633D5C">
      <w:r>
        <w:continuationSeparator/>
      </w:r>
    </w:p>
  </w:footnote>
  <w:footnote w:type="continuationNotice" w:id="1">
    <w:p w14:paraId="38EA2235" w14:textId="77777777" w:rsidR="00AE6CBB" w:rsidRDefault="00AE6CBB"/>
  </w:footnote>
  <w:footnote w:id="2">
    <w:p w14:paraId="4FE09119" w14:textId="2D2F1788" w:rsidR="00D41525" w:rsidRDefault="00D41525">
      <w:pPr>
        <w:pStyle w:val="FootnoteText"/>
      </w:pPr>
      <w:r>
        <w:rPr>
          <w:rStyle w:val="FootnoteReference"/>
        </w:rPr>
        <w:footnoteRef/>
      </w:r>
      <w:r>
        <w:t xml:space="preserve"> The principal is “notional” because unlike a real bond it is never exchanged. It is only used to calculate fixed and floating rat payments.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ADC8E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5FE49F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8064B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9840BF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BDE333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76ADA3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A40BF7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788D71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9867A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CFA3A42"/>
    <w:lvl w:ilvl="0">
      <w:start w:val="1"/>
      <w:numFmt w:val="lowerRoman"/>
      <w:lvlText w:val="(%1)"/>
      <w:lvlJc w:val="right"/>
      <w:pPr>
        <w:ind w:left="835" w:hanging="360"/>
      </w:pPr>
      <w:rPr>
        <w:rFonts w:hint="default"/>
      </w:rPr>
    </w:lvl>
  </w:abstractNum>
  <w:abstractNum w:abstractNumId="10" w15:restartNumberingAfterBreak="0">
    <w:nsid w:val="FFFFFF89"/>
    <w:multiLevelType w:val="singleLevel"/>
    <w:tmpl w:val="F0C0AC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40729E"/>
    <w:multiLevelType w:val="hybridMultilevel"/>
    <w:tmpl w:val="B04CE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8E3814"/>
    <w:multiLevelType w:val="multilevel"/>
    <w:tmpl w:val="D4B0DD40"/>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0D1A5A75"/>
    <w:multiLevelType w:val="hybridMultilevel"/>
    <w:tmpl w:val="FA30C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717E1C"/>
    <w:multiLevelType w:val="hybridMultilevel"/>
    <w:tmpl w:val="9E780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761B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5155888"/>
    <w:multiLevelType w:val="hybridMultilevel"/>
    <w:tmpl w:val="608C6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6D7F6C"/>
    <w:multiLevelType w:val="hybridMultilevel"/>
    <w:tmpl w:val="42704DBE"/>
    <w:lvl w:ilvl="0" w:tplc="F5D20E9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691DD2"/>
    <w:multiLevelType w:val="hybridMultilevel"/>
    <w:tmpl w:val="982A1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4426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1D20CBD"/>
    <w:multiLevelType w:val="multilevel"/>
    <w:tmpl w:val="0E4256F6"/>
    <w:styleLink w:val="CurrentList1"/>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32B87511"/>
    <w:multiLevelType w:val="hybridMultilevel"/>
    <w:tmpl w:val="C2328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7642F42"/>
    <w:multiLevelType w:val="hybridMultilevel"/>
    <w:tmpl w:val="51B61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B36D8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3F67049"/>
    <w:multiLevelType w:val="hybridMultilevel"/>
    <w:tmpl w:val="19F2DFCA"/>
    <w:lvl w:ilvl="0" w:tplc="3918BB4E">
      <w:start w:val="1"/>
      <w:numFmt w:val="lowerRoman"/>
      <w:pStyle w:val="ListNumber"/>
      <w:lvlText w:val="(%1)"/>
      <w:lvlJc w:val="left"/>
      <w:pPr>
        <w:tabs>
          <w:tab w:val="num" w:pos="1195"/>
        </w:tabs>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25" w15:restartNumberingAfterBreak="0">
    <w:nsid w:val="45EF2A73"/>
    <w:multiLevelType w:val="multilevel"/>
    <w:tmpl w:val="991C736A"/>
    <w:styleLink w:val="CurrentList3"/>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71E002D"/>
    <w:multiLevelType w:val="hybridMultilevel"/>
    <w:tmpl w:val="EF5C2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601A60"/>
    <w:multiLevelType w:val="hybridMultilevel"/>
    <w:tmpl w:val="D432F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164A40"/>
    <w:multiLevelType w:val="multilevel"/>
    <w:tmpl w:val="95A8E0A2"/>
    <w:styleLink w:val="CurrentList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31F1B9E"/>
    <w:multiLevelType w:val="multilevel"/>
    <w:tmpl w:val="95A8E0A2"/>
    <w:styleLink w:val="CurrentList5"/>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9C05D32"/>
    <w:multiLevelType w:val="hybridMultilevel"/>
    <w:tmpl w:val="D4486B8E"/>
    <w:lvl w:ilvl="0" w:tplc="D4509454">
      <w:start w:val="1"/>
      <w:numFmt w:val="bullet"/>
      <w:pStyle w:val="List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Wingdings"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Wingdings"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Wingdings" w:hint="default"/>
      </w:rPr>
    </w:lvl>
    <w:lvl w:ilvl="8" w:tplc="04090005" w:tentative="1">
      <w:start w:val="1"/>
      <w:numFmt w:val="bullet"/>
      <w:lvlText w:val=""/>
      <w:lvlJc w:val="left"/>
      <w:pPr>
        <w:ind w:left="6883" w:hanging="360"/>
      </w:pPr>
      <w:rPr>
        <w:rFonts w:ascii="Wingdings" w:hAnsi="Wingdings" w:hint="default"/>
      </w:rPr>
    </w:lvl>
  </w:abstractNum>
  <w:abstractNum w:abstractNumId="31" w15:restartNumberingAfterBreak="0">
    <w:nsid w:val="5A3978EB"/>
    <w:multiLevelType w:val="multilevel"/>
    <w:tmpl w:val="0DD2A90E"/>
    <w:lvl w:ilvl="0">
      <w:start w:val="1"/>
      <w:numFmt w:val="lowerRoman"/>
      <w:lvlText w:val="(%1)"/>
      <w:lvlJc w:val="left"/>
      <w:pPr>
        <w:ind w:left="1195" w:hanging="360"/>
      </w:pPr>
      <w:rPr>
        <w:rFonts w:hint="default"/>
      </w:rPr>
    </w:lvl>
    <w:lvl w:ilvl="1">
      <w:start w:val="1"/>
      <w:numFmt w:val="lowerLetter"/>
      <w:lvlText w:val="%2."/>
      <w:lvlJc w:val="left"/>
      <w:pPr>
        <w:ind w:left="1915" w:hanging="360"/>
      </w:pPr>
    </w:lvl>
    <w:lvl w:ilvl="2">
      <w:start w:val="1"/>
      <w:numFmt w:val="lowerRoman"/>
      <w:lvlText w:val="%3."/>
      <w:lvlJc w:val="right"/>
      <w:pPr>
        <w:ind w:left="2635" w:hanging="180"/>
      </w:pPr>
    </w:lvl>
    <w:lvl w:ilvl="3">
      <w:start w:val="1"/>
      <w:numFmt w:val="decimal"/>
      <w:lvlText w:val="%4."/>
      <w:lvlJc w:val="left"/>
      <w:pPr>
        <w:ind w:left="3355" w:hanging="360"/>
      </w:pPr>
    </w:lvl>
    <w:lvl w:ilvl="4">
      <w:start w:val="1"/>
      <w:numFmt w:val="lowerLetter"/>
      <w:lvlText w:val="%5."/>
      <w:lvlJc w:val="left"/>
      <w:pPr>
        <w:ind w:left="4075" w:hanging="360"/>
      </w:pPr>
    </w:lvl>
    <w:lvl w:ilvl="5">
      <w:start w:val="1"/>
      <w:numFmt w:val="lowerRoman"/>
      <w:lvlText w:val="%6."/>
      <w:lvlJc w:val="right"/>
      <w:pPr>
        <w:ind w:left="4795" w:hanging="180"/>
      </w:pPr>
    </w:lvl>
    <w:lvl w:ilvl="6">
      <w:start w:val="1"/>
      <w:numFmt w:val="decimal"/>
      <w:lvlText w:val="%7."/>
      <w:lvlJc w:val="left"/>
      <w:pPr>
        <w:ind w:left="5515" w:hanging="360"/>
      </w:pPr>
    </w:lvl>
    <w:lvl w:ilvl="7">
      <w:start w:val="1"/>
      <w:numFmt w:val="lowerLetter"/>
      <w:lvlText w:val="%8."/>
      <w:lvlJc w:val="left"/>
      <w:pPr>
        <w:ind w:left="6235" w:hanging="360"/>
      </w:pPr>
    </w:lvl>
    <w:lvl w:ilvl="8">
      <w:start w:val="1"/>
      <w:numFmt w:val="lowerRoman"/>
      <w:lvlText w:val="%9."/>
      <w:lvlJc w:val="right"/>
      <w:pPr>
        <w:ind w:left="6955" w:hanging="180"/>
      </w:pPr>
    </w:lvl>
  </w:abstractNum>
  <w:abstractNum w:abstractNumId="32" w15:restartNumberingAfterBreak="0">
    <w:nsid w:val="5A6C3261"/>
    <w:multiLevelType w:val="hybridMultilevel"/>
    <w:tmpl w:val="FDBEE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4245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BB923D1"/>
    <w:multiLevelType w:val="multilevel"/>
    <w:tmpl w:val="67548EC2"/>
    <w:styleLink w:val="CurrentList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5C0B56FF"/>
    <w:multiLevelType w:val="multilevel"/>
    <w:tmpl w:val="0E4256F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AC60E59"/>
    <w:multiLevelType w:val="multilevel"/>
    <w:tmpl w:val="67548EC2"/>
    <w:styleLink w:val="CurrentList7"/>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C054DAC"/>
    <w:multiLevelType w:val="hybridMultilevel"/>
    <w:tmpl w:val="B6AC5DB4"/>
    <w:lvl w:ilvl="0" w:tplc="3A78685A">
      <w:start w:val="1"/>
      <w:numFmt w:val="bullet"/>
      <w:lvlText w:val=""/>
      <w:lvlJc w:val="left"/>
      <w:pPr>
        <w:tabs>
          <w:tab w:val="num" w:pos="202"/>
        </w:tabs>
        <w:ind w:left="202" w:hanging="20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B119D1"/>
    <w:multiLevelType w:val="hybridMultilevel"/>
    <w:tmpl w:val="844CF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040346"/>
    <w:multiLevelType w:val="hybridMultilevel"/>
    <w:tmpl w:val="91E0B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A51389"/>
    <w:multiLevelType w:val="multilevel"/>
    <w:tmpl w:val="95A8E0A2"/>
    <w:styleLink w:val="CurrentList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0"/>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714C450A"/>
    <w:multiLevelType w:val="multilevel"/>
    <w:tmpl w:val="DF2C4EB6"/>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2" w15:restartNumberingAfterBreak="0">
    <w:nsid w:val="7F937E45"/>
    <w:multiLevelType w:val="multilevel"/>
    <w:tmpl w:val="0E4256F6"/>
    <w:styleLink w:val="CurrentList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650257530">
    <w:abstractNumId w:val="12"/>
  </w:num>
  <w:num w:numId="2" w16cid:durableId="707800307">
    <w:abstractNumId w:val="18"/>
  </w:num>
  <w:num w:numId="3" w16cid:durableId="1322077080">
    <w:abstractNumId w:val="32"/>
  </w:num>
  <w:num w:numId="4" w16cid:durableId="1060834225">
    <w:abstractNumId w:val="16"/>
  </w:num>
  <w:num w:numId="5" w16cid:durableId="1677343865">
    <w:abstractNumId w:val="22"/>
  </w:num>
  <w:num w:numId="6" w16cid:durableId="2085032138">
    <w:abstractNumId w:val="27"/>
  </w:num>
  <w:num w:numId="7" w16cid:durableId="1248348664">
    <w:abstractNumId w:val="11"/>
  </w:num>
  <w:num w:numId="8" w16cid:durableId="2079209417">
    <w:abstractNumId w:val="26"/>
  </w:num>
  <w:num w:numId="9" w16cid:durableId="1911109467">
    <w:abstractNumId w:val="38"/>
  </w:num>
  <w:num w:numId="10" w16cid:durableId="832453860">
    <w:abstractNumId w:val="21"/>
  </w:num>
  <w:num w:numId="11" w16cid:durableId="846746752">
    <w:abstractNumId w:val="37"/>
  </w:num>
  <w:num w:numId="12" w16cid:durableId="1805346129">
    <w:abstractNumId w:val="17"/>
  </w:num>
  <w:num w:numId="13" w16cid:durableId="673386096">
    <w:abstractNumId w:val="10"/>
  </w:num>
  <w:num w:numId="14" w16cid:durableId="243103949">
    <w:abstractNumId w:val="7"/>
  </w:num>
  <w:num w:numId="15" w16cid:durableId="827983950">
    <w:abstractNumId w:val="8"/>
  </w:num>
  <w:num w:numId="16" w16cid:durableId="939994219">
    <w:abstractNumId w:val="6"/>
  </w:num>
  <w:num w:numId="17" w16cid:durableId="1332679682">
    <w:abstractNumId w:val="5"/>
  </w:num>
  <w:num w:numId="18" w16cid:durableId="1122920313">
    <w:abstractNumId w:val="4"/>
  </w:num>
  <w:num w:numId="19" w16cid:durableId="1614433970">
    <w:abstractNumId w:val="3"/>
  </w:num>
  <w:num w:numId="20" w16cid:durableId="1082677677">
    <w:abstractNumId w:val="2"/>
  </w:num>
  <w:num w:numId="21" w16cid:durableId="458109386">
    <w:abstractNumId w:val="1"/>
  </w:num>
  <w:num w:numId="22" w16cid:durableId="1363096810">
    <w:abstractNumId w:val="9"/>
  </w:num>
  <w:num w:numId="23" w16cid:durableId="664817250">
    <w:abstractNumId w:val="0"/>
  </w:num>
  <w:num w:numId="24" w16cid:durableId="1460878777">
    <w:abstractNumId w:val="33"/>
  </w:num>
  <w:num w:numId="25" w16cid:durableId="640575445">
    <w:abstractNumId w:val="19"/>
  </w:num>
  <w:num w:numId="26" w16cid:durableId="906114339">
    <w:abstractNumId w:val="23"/>
  </w:num>
  <w:num w:numId="27" w16cid:durableId="792283900">
    <w:abstractNumId w:val="30"/>
  </w:num>
  <w:num w:numId="28" w16cid:durableId="1811096657">
    <w:abstractNumId w:val="24"/>
  </w:num>
  <w:num w:numId="29" w16cid:durableId="1874683835">
    <w:abstractNumId w:val="15"/>
  </w:num>
  <w:num w:numId="30" w16cid:durableId="958071259">
    <w:abstractNumId w:val="31"/>
  </w:num>
  <w:num w:numId="31" w16cid:durableId="484783320">
    <w:abstractNumId w:val="13"/>
  </w:num>
  <w:num w:numId="32" w16cid:durableId="2087652039">
    <w:abstractNumId w:val="14"/>
  </w:num>
  <w:num w:numId="33" w16cid:durableId="952904288">
    <w:abstractNumId w:val="39"/>
  </w:num>
  <w:num w:numId="34" w16cid:durableId="875972154">
    <w:abstractNumId w:val="35"/>
  </w:num>
  <w:num w:numId="35" w16cid:durableId="1505244892">
    <w:abstractNumId w:val="20"/>
  </w:num>
  <w:num w:numId="36" w16cid:durableId="2020421305">
    <w:abstractNumId w:val="42"/>
  </w:num>
  <w:num w:numId="37" w16cid:durableId="719131364">
    <w:abstractNumId w:val="25"/>
  </w:num>
  <w:num w:numId="38" w16cid:durableId="684021213">
    <w:abstractNumId w:val="40"/>
  </w:num>
  <w:num w:numId="39" w16cid:durableId="1033916744">
    <w:abstractNumId w:val="41"/>
  </w:num>
  <w:num w:numId="40" w16cid:durableId="775759245">
    <w:abstractNumId w:val="29"/>
  </w:num>
  <w:num w:numId="41" w16cid:durableId="783571490">
    <w:abstractNumId w:val="28"/>
  </w:num>
  <w:num w:numId="42" w16cid:durableId="1242183747">
    <w:abstractNumId w:val="41"/>
  </w:num>
  <w:num w:numId="43" w16cid:durableId="555774281">
    <w:abstractNumId w:val="36"/>
  </w:num>
  <w:num w:numId="44" w16cid:durableId="115167618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1"/>
  <w:proofState w:spelling="clean" w:grammar="clean"/>
  <w:attachedTemplate r:id="rId1"/>
  <w:linkStyle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132"/>
    <w:rsid w:val="00003C90"/>
    <w:rsid w:val="00012529"/>
    <w:rsid w:val="00016AE6"/>
    <w:rsid w:val="000212F8"/>
    <w:rsid w:val="00022852"/>
    <w:rsid w:val="00025AA4"/>
    <w:rsid w:val="00031822"/>
    <w:rsid w:val="00033177"/>
    <w:rsid w:val="00034DC8"/>
    <w:rsid w:val="00035E4A"/>
    <w:rsid w:val="00042905"/>
    <w:rsid w:val="0004387C"/>
    <w:rsid w:val="00044125"/>
    <w:rsid w:val="00046423"/>
    <w:rsid w:val="000510E8"/>
    <w:rsid w:val="00053C4A"/>
    <w:rsid w:val="00057A12"/>
    <w:rsid w:val="000614F4"/>
    <w:rsid w:val="00061729"/>
    <w:rsid w:val="0006794D"/>
    <w:rsid w:val="000712B2"/>
    <w:rsid w:val="000761CF"/>
    <w:rsid w:val="00077879"/>
    <w:rsid w:val="0008027D"/>
    <w:rsid w:val="0008096F"/>
    <w:rsid w:val="000816B7"/>
    <w:rsid w:val="000939CA"/>
    <w:rsid w:val="00096D58"/>
    <w:rsid w:val="0009785E"/>
    <w:rsid w:val="000A41CF"/>
    <w:rsid w:val="000A5607"/>
    <w:rsid w:val="000A7150"/>
    <w:rsid w:val="000A7FDC"/>
    <w:rsid w:val="000B5142"/>
    <w:rsid w:val="000B7B5D"/>
    <w:rsid w:val="000C07B7"/>
    <w:rsid w:val="000C5086"/>
    <w:rsid w:val="000C584E"/>
    <w:rsid w:val="000C76FB"/>
    <w:rsid w:val="000D2256"/>
    <w:rsid w:val="000D4B1B"/>
    <w:rsid w:val="000D7CEC"/>
    <w:rsid w:val="000E2133"/>
    <w:rsid w:val="000E6933"/>
    <w:rsid w:val="000F0F21"/>
    <w:rsid w:val="000F28B2"/>
    <w:rsid w:val="0010299E"/>
    <w:rsid w:val="001124E1"/>
    <w:rsid w:val="0011666A"/>
    <w:rsid w:val="001234EE"/>
    <w:rsid w:val="0012752B"/>
    <w:rsid w:val="001317B0"/>
    <w:rsid w:val="001319F2"/>
    <w:rsid w:val="00131FCD"/>
    <w:rsid w:val="00143C59"/>
    <w:rsid w:val="00147694"/>
    <w:rsid w:val="00161437"/>
    <w:rsid w:val="0016169B"/>
    <w:rsid w:val="00164132"/>
    <w:rsid w:val="001655FC"/>
    <w:rsid w:val="00166D41"/>
    <w:rsid w:val="00170083"/>
    <w:rsid w:val="00180890"/>
    <w:rsid w:val="00184052"/>
    <w:rsid w:val="00191190"/>
    <w:rsid w:val="00191C9A"/>
    <w:rsid w:val="00194EB9"/>
    <w:rsid w:val="001A25AE"/>
    <w:rsid w:val="001A7F55"/>
    <w:rsid w:val="001B775F"/>
    <w:rsid w:val="001C1D1C"/>
    <w:rsid w:val="001C24F9"/>
    <w:rsid w:val="001C74A9"/>
    <w:rsid w:val="001D3062"/>
    <w:rsid w:val="001D57E1"/>
    <w:rsid w:val="001F4D2E"/>
    <w:rsid w:val="001F696E"/>
    <w:rsid w:val="001F7299"/>
    <w:rsid w:val="00200D6D"/>
    <w:rsid w:val="002112FE"/>
    <w:rsid w:val="002172B6"/>
    <w:rsid w:val="00220BDA"/>
    <w:rsid w:val="00220F82"/>
    <w:rsid w:val="00232831"/>
    <w:rsid w:val="00233C90"/>
    <w:rsid w:val="002343F4"/>
    <w:rsid w:val="00234D83"/>
    <w:rsid w:val="00243E6E"/>
    <w:rsid w:val="00246F90"/>
    <w:rsid w:val="0025043C"/>
    <w:rsid w:val="00265F4A"/>
    <w:rsid w:val="002718B1"/>
    <w:rsid w:val="0027378C"/>
    <w:rsid w:val="00275B46"/>
    <w:rsid w:val="0028086E"/>
    <w:rsid w:val="00284488"/>
    <w:rsid w:val="002853F0"/>
    <w:rsid w:val="00286E2A"/>
    <w:rsid w:val="00290667"/>
    <w:rsid w:val="00290E18"/>
    <w:rsid w:val="00293578"/>
    <w:rsid w:val="002938B2"/>
    <w:rsid w:val="002A688F"/>
    <w:rsid w:val="002B03E9"/>
    <w:rsid w:val="002B63F1"/>
    <w:rsid w:val="002C58F6"/>
    <w:rsid w:val="002C726E"/>
    <w:rsid w:val="002D4411"/>
    <w:rsid w:val="002D4CD7"/>
    <w:rsid w:val="002E0CE1"/>
    <w:rsid w:val="002F3376"/>
    <w:rsid w:val="002F4ED0"/>
    <w:rsid w:val="002F6C5B"/>
    <w:rsid w:val="00301A1C"/>
    <w:rsid w:val="00305FCA"/>
    <w:rsid w:val="0031486E"/>
    <w:rsid w:val="00320206"/>
    <w:rsid w:val="0032163A"/>
    <w:rsid w:val="003314C1"/>
    <w:rsid w:val="00336313"/>
    <w:rsid w:val="0033757F"/>
    <w:rsid w:val="0034098A"/>
    <w:rsid w:val="003439E1"/>
    <w:rsid w:val="00343A08"/>
    <w:rsid w:val="003520EC"/>
    <w:rsid w:val="00357E12"/>
    <w:rsid w:val="00362ED7"/>
    <w:rsid w:val="00366CA0"/>
    <w:rsid w:val="0037689C"/>
    <w:rsid w:val="00377D40"/>
    <w:rsid w:val="00380D21"/>
    <w:rsid w:val="00381A4D"/>
    <w:rsid w:val="0038485E"/>
    <w:rsid w:val="00387B98"/>
    <w:rsid w:val="0039332A"/>
    <w:rsid w:val="003936A2"/>
    <w:rsid w:val="0039392E"/>
    <w:rsid w:val="0039580A"/>
    <w:rsid w:val="003A69DC"/>
    <w:rsid w:val="003B1077"/>
    <w:rsid w:val="003B16CA"/>
    <w:rsid w:val="003B1DFC"/>
    <w:rsid w:val="003C3888"/>
    <w:rsid w:val="003E0920"/>
    <w:rsid w:val="003E203E"/>
    <w:rsid w:val="003F0654"/>
    <w:rsid w:val="003F1AD8"/>
    <w:rsid w:val="003F2A46"/>
    <w:rsid w:val="003F3D33"/>
    <w:rsid w:val="003F7B5B"/>
    <w:rsid w:val="00404DC7"/>
    <w:rsid w:val="004050F2"/>
    <w:rsid w:val="00405D84"/>
    <w:rsid w:val="0040630A"/>
    <w:rsid w:val="00417DAA"/>
    <w:rsid w:val="00434FFE"/>
    <w:rsid w:val="00435E0C"/>
    <w:rsid w:val="00440DF6"/>
    <w:rsid w:val="00440E83"/>
    <w:rsid w:val="00441C17"/>
    <w:rsid w:val="00445059"/>
    <w:rsid w:val="00446E24"/>
    <w:rsid w:val="0044741C"/>
    <w:rsid w:val="004521B3"/>
    <w:rsid w:val="00455F39"/>
    <w:rsid w:val="004567C0"/>
    <w:rsid w:val="00456AFB"/>
    <w:rsid w:val="0047037D"/>
    <w:rsid w:val="00470CAE"/>
    <w:rsid w:val="00475EE6"/>
    <w:rsid w:val="00476D32"/>
    <w:rsid w:val="004776E9"/>
    <w:rsid w:val="00482903"/>
    <w:rsid w:val="00487EF1"/>
    <w:rsid w:val="00492449"/>
    <w:rsid w:val="004A2BFC"/>
    <w:rsid w:val="004B2BEF"/>
    <w:rsid w:val="004C093C"/>
    <w:rsid w:val="004C1AD0"/>
    <w:rsid w:val="004D2D2D"/>
    <w:rsid w:val="004D458D"/>
    <w:rsid w:val="004E5AEE"/>
    <w:rsid w:val="004F0BE2"/>
    <w:rsid w:val="004F43A3"/>
    <w:rsid w:val="00502B0A"/>
    <w:rsid w:val="00506DDF"/>
    <w:rsid w:val="00525BB3"/>
    <w:rsid w:val="00531890"/>
    <w:rsid w:val="005356E2"/>
    <w:rsid w:val="005364E5"/>
    <w:rsid w:val="00537BC1"/>
    <w:rsid w:val="00540C73"/>
    <w:rsid w:val="00540DEF"/>
    <w:rsid w:val="00544B00"/>
    <w:rsid w:val="00550DA4"/>
    <w:rsid w:val="00552C5E"/>
    <w:rsid w:val="005534B7"/>
    <w:rsid w:val="0056306A"/>
    <w:rsid w:val="005651C7"/>
    <w:rsid w:val="00566732"/>
    <w:rsid w:val="00571695"/>
    <w:rsid w:val="005744E9"/>
    <w:rsid w:val="00575523"/>
    <w:rsid w:val="00577089"/>
    <w:rsid w:val="0057724B"/>
    <w:rsid w:val="005812DC"/>
    <w:rsid w:val="00581A36"/>
    <w:rsid w:val="00586A9D"/>
    <w:rsid w:val="00593184"/>
    <w:rsid w:val="005A0C96"/>
    <w:rsid w:val="005A5A35"/>
    <w:rsid w:val="005A6ADC"/>
    <w:rsid w:val="005A7D26"/>
    <w:rsid w:val="005A7F47"/>
    <w:rsid w:val="005B2B99"/>
    <w:rsid w:val="005B5046"/>
    <w:rsid w:val="005C11C0"/>
    <w:rsid w:val="005D0AA8"/>
    <w:rsid w:val="005D43C4"/>
    <w:rsid w:val="005E0C46"/>
    <w:rsid w:val="005F14CA"/>
    <w:rsid w:val="005F327C"/>
    <w:rsid w:val="005F6B4A"/>
    <w:rsid w:val="005F746F"/>
    <w:rsid w:val="0060706F"/>
    <w:rsid w:val="00607456"/>
    <w:rsid w:val="00622956"/>
    <w:rsid w:val="00625ECF"/>
    <w:rsid w:val="00627579"/>
    <w:rsid w:val="00633D5C"/>
    <w:rsid w:val="0063560A"/>
    <w:rsid w:val="0063608A"/>
    <w:rsid w:val="00640DD5"/>
    <w:rsid w:val="00644114"/>
    <w:rsid w:val="006450BA"/>
    <w:rsid w:val="00655B55"/>
    <w:rsid w:val="00671C67"/>
    <w:rsid w:val="006722D1"/>
    <w:rsid w:val="006738CB"/>
    <w:rsid w:val="00674BB7"/>
    <w:rsid w:val="006875A1"/>
    <w:rsid w:val="006922D3"/>
    <w:rsid w:val="0069541B"/>
    <w:rsid w:val="006A2C0D"/>
    <w:rsid w:val="006A345A"/>
    <w:rsid w:val="006A6918"/>
    <w:rsid w:val="006B6124"/>
    <w:rsid w:val="006C0D52"/>
    <w:rsid w:val="006C1963"/>
    <w:rsid w:val="006C395A"/>
    <w:rsid w:val="006D47F1"/>
    <w:rsid w:val="006E06F9"/>
    <w:rsid w:val="006E44BE"/>
    <w:rsid w:val="006F1F0C"/>
    <w:rsid w:val="00700348"/>
    <w:rsid w:val="00700AF9"/>
    <w:rsid w:val="0070689F"/>
    <w:rsid w:val="00715923"/>
    <w:rsid w:val="0072700E"/>
    <w:rsid w:val="00733F0D"/>
    <w:rsid w:val="00747315"/>
    <w:rsid w:val="007475B0"/>
    <w:rsid w:val="0075597E"/>
    <w:rsid w:val="00755BED"/>
    <w:rsid w:val="0076305C"/>
    <w:rsid w:val="007721E7"/>
    <w:rsid w:val="00781C1A"/>
    <w:rsid w:val="00781E75"/>
    <w:rsid w:val="00782C1A"/>
    <w:rsid w:val="007A0DBE"/>
    <w:rsid w:val="007A4E27"/>
    <w:rsid w:val="007B2C40"/>
    <w:rsid w:val="007B359F"/>
    <w:rsid w:val="007C0619"/>
    <w:rsid w:val="007C099B"/>
    <w:rsid w:val="007C0BF5"/>
    <w:rsid w:val="007D359F"/>
    <w:rsid w:val="007E1203"/>
    <w:rsid w:val="007E2F87"/>
    <w:rsid w:val="007E3CB7"/>
    <w:rsid w:val="007E6044"/>
    <w:rsid w:val="007E64B2"/>
    <w:rsid w:val="007E6980"/>
    <w:rsid w:val="007F2238"/>
    <w:rsid w:val="007F6DDE"/>
    <w:rsid w:val="00804046"/>
    <w:rsid w:val="008057C4"/>
    <w:rsid w:val="00810636"/>
    <w:rsid w:val="008138CB"/>
    <w:rsid w:val="00820E82"/>
    <w:rsid w:val="00821AC5"/>
    <w:rsid w:val="00826DDA"/>
    <w:rsid w:val="00827924"/>
    <w:rsid w:val="008335A2"/>
    <w:rsid w:val="00834DE5"/>
    <w:rsid w:val="00836236"/>
    <w:rsid w:val="00841768"/>
    <w:rsid w:val="0085075E"/>
    <w:rsid w:val="0086025D"/>
    <w:rsid w:val="008640B2"/>
    <w:rsid w:val="0086454B"/>
    <w:rsid w:val="00864A3C"/>
    <w:rsid w:val="0086750E"/>
    <w:rsid w:val="00876F18"/>
    <w:rsid w:val="00877DDF"/>
    <w:rsid w:val="00882716"/>
    <w:rsid w:val="0088504F"/>
    <w:rsid w:val="0089167A"/>
    <w:rsid w:val="00892B9D"/>
    <w:rsid w:val="0089422D"/>
    <w:rsid w:val="00896370"/>
    <w:rsid w:val="00896FE8"/>
    <w:rsid w:val="008A0C37"/>
    <w:rsid w:val="008A0DFD"/>
    <w:rsid w:val="008A1B3C"/>
    <w:rsid w:val="008A5DF5"/>
    <w:rsid w:val="008A6B76"/>
    <w:rsid w:val="008A79F1"/>
    <w:rsid w:val="008B5A3B"/>
    <w:rsid w:val="008B7733"/>
    <w:rsid w:val="008C2ACA"/>
    <w:rsid w:val="008C32AF"/>
    <w:rsid w:val="008C6991"/>
    <w:rsid w:val="008C6CD4"/>
    <w:rsid w:val="008D1C73"/>
    <w:rsid w:val="008D236B"/>
    <w:rsid w:val="008D236F"/>
    <w:rsid w:val="008D5647"/>
    <w:rsid w:val="008E3043"/>
    <w:rsid w:val="008E38DA"/>
    <w:rsid w:val="008E6500"/>
    <w:rsid w:val="008F2992"/>
    <w:rsid w:val="008F79E0"/>
    <w:rsid w:val="008F7BF3"/>
    <w:rsid w:val="00905428"/>
    <w:rsid w:val="00914E91"/>
    <w:rsid w:val="009150D9"/>
    <w:rsid w:val="0092248B"/>
    <w:rsid w:val="00935B7D"/>
    <w:rsid w:val="00935E65"/>
    <w:rsid w:val="00936FB0"/>
    <w:rsid w:val="009373A0"/>
    <w:rsid w:val="00941B60"/>
    <w:rsid w:val="0095406B"/>
    <w:rsid w:val="009561B4"/>
    <w:rsid w:val="00956D41"/>
    <w:rsid w:val="00962018"/>
    <w:rsid w:val="00965D68"/>
    <w:rsid w:val="00973581"/>
    <w:rsid w:val="00974463"/>
    <w:rsid w:val="00981DE6"/>
    <w:rsid w:val="00981EFF"/>
    <w:rsid w:val="00991610"/>
    <w:rsid w:val="009A69FA"/>
    <w:rsid w:val="009A7D6A"/>
    <w:rsid w:val="009B1EFD"/>
    <w:rsid w:val="009B3B11"/>
    <w:rsid w:val="009C0453"/>
    <w:rsid w:val="009C1462"/>
    <w:rsid w:val="009C4761"/>
    <w:rsid w:val="009C4BAC"/>
    <w:rsid w:val="009C7A56"/>
    <w:rsid w:val="009F06E5"/>
    <w:rsid w:val="009F1DA7"/>
    <w:rsid w:val="009F7AFA"/>
    <w:rsid w:val="009F7D7F"/>
    <w:rsid w:val="00A000EF"/>
    <w:rsid w:val="00A03CBF"/>
    <w:rsid w:val="00A04EBB"/>
    <w:rsid w:val="00A05111"/>
    <w:rsid w:val="00A219EC"/>
    <w:rsid w:val="00A21F7B"/>
    <w:rsid w:val="00A271B6"/>
    <w:rsid w:val="00A41FF7"/>
    <w:rsid w:val="00A4495A"/>
    <w:rsid w:val="00A53B21"/>
    <w:rsid w:val="00A64960"/>
    <w:rsid w:val="00A66524"/>
    <w:rsid w:val="00A669F6"/>
    <w:rsid w:val="00A73855"/>
    <w:rsid w:val="00A74B49"/>
    <w:rsid w:val="00A81AE5"/>
    <w:rsid w:val="00A8236C"/>
    <w:rsid w:val="00A8682C"/>
    <w:rsid w:val="00A930AB"/>
    <w:rsid w:val="00A96B98"/>
    <w:rsid w:val="00AA193A"/>
    <w:rsid w:val="00AA1B8E"/>
    <w:rsid w:val="00AA454A"/>
    <w:rsid w:val="00AA4B78"/>
    <w:rsid w:val="00AA5AFB"/>
    <w:rsid w:val="00AA717C"/>
    <w:rsid w:val="00AB12F9"/>
    <w:rsid w:val="00AB346F"/>
    <w:rsid w:val="00AB38FA"/>
    <w:rsid w:val="00AB5DFD"/>
    <w:rsid w:val="00AB7061"/>
    <w:rsid w:val="00AC06CC"/>
    <w:rsid w:val="00AE15AA"/>
    <w:rsid w:val="00AE2A76"/>
    <w:rsid w:val="00AE5664"/>
    <w:rsid w:val="00AE5AFF"/>
    <w:rsid w:val="00AE6CBB"/>
    <w:rsid w:val="00AF1FA3"/>
    <w:rsid w:val="00AF63FA"/>
    <w:rsid w:val="00B002D8"/>
    <w:rsid w:val="00B0289A"/>
    <w:rsid w:val="00B1262B"/>
    <w:rsid w:val="00B13BAB"/>
    <w:rsid w:val="00B15828"/>
    <w:rsid w:val="00B30913"/>
    <w:rsid w:val="00B3359E"/>
    <w:rsid w:val="00B36827"/>
    <w:rsid w:val="00B44C24"/>
    <w:rsid w:val="00B54FB7"/>
    <w:rsid w:val="00B75FC5"/>
    <w:rsid w:val="00B83199"/>
    <w:rsid w:val="00B837CA"/>
    <w:rsid w:val="00B86FA9"/>
    <w:rsid w:val="00B9115F"/>
    <w:rsid w:val="00B91280"/>
    <w:rsid w:val="00B92576"/>
    <w:rsid w:val="00B92B7B"/>
    <w:rsid w:val="00B93079"/>
    <w:rsid w:val="00B9520A"/>
    <w:rsid w:val="00BA0B5F"/>
    <w:rsid w:val="00BA0BB3"/>
    <w:rsid w:val="00BA72D6"/>
    <w:rsid w:val="00BB0ACE"/>
    <w:rsid w:val="00BB66F3"/>
    <w:rsid w:val="00BC008A"/>
    <w:rsid w:val="00BC5B75"/>
    <w:rsid w:val="00BD12A4"/>
    <w:rsid w:val="00BD52BB"/>
    <w:rsid w:val="00BE1A00"/>
    <w:rsid w:val="00BF22F0"/>
    <w:rsid w:val="00BF5982"/>
    <w:rsid w:val="00BF6365"/>
    <w:rsid w:val="00BF72AE"/>
    <w:rsid w:val="00C06844"/>
    <w:rsid w:val="00C106ED"/>
    <w:rsid w:val="00C142C4"/>
    <w:rsid w:val="00C16C25"/>
    <w:rsid w:val="00C20541"/>
    <w:rsid w:val="00C223E8"/>
    <w:rsid w:val="00C2255E"/>
    <w:rsid w:val="00C3286E"/>
    <w:rsid w:val="00C32ED2"/>
    <w:rsid w:val="00C363CC"/>
    <w:rsid w:val="00C36726"/>
    <w:rsid w:val="00C45CCE"/>
    <w:rsid w:val="00C519BF"/>
    <w:rsid w:val="00C527DB"/>
    <w:rsid w:val="00C538FA"/>
    <w:rsid w:val="00C54B5B"/>
    <w:rsid w:val="00C57E03"/>
    <w:rsid w:val="00C61057"/>
    <w:rsid w:val="00C63A02"/>
    <w:rsid w:val="00C64F72"/>
    <w:rsid w:val="00C651D2"/>
    <w:rsid w:val="00C66CC2"/>
    <w:rsid w:val="00C74168"/>
    <w:rsid w:val="00C758C6"/>
    <w:rsid w:val="00C87249"/>
    <w:rsid w:val="00C90716"/>
    <w:rsid w:val="00C94F24"/>
    <w:rsid w:val="00CA40C2"/>
    <w:rsid w:val="00CB029B"/>
    <w:rsid w:val="00CB305A"/>
    <w:rsid w:val="00CB5D71"/>
    <w:rsid w:val="00CC1AF2"/>
    <w:rsid w:val="00CC29A8"/>
    <w:rsid w:val="00CC31E9"/>
    <w:rsid w:val="00CC46F2"/>
    <w:rsid w:val="00CC69F0"/>
    <w:rsid w:val="00CD17A1"/>
    <w:rsid w:val="00CD1B3E"/>
    <w:rsid w:val="00CD4470"/>
    <w:rsid w:val="00CD5006"/>
    <w:rsid w:val="00CE10FD"/>
    <w:rsid w:val="00CF1F18"/>
    <w:rsid w:val="00D024F1"/>
    <w:rsid w:val="00D14F43"/>
    <w:rsid w:val="00D200EE"/>
    <w:rsid w:val="00D23019"/>
    <w:rsid w:val="00D34404"/>
    <w:rsid w:val="00D41237"/>
    <w:rsid w:val="00D41525"/>
    <w:rsid w:val="00D4375C"/>
    <w:rsid w:val="00D459AC"/>
    <w:rsid w:val="00D5154E"/>
    <w:rsid w:val="00D52B48"/>
    <w:rsid w:val="00D643C8"/>
    <w:rsid w:val="00D645CF"/>
    <w:rsid w:val="00D8044D"/>
    <w:rsid w:val="00D9234D"/>
    <w:rsid w:val="00DA4FC3"/>
    <w:rsid w:val="00DB01F2"/>
    <w:rsid w:val="00DB74D5"/>
    <w:rsid w:val="00DC2E73"/>
    <w:rsid w:val="00DC42EB"/>
    <w:rsid w:val="00DC7AD2"/>
    <w:rsid w:val="00DE43A2"/>
    <w:rsid w:val="00DE61E9"/>
    <w:rsid w:val="00DE6F94"/>
    <w:rsid w:val="00DE705F"/>
    <w:rsid w:val="00DF452F"/>
    <w:rsid w:val="00DF4848"/>
    <w:rsid w:val="00DF6C13"/>
    <w:rsid w:val="00DF7A69"/>
    <w:rsid w:val="00E02555"/>
    <w:rsid w:val="00E051B0"/>
    <w:rsid w:val="00E06975"/>
    <w:rsid w:val="00E106E8"/>
    <w:rsid w:val="00E214A1"/>
    <w:rsid w:val="00E31AF6"/>
    <w:rsid w:val="00E402EC"/>
    <w:rsid w:val="00E41AF8"/>
    <w:rsid w:val="00E460D7"/>
    <w:rsid w:val="00E52B02"/>
    <w:rsid w:val="00E5597A"/>
    <w:rsid w:val="00E56F5E"/>
    <w:rsid w:val="00E639B5"/>
    <w:rsid w:val="00E6619F"/>
    <w:rsid w:val="00E66D23"/>
    <w:rsid w:val="00E670C0"/>
    <w:rsid w:val="00E70534"/>
    <w:rsid w:val="00E819EF"/>
    <w:rsid w:val="00E84521"/>
    <w:rsid w:val="00E95A6F"/>
    <w:rsid w:val="00EA0CB2"/>
    <w:rsid w:val="00EA1749"/>
    <w:rsid w:val="00EB004A"/>
    <w:rsid w:val="00EB1407"/>
    <w:rsid w:val="00EB53A2"/>
    <w:rsid w:val="00EB5A7B"/>
    <w:rsid w:val="00EB7DDA"/>
    <w:rsid w:val="00EC01D7"/>
    <w:rsid w:val="00EC3464"/>
    <w:rsid w:val="00EC5C21"/>
    <w:rsid w:val="00EC78C0"/>
    <w:rsid w:val="00ED10A4"/>
    <w:rsid w:val="00ED4D27"/>
    <w:rsid w:val="00EF140B"/>
    <w:rsid w:val="00EF2D93"/>
    <w:rsid w:val="00EF6757"/>
    <w:rsid w:val="00EF7BA6"/>
    <w:rsid w:val="00F025F8"/>
    <w:rsid w:val="00F040B1"/>
    <w:rsid w:val="00F05299"/>
    <w:rsid w:val="00F15E32"/>
    <w:rsid w:val="00F249AA"/>
    <w:rsid w:val="00F27E22"/>
    <w:rsid w:val="00F31111"/>
    <w:rsid w:val="00F458EF"/>
    <w:rsid w:val="00F57F30"/>
    <w:rsid w:val="00F6394F"/>
    <w:rsid w:val="00F71C54"/>
    <w:rsid w:val="00F872C2"/>
    <w:rsid w:val="00FA753D"/>
    <w:rsid w:val="00FB01B7"/>
    <w:rsid w:val="00FB04CE"/>
    <w:rsid w:val="00FC644E"/>
    <w:rsid w:val="00FD4074"/>
    <w:rsid w:val="00FD62E9"/>
    <w:rsid w:val="00FD79B0"/>
    <w:rsid w:val="00FE7E8B"/>
    <w:rsid w:val="00FF05D9"/>
    <w:rsid w:val="00FF16CD"/>
    <w:rsid w:val="00FF211F"/>
    <w:rsid w:val="00FF40CE"/>
    <w:rsid w:val="72976F1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76F3"/>
  <w15:chartTrackingRefBased/>
  <w15:docId w15:val="{10921CB5-410F-416C-825C-8BBE7F479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bn-BD"/>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695"/>
    <w:pPr>
      <w:spacing w:line="360" w:lineRule="auto"/>
      <w:ind w:firstLine="202"/>
      <w:jc w:val="both"/>
    </w:pPr>
    <w:rPr>
      <w:rFonts w:ascii="Times New Roman" w:eastAsia="Calisto MT" w:hAnsi="Times New Roman"/>
      <w:sz w:val="24"/>
      <w:szCs w:val="24"/>
      <w:lang w:bidi="ar-SA"/>
    </w:rPr>
  </w:style>
  <w:style w:type="paragraph" w:styleId="Heading1">
    <w:name w:val="heading 1"/>
    <w:next w:val="Normal"/>
    <w:link w:val="Heading1Char"/>
    <w:qFormat/>
    <w:rsid w:val="00571695"/>
    <w:pPr>
      <w:keepNext/>
      <w:keepLines/>
      <w:spacing w:before="260" w:after="260" w:line="360" w:lineRule="auto"/>
      <w:contextualSpacing/>
      <w:jc w:val="center"/>
      <w:outlineLvl w:val="0"/>
    </w:pPr>
    <w:rPr>
      <w:rFonts w:ascii="Times New Roman" w:eastAsia="Times New Roman" w:hAnsi="Times New Roman"/>
      <w:b/>
      <w:bCs/>
      <w:color w:val="000000"/>
      <w:sz w:val="24"/>
      <w:szCs w:val="32"/>
      <w:lang w:bidi="ar-SA"/>
    </w:rPr>
  </w:style>
  <w:style w:type="paragraph" w:styleId="Heading2">
    <w:name w:val="heading 2"/>
    <w:next w:val="Normal"/>
    <w:link w:val="Heading2Char"/>
    <w:qFormat/>
    <w:rsid w:val="00571695"/>
    <w:pPr>
      <w:keepNext/>
      <w:keepLines/>
      <w:spacing w:before="260" w:after="260" w:line="360" w:lineRule="auto"/>
      <w:contextualSpacing/>
      <w:jc w:val="center"/>
      <w:outlineLvl w:val="1"/>
    </w:pPr>
    <w:rPr>
      <w:rFonts w:ascii="Times New Roman" w:eastAsia="Times New Roman" w:hAnsi="Times New Roman"/>
      <w:bCs/>
      <w:i/>
      <w:color w:val="000000"/>
      <w:sz w:val="24"/>
      <w:szCs w:val="26"/>
      <w:lang w:bidi="ar-SA"/>
    </w:rPr>
  </w:style>
  <w:style w:type="paragraph" w:styleId="Heading3">
    <w:name w:val="heading 3"/>
    <w:basedOn w:val="Normal"/>
    <w:next w:val="Normal"/>
    <w:link w:val="Heading3Char"/>
    <w:qFormat/>
    <w:rsid w:val="00571695"/>
    <w:pPr>
      <w:spacing w:before="260"/>
      <w:ind w:firstLine="0"/>
      <w:outlineLvl w:val="2"/>
    </w:pPr>
    <w:rPr>
      <w:rFonts w:eastAsia="Times New Roman"/>
      <w:bCs/>
    </w:rPr>
  </w:style>
  <w:style w:type="paragraph" w:styleId="Heading4">
    <w:name w:val="heading 4"/>
    <w:basedOn w:val="Normal"/>
    <w:next w:val="Normal"/>
    <w:link w:val="Heading4Char"/>
    <w:qFormat/>
    <w:rsid w:val="00571695"/>
    <w:pPr>
      <w:spacing w:before="260"/>
      <w:ind w:firstLine="0"/>
      <w:outlineLvl w:val="3"/>
    </w:pPr>
    <w:rPr>
      <w:rFonts w:eastAsia="Times New Roman"/>
      <w:bCs/>
      <w:iCs/>
    </w:rPr>
  </w:style>
  <w:style w:type="paragraph" w:styleId="Heading5">
    <w:name w:val="heading 5"/>
    <w:basedOn w:val="Normal"/>
    <w:next w:val="Normal"/>
    <w:link w:val="Heading5Char"/>
    <w:uiPriority w:val="9"/>
    <w:semiHidden/>
    <w:unhideWhenUsed/>
    <w:qFormat/>
    <w:rsid w:val="00AA717C"/>
    <w:pPr>
      <w:numPr>
        <w:ilvl w:val="4"/>
        <w:numId w:val="39"/>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AA717C"/>
    <w:pPr>
      <w:numPr>
        <w:ilvl w:val="5"/>
        <w:numId w:val="39"/>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A717C"/>
    <w:pPr>
      <w:numPr>
        <w:ilvl w:val="6"/>
        <w:numId w:val="39"/>
      </w:numPr>
      <w:spacing w:before="240" w:after="60"/>
      <w:outlineLvl w:val="6"/>
    </w:pPr>
  </w:style>
  <w:style w:type="paragraph" w:styleId="Heading8">
    <w:name w:val="heading 8"/>
    <w:basedOn w:val="Normal"/>
    <w:next w:val="Normal"/>
    <w:link w:val="Heading8Char"/>
    <w:uiPriority w:val="9"/>
    <w:semiHidden/>
    <w:unhideWhenUsed/>
    <w:qFormat/>
    <w:rsid w:val="00AA717C"/>
    <w:pPr>
      <w:numPr>
        <w:ilvl w:val="7"/>
        <w:numId w:val="39"/>
      </w:numPr>
      <w:spacing w:before="240" w:after="60"/>
      <w:outlineLvl w:val="7"/>
    </w:pPr>
    <w:rPr>
      <w:i/>
      <w:iCs/>
    </w:rPr>
  </w:style>
  <w:style w:type="paragraph" w:styleId="Heading9">
    <w:name w:val="heading 9"/>
    <w:basedOn w:val="Normal"/>
    <w:next w:val="Normal"/>
    <w:link w:val="Heading9Char"/>
    <w:uiPriority w:val="9"/>
    <w:semiHidden/>
    <w:unhideWhenUsed/>
    <w:qFormat/>
    <w:rsid w:val="00AA717C"/>
    <w:pPr>
      <w:numPr>
        <w:ilvl w:val="8"/>
        <w:numId w:val="39"/>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71695"/>
    <w:rPr>
      <w:rFonts w:ascii="Times New Roman" w:eastAsia="Times New Roman" w:hAnsi="Times New Roman"/>
      <w:bCs/>
      <w:i/>
      <w:color w:val="000000"/>
      <w:sz w:val="24"/>
      <w:szCs w:val="26"/>
      <w:lang w:bidi="ar-SA"/>
    </w:rPr>
  </w:style>
  <w:style w:type="paragraph" w:styleId="Title">
    <w:name w:val="Title"/>
    <w:next w:val="Author"/>
    <w:link w:val="TitleChar"/>
    <w:qFormat/>
    <w:rsid w:val="00571695"/>
    <w:pPr>
      <w:spacing w:after="300" w:line="360" w:lineRule="auto"/>
      <w:contextualSpacing/>
      <w:jc w:val="center"/>
    </w:pPr>
    <w:rPr>
      <w:rFonts w:ascii="Arial" w:eastAsia="Times New Roman" w:hAnsi="Arial"/>
      <w:color w:val="000000"/>
      <w:kern w:val="28"/>
      <w:sz w:val="28"/>
      <w:szCs w:val="52"/>
      <w:lang w:bidi="ar-SA"/>
    </w:rPr>
  </w:style>
  <w:style w:type="character" w:customStyle="1" w:styleId="TitleChar">
    <w:name w:val="Title Char"/>
    <w:basedOn w:val="DefaultParagraphFont"/>
    <w:link w:val="Title"/>
    <w:rsid w:val="00571695"/>
    <w:rPr>
      <w:rFonts w:ascii="Arial" w:eastAsia="Times New Roman" w:hAnsi="Arial"/>
      <w:color w:val="000000"/>
      <w:kern w:val="28"/>
      <w:sz w:val="28"/>
      <w:szCs w:val="52"/>
      <w:lang w:bidi="ar-SA"/>
    </w:rPr>
  </w:style>
  <w:style w:type="paragraph" w:styleId="Subtitle">
    <w:name w:val="Subtitle"/>
    <w:basedOn w:val="Normal"/>
    <w:next w:val="Normal"/>
    <w:link w:val="SubtitleChar"/>
    <w:uiPriority w:val="11"/>
    <w:qFormat/>
    <w:rsid w:val="00AA717C"/>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AA717C"/>
    <w:rPr>
      <w:rFonts w:asciiTheme="majorHAnsi" w:eastAsiaTheme="majorEastAsia" w:hAnsiTheme="majorHAnsi"/>
      <w:sz w:val="24"/>
      <w:szCs w:val="24"/>
    </w:rPr>
  </w:style>
  <w:style w:type="character" w:customStyle="1" w:styleId="Heading1Char">
    <w:name w:val="Heading 1 Char"/>
    <w:basedOn w:val="DefaultParagraphFont"/>
    <w:link w:val="Heading1"/>
    <w:rsid w:val="00571695"/>
    <w:rPr>
      <w:rFonts w:ascii="Times New Roman" w:eastAsia="Times New Roman" w:hAnsi="Times New Roman"/>
      <w:b/>
      <w:bCs/>
      <w:color w:val="000000"/>
      <w:sz w:val="24"/>
      <w:szCs w:val="32"/>
      <w:lang w:bidi="ar-SA"/>
    </w:rPr>
  </w:style>
  <w:style w:type="character" w:customStyle="1" w:styleId="Heading3Char">
    <w:name w:val="Heading 3 Char"/>
    <w:basedOn w:val="DefaultParagraphFont"/>
    <w:link w:val="Heading3"/>
    <w:rsid w:val="00571695"/>
    <w:rPr>
      <w:rFonts w:ascii="Times New Roman" w:eastAsia="Times New Roman" w:hAnsi="Times New Roman"/>
      <w:bCs/>
      <w:sz w:val="24"/>
      <w:szCs w:val="24"/>
      <w:lang w:bidi="ar-SA"/>
    </w:rPr>
  </w:style>
  <w:style w:type="character" w:customStyle="1" w:styleId="Heading4Char">
    <w:name w:val="Heading 4 Char"/>
    <w:basedOn w:val="DefaultParagraphFont"/>
    <w:link w:val="Heading4"/>
    <w:rsid w:val="00571695"/>
    <w:rPr>
      <w:rFonts w:ascii="Times New Roman" w:eastAsia="Times New Roman" w:hAnsi="Times New Roman"/>
      <w:bCs/>
      <w:iCs/>
      <w:sz w:val="24"/>
      <w:szCs w:val="24"/>
      <w:lang w:bidi="ar-SA"/>
    </w:rPr>
  </w:style>
  <w:style w:type="character" w:customStyle="1" w:styleId="Heading5Char">
    <w:name w:val="Heading 5 Char"/>
    <w:basedOn w:val="DefaultParagraphFont"/>
    <w:link w:val="Heading5"/>
    <w:uiPriority w:val="9"/>
    <w:semiHidden/>
    <w:rsid w:val="00AA717C"/>
    <w:rPr>
      <w:b/>
      <w:bCs/>
      <w:i/>
      <w:iCs/>
      <w:sz w:val="26"/>
      <w:szCs w:val="26"/>
    </w:rPr>
  </w:style>
  <w:style w:type="character" w:customStyle="1" w:styleId="Heading6Char">
    <w:name w:val="Heading 6 Char"/>
    <w:basedOn w:val="DefaultParagraphFont"/>
    <w:link w:val="Heading6"/>
    <w:uiPriority w:val="9"/>
    <w:semiHidden/>
    <w:rsid w:val="00AA717C"/>
    <w:rPr>
      <w:b/>
      <w:bCs/>
    </w:rPr>
  </w:style>
  <w:style w:type="character" w:customStyle="1" w:styleId="Heading7Char">
    <w:name w:val="Heading 7 Char"/>
    <w:basedOn w:val="DefaultParagraphFont"/>
    <w:link w:val="Heading7"/>
    <w:uiPriority w:val="9"/>
    <w:semiHidden/>
    <w:rsid w:val="00AA717C"/>
    <w:rPr>
      <w:sz w:val="24"/>
      <w:szCs w:val="24"/>
    </w:rPr>
  </w:style>
  <w:style w:type="character" w:customStyle="1" w:styleId="Heading8Char">
    <w:name w:val="Heading 8 Char"/>
    <w:basedOn w:val="DefaultParagraphFont"/>
    <w:link w:val="Heading8"/>
    <w:uiPriority w:val="9"/>
    <w:semiHidden/>
    <w:rsid w:val="00AA717C"/>
    <w:rPr>
      <w:i/>
      <w:iCs/>
      <w:sz w:val="24"/>
      <w:szCs w:val="24"/>
    </w:rPr>
  </w:style>
  <w:style w:type="character" w:customStyle="1" w:styleId="Heading9Char">
    <w:name w:val="Heading 9 Char"/>
    <w:basedOn w:val="DefaultParagraphFont"/>
    <w:link w:val="Heading9"/>
    <w:uiPriority w:val="9"/>
    <w:semiHidden/>
    <w:rsid w:val="00AA717C"/>
    <w:rPr>
      <w:rFonts w:asciiTheme="majorHAnsi" w:eastAsiaTheme="majorEastAsia" w:hAnsiTheme="majorHAnsi"/>
    </w:rPr>
  </w:style>
  <w:style w:type="character" w:styleId="Strong">
    <w:name w:val="Strong"/>
    <w:basedOn w:val="DefaultParagraphFont"/>
    <w:uiPriority w:val="22"/>
    <w:qFormat/>
    <w:rsid w:val="00AA717C"/>
    <w:rPr>
      <w:b/>
      <w:bCs/>
    </w:rPr>
  </w:style>
  <w:style w:type="character" w:styleId="Emphasis">
    <w:name w:val="Emphasis"/>
    <w:basedOn w:val="DefaultParagraphFont"/>
    <w:uiPriority w:val="20"/>
    <w:qFormat/>
    <w:rsid w:val="00AA717C"/>
    <w:rPr>
      <w:rFonts w:asciiTheme="minorHAnsi" w:hAnsiTheme="minorHAnsi"/>
      <w:b/>
      <w:i/>
      <w:iCs/>
    </w:rPr>
  </w:style>
  <w:style w:type="paragraph" w:styleId="NoSpacing">
    <w:name w:val="No Spacing"/>
    <w:basedOn w:val="Normal"/>
    <w:uiPriority w:val="1"/>
    <w:qFormat/>
    <w:rsid w:val="00AA717C"/>
    <w:rPr>
      <w:szCs w:val="32"/>
    </w:rPr>
  </w:style>
  <w:style w:type="paragraph" w:styleId="ListParagraph">
    <w:name w:val="List Paragraph"/>
    <w:basedOn w:val="Normal"/>
    <w:uiPriority w:val="34"/>
    <w:qFormat/>
    <w:rsid w:val="00AA717C"/>
    <w:pPr>
      <w:ind w:left="720"/>
      <w:contextualSpacing/>
    </w:pPr>
  </w:style>
  <w:style w:type="paragraph" w:styleId="Quote">
    <w:name w:val="Quote"/>
    <w:basedOn w:val="Normal"/>
    <w:next w:val="Normal"/>
    <w:link w:val="QuoteChar"/>
    <w:uiPriority w:val="29"/>
    <w:qFormat/>
    <w:rsid w:val="00AA717C"/>
    <w:rPr>
      <w:i/>
    </w:rPr>
  </w:style>
  <w:style w:type="character" w:customStyle="1" w:styleId="QuoteChar">
    <w:name w:val="Quote Char"/>
    <w:basedOn w:val="DefaultParagraphFont"/>
    <w:link w:val="Quote"/>
    <w:uiPriority w:val="29"/>
    <w:rsid w:val="00AA717C"/>
    <w:rPr>
      <w:i/>
      <w:sz w:val="24"/>
      <w:szCs w:val="24"/>
    </w:rPr>
  </w:style>
  <w:style w:type="paragraph" w:styleId="IntenseQuote">
    <w:name w:val="Intense Quote"/>
    <w:basedOn w:val="Normal"/>
    <w:next w:val="Normal"/>
    <w:link w:val="IntenseQuoteChar"/>
    <w:uiPriority w:val="30"/>
    <w:qFormat/>
    <w:rsid w:val="00AA717C"/>
    <w:pPr>
      <w:ind w:left="720" w:right="720"/>
    </w:pPr>
    <w:rPr>
      <w:b/>
      <w:i/>
      <w:szCs w:val="22"/>
    </w:rPr>
  </w:style>
  <w:style w:type="character" w:customStyle="1" w:styleId="IntenseQuoteChar">
    <w:name w:val="Intense Quote Char"/>
    <w:basedOn w:val="DefaultParagraphFont"/>
    <w:link w:val="IntenseQuote"/>
    <w:uiPriority w:val="30"/>
    <w:rsid w:val="00AA717C"/>
    <w:rPr>
      <w:b/>
      <w:i/>
      <w:sz w:val="24"/>
    </w:rPr>
  </w:style>
  <w:style w:type="character" w:styleId="SubtleEmphasis">
    <w:name w:val="Subtle Emphasis"/>
    <w:uiPriority w:val="19"/>
    <w:qFormat/>
    <w:rsid w:val="00AA717C"/>
    <w:rPr>
      <w:i/>
      <w:color w:val="5A5A5A" w:themeColor="text1" w:themeTint="A5"/>
    </w:rPr>
  </w:style>
  <w:style w:type="character" w:styleId="IntenseEmphasis">
    <w:name w:val="Intense Emphasis"/>
    <w:basedOn w:val="DefaultParagraphFont"/>
    <w:uiPriority w:val="21"/>
    <w:qFormat/>
    <w:rsid w:val="00AA717C"/>
    <w:rPr>
      <w:b/>
      <w:i/>
      <w:sz w:val="24"/>
      <w:szCs w:val="24"/>
      <w:u w:val="single"/>
    </w:rPr>
  </w:style>
  <w:style w:type="character" w:styleId="SubtleReference">
    <w:name w:val="Subtle Reference"/>
    <w:basedOn w:val="DefaultParagraphFont"/>
    <w:uiPriority w:val="31"/>
    <w:qFormat/>
    <w:rsid w:val="00AA717C"/>
    <w:rPr>
      <w:sz w:val="24"/>
      <w:szCs w:val="24"/>
      <w:u w:val="single"/>
    </w:rPr>
  </w:style>
  <w:style w:type="character" w:styleId="IntenseReference">
    <w:name w:val="Intense Reference"/>
    <w:basedOn w:val="DefaultParagraphFont"/>
    <w:uiPriority w:val="32"/>
    <w:qFormat/>
    <w:rsid w:val="00AA717C"/>
    <w:rPr>
      <w:b/>
      <w:sz w:val="24"/>
      <w:u w:val="single"/>
    </w:rPr>
  </w:style>
  <w:style w:type="character" w:styleId="BookTitle">
    <w:name w:val="Book Title"/>
    <w:basedOn w:val="DefaultParagraphFont"/>
    <w:uiPriority w:val="33"/>
    <w:qFormat/>
    <w:rsid w:val="00AA717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AA717C"/>
    <w:pPr>
      <w:outlineLvl w:val="9"/>
    </w:pPr>
  </w:style>
  <w:style w:type="paragraph" w:styleId="Header">
    <w:name w:val="header"/>
    <w:basedOn w:val="Normal"/>
    <w:link w:val="HeaderChar"/>
    <w:uiPriority w:val="99"/>
    <w:unhideWhenUsed/>
    <w:rsid w:val="00633D5C"/>
    <w:pPr>
      <w:tabs>
        <w:tab w:val="center" w:pos="4680"/>
        <w:tab w:val="right" w:pos="9360"/>
      </w:tabs>
    </w:pPr>
    <w:rPr>
      <w:szCs w:val="30"/>
    </w:rPr>
  </w:style>
  <w:style w:type="character" w:customStyle="1" w:styleId="HeaderChar">
    <w:name w:val="Header Char"/>
    <w:basedOn w:val="DefaultParagraphFont"/>
    <w:link w:val="Header"/>
    <w:uiPriority w:val="99"/>
    <w:rsid w:val="00633D5C"/>
    <w:rPr>
      <w:sz w:val="24"/>
      <w:szCs w:val="30"/>
    </w:rPr>
  </w:style>
  <w:style w:type="paragraph" w:styleId="Footer">
    <w:name w:val="footer"/>
    <w:basedOn w:val="Normal"/>
    <w:link w:val="FooterChar"/>
    <w:uiPriority w:val="99"/>
    <w:unhideWhenUsed/>
    <w:rsid w:val="00633D5C"/>
    <w:pPr>
      <w:tabs>
        <w:tab w:val="center" w:pos="4680"/>
        <w:tab w:val="right" w:pos="9360"/>
      </w:tabs>
    </w:pPr>
    <w:rPr>
      <w:szCs w:val="30"/>
    </w:rPr>
  </w:style>
  <w:style w:type="character" w:customStyle="1" w:styleId="FooterChar">
    <w:name w:val="Footer Char"/>
    <w:basedOn w:val="DefaultParagraphFont"/>
    <w:link w:val="Footer"/>
    <w:uiPriority w:val="99"/>
    <w:rsid w:val="00633D5C"/>
    <w:rPr>
      <w:sz w:val="24"/>
      <w:szCs w:val="30"/>
    </w:rPr>
  </w:style>
  <w:style w:type="paragraph" w:styleId="FootnoteText">
    <w:name w:val="footnote text"/>
    <w:basedOn w:val="Normal"/>
    <w:link w:val="FootnoteTextChar"/>
    <w:semiHidden/>
    <w:rsid w:val="00571695"/>
    <w:pPr>
      <w:spacing w:line="180" w:lineRule="atLeast"/>
    </w:pPr>
    <w:rPr>
      <w:sz w:val="16"/>
    </w:rPr>
  </w:style>
  <w:style w:type="character" w:customStyle="1" w:styleId="FootnoteTextChar">
    <w:name w:val="Footnote Text Char"/>
    <w:basedOn w:val="DefaultParagraphFont"/>
    <w:link w:val="FootnoteText"/>
    <w:semiHidden/>
    <w:rsid w:val="00571695"/>
    <w:rPr>
      <w:rFonts w:ascii="Times New Roman" w:eastAsia="Calisto MT" w:hAnsi="Times New Roman"/>
      <w:sz w:val="16"/>
      <w:szCs w:val="24"/>
      <w:lang w:bidi="ar-SA"/>
    </w:rPr>
  </w:style>
  <w:style w:type="character" w:styleId="FootnoteReference">
    <w:name w:val="footnote reference"/>
    <w:basedOn w:val="DefaultParagraphFont"/>
    <w:semiHidden/>
    <w:rsid w:val="00571695"/>
    <w:rPr>
      <w:rFonts w:ascii="Times New Roman" w:hAnsi="Times New Roman"/>
      <w:sz w:val="24"/>
      <w:bdr w:val="none" w:sz="0" w:space="0" w:color="auto"/>
      <w:vertAlign w:val="superscript"/>
    </w:rPr>
  </w:style>
  <w:style w:type="paragraph" w:styleId="Caption">
    <w:name w:val="caption"/>
    <w:basedOn w:val="Normal"/>
    <w:next w:val="Normal"/>
    <w:uiPriority w:val="35"/>
    <w:unhideWhenUsed/>
    <w:rsid w:val="008A79F1"/>
    <w:pPr>
      <w:spacing w:after="200"/>
    </w:pPr>
    <w:rPr>
      <w:i/>
      <w:iCs/>
      <w:color w:val="44546A" w:themeColor="text2"/>
      <w:sz w:val="18"/>
      <w:szCs w:val="22"/>
    </w:rPr>
  </w:style>
  <w:style w:type="table" w:styleId="PlainTable2">
    <w:name w:val="Plain Table 2"/>
    <w:basedOn w:val="TableNormal"/>
    <w:uiPriority w:val="42"/>
    <w:rsid w:val="002F337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7270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EB00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B00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4567C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25ECF"/>
    <w:rPr>
      <w:color w:val="808080"/>
    </w:rPr>
  </w:style>
  <w:style w:type="paragraph" w:customStyle="1" w:styleId="NoParagraphStyle">
    <w:name w:val="[No Paragraph Style]"/>
    <w:rsid w:val="00571695"/>
    <w:pPr>
      <w:widowControl w:val="0"/>
      <w:autoSpaceDE w:val="0"/>
      <w:autoSpaceDN w:val="0"/>
      <w:adjustRightInd w:val="0"/>
      <w:spacing w:line="288" w:lineRule="auto"/>
      <w:textAlignment w:val="center"/>
    </w:pPr>
    <w:rPr>
      <w:rFonts w:ascii="Times-Roman" w:eastAsia="Calisto MT" w:hAnsi="Times-Roman" w:cs="Times-Roman"/>
      <w:color w:val="000000"/>
      <w:sz w:val="24"/>
      <w:szCs w:val="24"/>
      <w:lang w:bidi="ar-SA"/>
    </w:rPr>
  </w:style>
  <w:style w:type="paragraph" w:customStyle="1" w:styleId="Author">
    <w:name w:val="Author"/>
    <w:next w:val="Normal"/>
    <w:rsid w:val="00571695"/>
    <w:pPr>
      <w:suppressAutoHyphens/>
      <w:spacing w:after="280" w:line="360" w:lineRule="auto"/>
      <w:jc w:val="center"/>
    </w:pPr>
    <w:rPr>
      <w:rFonts w:ascii="Times New Roman" w:eastAsia="Calisto MT" w:hAnsi="Times New Roman" w:cs="TimesLTStd-Roman"/>
      <w:smallCaps/>
      <w:color w:val="000000"/>
      <w:sz w:val="24"/>
      <w:lang w:bidi="ar-SA"/>
    </w:rPr>
  </w:style>
  <w:style w:type="paragraph" w:customStyle="1" w:styleId="Abstract">
    <w:name w:val="Abstract"/>
    <w:next w:val="Normal"/>
    <w:rsid w:val="00571695"/>
    <w:pPr>
      <w:spacing w:before="100" w:after="600" w:line="360" w:lineRule="auto"/>
      <w:ind w:left="662" w:right="662"/>
      <w:jc w:val="both"/>
    </w:pPr>
    <w:rPr>
      <w:rFonts w:ascii="Times New Roman" w:eastAsia="Calisto MT" w:hAnsi="Times New Roman" w:cs="TimesLTStd-Italic"/>
      <w:i/>
      <w:iCs/>
      <w:color w:val="000000"/>
      <w:sz w:val="24"/>
      <w:lang w:bidi="ar-SA"/>
    </w:rPr>
  </w:style>
  <w:style w:type="paragraph" w:customStyle="1" w:styleId="Equation">
    <w:name w:val="Equation"/>
    <w:next w:val="Normal"/>
    <w:rsid w:val="00571695"/>
    <w:pPr>
      <w:tabs>
        <w:tab w:val="center" w:pos="3960"/>
      </w:tabs>
      <w:suppressAutoHyphens/>
      <w:spacing w:before="260" w:line="360" w:lineRule="auto"/>
    </w:pPr>
    <w:rPr>
      <w:rFonts w:ascii="Times New Roman" w:eastAsia="Calisto MT" w:hAnsi="Times New Roman" w:cs="TimesLTStd-Roman"/>
      <w:color w:val="000000"/>
      <w:sz w:val="24"/>
      <w:szCs w:val="20"/>
      <w:lang w:bidi="ar-SA"/>
    </w:rPr>
  </w:style>
  <w:style w:type="paragraph" w:customStyle="1" w:styleId="NormalNoIndent">
    <w:name w:val="Normal No Indent"/>
    <w:basedOn w:val="Normal"/>
    <w:next w:val="Normal"/>
    <w:rsid w:val="00571695"/>
    <w:pPr>
      <w:ind w:firstLine="0"/>
    </w:pPr>
  </w:style>
  <w:style w:type="paragraph" w:customStyle="1" w:styleId="Contact">
    <w:name w:val="Contact"/>
    <w:next w:val="Normal"/>
    <w:rsid w:val="00571695"/>
    <w:pPr>
      <w:spacing w:after="200" w:line="360" w:lineRule="auto"/>
    </w:pPr>
    <w:rPr>
      <w:rFonts w:ascii="Times New Roman" w:eastAsia="Calisto MT" w:hAnsi="Times New Roman" w:cs="TimesLTStd-Roman"/>
      <w:color w:val="000000"/>
      <w:sz w:val="16"/>
      <w:szCs w:val="16"/>
      <w:lang w:bidi="ar-SA"/>
    </w:rPr>
  </w:style>
  <w:style w:type="paragraph" w:customStyle="1" w:styleId="ReferenceHeading">
    <w:name w:val="Reference Heading"/>
    <w:basedOn w:val="Normal"/>
    <w:next w:val="References"/>
    <w:rsid w:val="00571695"/>
    <w:pPr>
      <w:keepNext/>
      <w:widowControl w:val="0"/>
      <w:autoSpaceDE w:val="0"/>
      <w:autoSpaceDN w:val="0"/>
      <w:adjustRightInd w:val="0"/>
      <w:spacing w:before="260" w:after="260"/>
      <w:ind w:firstLine="0"/>
      <w:jc w:val="center"/>
      <w:textAlignment w:val="center"/>
    </w:pPr>
    <w:rPr>
      <w:rFonts w:cs="TimesLTStd-Roman"/>
      <w:caps/>
      <w:szCs w:val="20"/>
    </w:rPr>
  </w:style>
  <w:style w:type="paragraph" w:customStyle="1" w:styleId="References">
    <w:name w:val="References"/>
    <w:basedOn w:val="Normal"/>
    <w:rsid w:val="00571695"/>
    <w:pPr>
      <w:widowControl w:val="0"/>
      <w:autoSpaceDE w:val="0"/>
      <w:autoSpaceDN w:val="0"/>
      <w:adjustRightInd w:val="0"/>
      <w:ind w:left="202" w:hanging="202"/>
      <w:textAlignment w:val="center"/>
    </w:pPr>
    <w:rPr>
      <w:rFonts w:cs="TimesLTStd-Roman"/>
      <w:szCs w:val="20"/>
    </w:rPr>
  </w:style>
  <w:style w:type="paragraph" w:customStyle="1" w:styleId="Extract">
    <w:name w:val="Extract"/>
    <w:next w:val="Normal"/>
    <w:uiPriority w:val="99"/>
    <w:semiHidden/>
    <w:rsid w:val="00571695"/>
    <w:pPr>
      <w:spacing w:before="260" w:line="360" w:lineRule="auto"/>
      <w:ind w:left="720" w:right="720"/>
      <w:jc w:val="both"/>
    </w:pPr>
    <w:rPr>
      <w:rFonts w:ascii="Times New Roman" w:eastAsia="Calisto MT" w:hAnsi="Times New Roman" w:cs="TimesLTStd-Italic"/>
      <w:i/>
      <w:iCs/>
      <w:color w:val="000000"/>
      <w:sz w:val="24"/>
      <w:szCs w:val="20"/>
      <w:lang w:bidi="ar-SA"/>
    </w:rPr>
  </w:style>
  <w:style w:type="paragraph" w:customStyle="1" w:styleId="Tagline">
    <w:name w:val="Tagline"/>
    <w:basedOn w:val="Normal"/>
    <w:next w:val="Normal"/>
    <w:uiPriority w:val="99"/>
    <w:semiHidden/>
    <w:qFormat/>
    <w:rsid w:val="00571695"/>
    <w:pPr>
      <w:spacing w:after="120"/>
      <w:ind w:left="720" w:right="720" w:firstLine="0"/>
      <w:jc w:val="right"/>
    </w:pPr>
  </w:style>
  <w:style w:type="paragraph" w:customStyle="1" w:styleId="FigureTitle">
    <w:name w:val="Figure Title"/>
    <w:next w:val="Normal"/>
    <w:rsid w:val="00571695"/>
    <w:pPr>
      <w:keepLines/>
      <w:suppressAutoHyphens/>
      <w:spacing w:after="80" w:line="180" w:lineRule="atLeast"/>
      <w:jc w:val="center"/>
    </w:pPr>
    <w:rPr>
      <w:rFonts w:ascii="Times New Roman" w:eastAsia="Calisto MT" w:hAnsi="Times New Roman" w:cs="TimesLTStd-Roman"/>
      <w:smallCaps/>
      <w:color w:val="000000"/>
      <w:spacing w:val="-1"/>
      <w:sz w:val="16"/>
      <w:szCs w:val="16"/>
      <w:lang w:bidi="ar-SA"/>
    </w:rPr>
  </w:style>
  <w:style w:type="paragraph" w:customStyle="1" w:styleId="FigureNotes">
    <w:name w:val="Figure Notes"/>
    <w:next w:val="Normal"/>
    <w:rsid w:val="00571695"/>
    <w:pPr>
      <w:tabs>
        <w:tab w:val="right" w:pos="440"/>
        <w:tab w:val="left" w:pos="480"/>
      </w:tabs>
      <w:spacing w:before="120" w:after="120" w:line="180" w:lineRule="atLeast"/>
      <w:jc w:val="both"/>
    </w:pPr>
    <w:rPr>
      <w:rFonts w:ascii="Times New Roman" w:eastAsia="Calisto MT" w:hAnsi="Times New Roman" w:cs="TimesLTStd-Roman"/>
      <w:color w:val="000000"/>
      <w:sz w:val="16"/>
      <w:szCs w:val="16"/>
      <w:lang w:bidi="ar-SA"/>
    </w:rPr>
  </w:style>
  <w:style w:type="paragraph" w:customStyle="1" w:styleId="TableTitle">
    <w:name w:val="Table Title"/>
    <w:rsid w:val="00571695"/>
    <w:pPr>
      <w:pBdr>
        <w:bottom w:val="double" w:sz="2" w:space="1" w:color="auto"/>
      </w:pBdr>
      <w:suppressAutoHyphens/>
      <w:spacing w:after="160" w:line="180" w:lineRule="atLeast"/>
      <w:ind w:right="720"/>
      <w:jc w:val="center"/>
    </w:pPr>
    <w:rPr>
      <w:rFonts w:ascii="Times New Roman" w:eastAsia="Calisto MT" w:hAnsi="Times New Roman" w:cs="TimesLTStd-Roman"/>
      <w:smallCaps/>
      <w:color w:val="000000"/>
      <w:spacing w:val="-1"/>
      <w:w w:val="97"/>
      <w:sz w:val="16"/>
      <w:szCs w:val="16"/>
      <w:lang w:bidi="ar-SA"/>
    </w:rPr>
  </w:style>
  <w:style w:type="paragraph" w:customStyle="1" w:styleId="TableNotes">
    <w:name w:val="Table Notes"/>
    <w:rsid w:val="00571695"/>
    <w:pPr>
      <w:spacing w:before="120" w:line="180" w:lineRule="atLeast"/>
      <w:ind w:right="720"/>
      <w:jc w:val="both"/>
    </w:pPr>
    <w:rPr>
      <w:rFonts w:ascii="Times New Roman" w:eastAsia="Calisto MT" w:hAnsi="Times New Roman" w:cs="TimesLTStd-Roman"/>
      <w:color w:val="000000"/>
      <w:sz w:val="16"/>
      <w:szCs w:val="16"/>
      <w:lang w:bidi="ar-SA"/>
    </w:rPr>
  </w:style>
  <w:style w:type="paragraph" w:customStyle="1" w:styleId="TableText">
    <w:name w:val="Table Text"/>
    <w:rsid w:val="00571695"/>
    <w:pPr>
      <w:spacing w:line="180" w:lineRule="atLeast"/>
      <w:jc w:val="center"/>
    </w:pPr>
    <w:rPr>
      <w:rFonts w:ascii="Times New Roman" w:eastAsia="Calisto MT" w:hAnsi="Times New Roman" w:cs="TimesLTStd-Roman"/>
      <w:color w:val="000000"/>
      <w:sz w:val="16"/>
      <w:szCs w:val="16"/>
      <w:lang w:bidi="ar-SA"/>
    </w:rPr>
  </w:style>
  <w:style w:type="paragraph" w:styleId="ListBullet">
    <w:name w:val="List Bullet"/>
    <w:basedOn w:val="Normal"/>
    <w:next w:val="Normal"/>
    <w:rsid w:val="00571695"/>
    <w:pPr>
      <w:numPr>
        <w:numId w:val="27"/>
      </w:numPr>
      <w:contextualSpacing/>
    </w:pPr>
  </w:style>
  <w:style w:type="paragraph" w:styleId="ListNumber">
    <w:name w:val="List Number"/>
    <w:basedOn w:val="Normal"/>
    <w:next w:val="Normal"/>
    <w:rsid w:val="00571695"/>
    <w:pPr>
      <w:numPr>
        <w:numId w:val="28"/>
      </w:numPr>
      <w:tabs>
        <w:tab w:val="clear" w:pos="1195"/>
      </w:tabs>
      <w:spacing w:after="260"/>
      <w:ind w:left="1555" w:hanging="720"/>
    </w:pPr>
  </w:style>
  <w:style w:type="paragraph" w:customStyle="1" w:styleId="FigurePlaceholder">
    <w:name w:val="Figure Placeholder"/>
    <w:basedOn w:val="Normal"/>
    <w:next w:val="Normal"/>
    <w:qFormat/>
    <w:rsid w:val="00571695"/>
    <w:pPr>
      <w:spacing w:before="260" w:after="260"/>
      <w:jc w:val="center"/>
    </w:pPr>
  </w:style>
  <w:style w:type="character" w:customStyle="1" w:styleId="TableFootLetter">
    <w:name w:val="Table FootLetter"/>
    <w:basedOn w:val="DefaultParagraphFont"/>
    <w:rsid w:val="00571695"/>
    <w:rPr>
      <w:rFonts w:ascii="Times New Roman" w:hAnsi="Times New Roman"/>
      <w:sz w:val="16"/>
      <w:bdr w:val="none" w:sz="0" w:space="0" w:color="auto"/>
      <w:vertAlign w:val="superscript"/>
    </w:rPr>
  </w:style>
  <w:style w:type="paragraph" w:customStyle="1" w:styleId="TableFootnote">
    <w:name w:val="Table Footnote"/>
    <w:basedOn w:val="TableNotes"/>
    <w:next w:val="TableNotes"/>
    <w:qFormat/>
    <w:rsid w:val="00571695"/>
  </w:style>
  <w:style w:type="paragraph" w:customStyle="1" w:styleId="TablePlaceholder">
    <w:name w:val="Table Placeholder"/>
    <w:basedOn w:val="FigurePlaceholder"/>
    <w:next w:val="NoParagraphStyle"/>
    <w:qFormat/>
    <w:rsid w:val="00571695"/>
  </w:style>
  <w:style w:type="paragraph" w:styleId="DocumentMap">
    <w:name w:val="Document Map"/>
    <w:basedOn w:val="Normal"/>
    <w:link w:val="DocumentMapChar"/>
    <w:uiPriority w:val="99"/>
    <w:semiHidden/>
    <w:rsid w:val="00571695"/>
    <w:rPr>
      <w:rFonts w:ascii="Lucida Grande" w:hAnsi="Lucida Grande"/>
    </w:rPr>
  </w:style>
  <w:style w:type="character" w:customStyle="1" w:styleId="DocumentMapChar">
    <w:name w:val="Document Map Char"/>
    <w:basedOn w:val="DefaultParagraphFont"/>
    <w:link w:val="DocumentMap"/>
    <w:uiPriority w:val="99"/>
    <w:semiHidden/>
    <w:rsid w:val="00571695"/>
    <w:rPr>
      <w:rFonts w:ascii="Lucida Grande" w:eastAsia="Calisto MT" w:hAnsi="Lucida Grande"/>
      <w:sz w:val="24"/>
      <w:szCs w:val="24"/>
      <w:lang w:bidi="ar-SA"/>
    </w:rPr>
  </w:style>
  <w:style w:type="character" w:styleId="CommentReference">
    <w:name w:val="annotation reference"/>
    <w:basedOn w:val="DefaultParagraphFont"/>
    <w:uiPriority w:val="99"/>
    <w:semiHidden/>
    <w:rsid w:val="00571695"/>
    <w:rPr>
      <w:sz w:val="18"/>
      <w:szCs w:val="18"/>
    </w:rPr>
  </w:style>
  <w:style w:type="paragraph" w:styleId="CommentText">
    <w:name w:val="annotation text"/>
    <w:basedOn w:val="Normal"/>
    <w:link w:val="CommentTextChar"/>
    <w:uiPriority w:val="99"/>
    <w:semiHidden/>
    <w:rsid w:val="00571695"/>
  </w:style>
  <w:style w:type="character" w:customStyle="1" w:styleId="CommentTextChar">
    <w:name w:val="Comment Text Char"/>
    <w:basedOn w:val="DefaultParagraphFont"/>
    <w:link w:val="CommentText"/>
    <w:uiPriority w:val="99"/>
    <w:semiHidden/>
    <w:rsid w:val="00571695"/>
    <w:rPr>
      <w:rFonts w:ascii="Times New Roman" w:eastAsia="Calisto MT" w:hAnsi="Times New Roman"/>
      <w:sz w:val="24"/>
      <w:szCs w:val="24"/>
      <w:lang w:bidi="ar-SA"/>
    </w:rPr>
  </w:style>
  <w:style w:type="paragraph" w:styleId="CommentSubject">
    <w:name w:val="annotation subject"/>
    <w:basedOn w:val="CommentText"/>
    <w:next w:val="CommentText"/>
    <w:link w:val="CommentSubjectChar"/>
    <w:uiPriority w:val="99"/>
    <w:semiHidden/>
    <w:rsid w:val="00571695"/>
    <w:rPr>
      <w:b/>
      <w:bCs/>
      <w:sz w:val="20"/>
      <w:szCs w:val="20"/>
    </w:rPr>
  </w:style>
  <w:style w:type="character" w:customStyle="1" w:styleId="CommentSubjectChar">
    <w:name w:val="Comment Subject Char"/>
    <w:basedOn w:val="CommentTextChar"/>
    <w:link w:val="CommentSubject"/>
    <w:uiPriority w:val="99"/>
    <w:semiHidden/>
    <w:rsid w:val="00571695"/>
    <w:rPr>
      <w:rFonts w:ascii="Times New Roman" w:eastAsia="Calisto MT" w:hAnsi="Times New Roman"/>
      <w:b/>
      <w:bCs/>
      <w:sz w:val="20"/>
      <w:szCs w:val="20"/>
      <w:lang w:bidi="ar-SA"/>
    </w:rPr>
  </w:style>
  <w:style w:type="paragraph" w:styleId="BalloonText">
    <w:name w:val="Balloon Text"/>
    <w:basedOn w:val="Normal"/>
    <w:link w:val="BalloonTextChar"/>
    <w:uiPriority w:val="99"/>
    <w:semiHidden/>
    <w:rsid w:val="00571695"/>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71695"/>
    <w:rPr>
      <w:rFonts w:ascii="Lucida Grande" w:eastAsia="Calisto MT" w:hAnsi="Lucida Grande"/>
      <w:sz w:val="18"/>
      <w:szCs w:val="18"/>
      <w:lang w:bidi="ar-SA"/>
    </w:rPr>
  </w:style>
  <w:style w:type="character" w:customStyle="1" w:styleId="katex-mathml">
    <w:name w:val="katex-mathml"/>
    <w:basedOn w:val="DefaultParagraphFont"/>
    <w:rsid w:val="0027378C"/>
  </w:style>
  <w:style w:type="character" w:customStyle="1" w:styleId="mord">
    <w:name w:val="mord"/>
    <w:basedOn w:val="DefaultParagraphFont"/>
    <w:rsid w:val="0027378C"/>
  </w:style>
  <w:style w:type="character" w:customStyle="1" w:styleId="vlist-s">
    <w:name w:val="vlist-s"/>
    <w:basedOn w:val="DefaultParagraphFont"/>
    <w:rsid w:val="0027378C"/>
  </w:style>
  <w:style w:type="numbering" w:customStyle="1" w:styleId="CurrentList1">
    <w:name w:val="Current List1"/>
    <w:rsid w:val="00AB12F9"/>
    <w:pPr>
      <w:numPr>
        <w:numId w:val="35"/>
      </w:numPr>
    </w:pPr>
  </w:style>
  <w:style w:type="numbering" w:customStyle="1" w:styleId="CurrentList2">
    <w:name w:val="Current List2"/>
    <w:rsid w:val="00AB12F9"/>
    <w:pPr>
      <w:numPr>
        <w:numId w:val="36"/>
      </w:numPr>
    </w:pPr>
  </w:style>
  <w:style w:type="numbering" w:customStyle="1" w:styleId="CurrentList3">
    <w:name w:val="Current List3"/>
    <w:rsid w:val="00AB12F9"/>
    <w:pPr>
      <w:numPr>
        <w:numId w:val="37"/>
      </w:numPr>
    </w:pPr>
  </w:style>
  <w:style w:type="numbering" w:customStyle="1" w:styleId="CurrentList4">
    <w:name w:val="Current List4"/>
    <w:rsid w:val="00AB12F9"/>
    <w:pPr>
      <w:numPr>
        <w:numId w:val="38"/>
      </w:numPr>
    </w:pPr>
  </w:style>
  <w:style w:type="numbering" w:styleId="ArticleSection">
    <w:name w:val="Outline List 3"/>
    <w:basedOn w:val="NoList"/>
    <w:uiPriority w:val="99"/>
    <w:semiHidden/>
    <w:unhideWhenUsed/>
    <w:rsid w:val="00AB12F9"/>
    <w:pPr>
      <w:numPr>
        <w:numId w:val="39"/>
      </w:numPr>
    </w:pPr>
  </w:style>
  <w:style w:type="numbering" w:customStyle="1" w:styleId="CurrentList5">
    <w:name w:val="Current List5"/>
    <w:rsid w:val="00AB12F9"/>
    <w:pPr>
      <w:numPr>
        <w:numId w:val="40"/>
      </w:numPr>
    </w:pPr>
  </w:style>
  <w:style w:type="numbering" w:customStyle="1" w:styleId="CurrentList6">
    <w:name w:val="Current List6"/>
    <w:rsid w:val="00AB12F9"/>
    <w:pPr>
      <w:numPr>
        <w:numId w:val="41"/>
      </w:numPr>
    </w:pPr>
  </w:style>
  <w:style w:type="numbering" w:customStyle="1" w:styleId="CurrentList7">
    <w:name w:val="Current List7"/>
    <w:rsid w:val="00AB12F9"/>
    <w:pPr>
      <w:numPr>
        <w:numId w:val="43"/>
      </w:numPr>
    </w:pPr>
  </w:style>
  <w:style w:type="numbering" w:customStyle="1" w:styleId="CurrentList8">
    <w:name w:val="Current List8"/>
    <w:rsid w:val="00AB12F9"/>
    <w:pPr>
      <w:numPr>
        <w:numId w:val="44"/>
      </w:numPr>
    </w:pPr>
  </w:style>
  <w:style w:type="paragraph" w:styleId="Bibliography">
    <w:name w:val="Bibliography"/>
    <w:basedOn w:val="Normal"/>
    <w:next w:val="Normal"/>
    <w:uiPriority w:val="37"/>
    <w:unhideWhenUsed/>
    <w:rsid w:val="00B9115F"/>
    <w:pPr>
      <w:spacing w:line="240" w:lineRule="auto"/>
      <w:ind w:left="720" w:hanging="720"/>
    </w:pPr>
  </w:style>
  <w:style w:type="paragraph" w:styleId="PlainText">
    <w:name w:val="Plain Text"/>
    <w:basedOn w:val="Normal"/>
    <w:link w:val="PlainTextChar"/>
    <w:uiPriority w:val="99"/>
    <w:unhideWhenUsed/>
    <w:rsid w:val="00E106E8"/>
    <w:pPr>
      <w:spacing w:line="240" w:lineRule="auto"/>
      <w:ind w:firstLine="0"/>
      <w:jc w:val="left"/>
    </w:pPr>
    <w:rPr>
      <w:rFonts w:ascii="Consolas" w:eastAsiaTheme="minorHAnsi" w:hAnsi="Consolas" w:cs="Consolas"/>
      <w:kern w:val="2"/>
      <w:sz w:val="21"/>
      <w:szCs w:val="21"/>
      <w14:ligatures w14:val="standardContextual"/>
    </w:rPr>
  </w:style>
  <w:style w:type="character" w:customStyle="1" w:styleId="PlainTextChar">
    <w:name w:val="Plain Text Char"/>
    <w:basedOn w:val="DefaultParagraphFont"/>
    <w:link w:val="PlainText"/>
    <w:uiPriority w:val="99"/>
    <w:rsid w:val="00E106E8"/>
    <w:rPr>
      <w:rFonts w:ascii="Consolas" w:eastAsiaTheme="minorHAnsi" w:hAnsi="Consolas" w:cs="Consolas"/>
      <w:kern w:val="2"/>
      <w:sz w:val="21"/>
      <w:szCs w:val="21"/>
      <w:lang w:bidi="ar-S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20078">
      <w:bodyDiv w:val="1"/>
      <w:marLeft w:val="0"/>
      <w:marRight w:val="0"/>
      <w:marTop w:val="0"/>
      <w:marBottom w:val="0"/>
      <w:divBdr>
        <w:top w:val="none" w:sz="0" w:space="0" w:color="auto"/>
        <w:left w:val="none" w:sz="0" w:space="0" w:color="auto"/>
        <w:bottom w:val="none" w:sz="0" w:space="0" w:color="auto"/>
        <w:right w:val="none" w:sz="0" w:space="0" w:color="auto"/>
      </w:divBdr>
    </w:div>
    <w:div w:id="629556877">
      <w:bodyDiv w:val="1"/>
      <w:marLeft w:val="0"/>
      <w:marRight w:val="0"/>
      <w:marTop w:val="0"/>
      <w:marBottom w:val="0"/>
      <w:divBdr>
        <w:top w:val="none" w:sz="0" w:space="0" w:color="auto"/>
        <w:left w:val="none" w:sz="0" w:space="0" w:color="auto"/>
        <w:bottom w:val="none" w:sz="0" w:space="0" w:color="auto"/>
        <w:right w:val="none" w:sz="0" w:space="0" w:color="auto"/>
      </w:divBdr>
    </w:div>
    <w:div w:id="638649365">
      <w:bodyDiv w:val="1"/>
      <w:marLeft w:val="0"/>
      <w:marRight w:val="0"/>
      <w:marTop w:val="0"/>
      <w:marBottom w:val="0"/>
      <w:divBdr>
        <w:top w:val="none" w:sz="0" w:space="0" w:color="auto"/>
        <w:left w:val="none" w:sz="0" w:space="0" w:color="auto"/>
        <w:bottom w:val="none" w:sz="0" w:space="0" w:color="auto"/>
        <w:right w:val="none" w:sz="0" w:space="0" w:color="auto"/>
      </w:divBdr>
    </w:div>
    <w:div w:id="698631199">
      <w:bodyDiv w:val="1"/>
      <w:marLeft w:val="0"/>
      <w:marRight w:val="0"/>
      <w:marTop w:val="0"/>
      <w:marBottom w:val="0"/>
      <w:divBdr>
        <w:top w:val="none" w:sz="0" w:space="0" w:color="auto"/>
        <w:left w:val="none" w:sz="0" w:space="0" w:color="auto"/>
        <w:bottom w:val="none" w:sz="0" w:space="0" w:color="auto"/>
        <w:right w:val="none" w:sz="0" w:space="0" w:color="auto"/>
      </w:divBdr>
    </w:div>
    <w:div w:id="779644828">
      <w:bodyDiv w:val="1"/>
      <w:marLeft w:val="0"/>
      <w:marRight w:val="0"/>
      <w:marTop w:val="0"/>
      <w:marBottom w:val="0"/>
      <w:divBdr>
        <w:top w:val="none" w:sz="0" w:space="0" w:color="auto"/>
        <w:left w:val="none" w:sz="0" w:space="0" w:color="auto"/>
        <w:bottom w:val="none" w:sz="0" w:space="0" w:color="auto"/>
        <w:right w:val="none" w:sz="0" w:space="0" w:color="auto"/>
      </w:divBdr>
    </w:div>
    <w:div w:id="788158449">
      <w:bodyDiv w:val="1"/>
      <w:marLeft w:val="0"/>
      <w:marRight w:val="0"/>
      <w:marTop w:val="0"/>
      <w:marBottom w:val="0"/>
      <w:divBdr>
        <w:top w:val="none" w:sz="0" w:space="0" w:color="auto"/>
        <w:left w:val="none" w:sz="0" w:space="0" w:color="auto"/>
        <w:bottom w:val="none" w:sz="0" w:space="0" w:color="auto"/>
        <w:right w:val="none" w:sz="0" w:space="0" w:color="auto"/>
      </w:divBdr>
    </w:div>
    <w:div w:id="904223977">
      <w:bodyDiv w:val="1"/>
      <w:marLeft w:val="0"/>
      <w:marRight w:val="0"/>
      <w:marTop w:val="0"/>
      <w:marBottom w:val="0"/>
      <w:divBdr>
        <w:top w:val="none" w:sz="0" w:space="0" w:color="auto"/>
        <w:left w:val="none" w:sz="0" w:space="0" w:color="auto"/>
        <w:bottom w:val="none" w:sz="0" w:space="0" w:color="auto"/>
        <w:right w:val="none" w:sz="0" w:space="0" w:color="auto"/>
      </w:divBdr>
    </w:div>
    <w:div w:id="936401915">
      <w:bodyDiv w:val="1"/>
      <w:marLeft w:val="0"/>
      <w:marRight w:val="0"/>
      <w:marTop w:val="0"/>
      <w:marBottom w:val="0"/>
      <w:divBdr>
        <w:top w:val="none" w:sz="0" w:space="0" w:color="auto"/>
        <w:left w:val="none" w:sz="0" w:space="0" w:color="auto"/>
        <w:bottom w:val="none" w:sz="0" w:space="0" w:color="auto"/>
        <w:right w:val="none" w:sz="0" w:space="0" w:color="auto"/>
      </w:divBdr>
    </w:div>
    <w:div w:id="971835134">
      <w:bodyDiv w:val="1"/>
      <w:marLeft w:val="0"/>
      <w:marRight w:val="0"/>
      <w:marTop w:val="0"/>
      <w:marBottom w:val="0"/>
      <w:divBdr>
        <w:top w:val="none" w:sz="0" w:space="0" w:color="auto"/>
        <w:left w:val="none" w:sz="0" w:space="0" w:color="auto"/>
        <w:bottom w:val="none" w:sz="0" w:space="0" w:color="auto"/>
        <w:right w:val="none" w:sz="0" w:space="0" w:color="auto"/>
      </w:divBdr>
    </w:div>
    <w:div w:id="997878643">
      <w:bodyDiv w:val="1"/>
      <w:marLeft w:val="0"/>
      <w:marRight w:val="0"/>
      <w:marTop w:val="0"/>
      <w:marBottom w:val="0"/>
      <w:divBdr>
        <w:top w:val="none" w:sz="0" w:space="0" w:color="auto"/>
        <w:left w:val="none" w:sz="0" w:space="0" w:color="auto"/>
        <w:bottom w:val="none" w:sz="0" w:space="0" w:color="auto"/>
        <w:right w:val="none" w:sz="0" w:space="0" w:color="auto"/>
      </w:divBdr>
    </w:div>
    <w:div w:id="1041124970">
      <w:bodyDiv w:val="1"/>
      <w:marLeft w:val="0"/>
      <w:marRight w:val="0"/>
      <w:marTop w:val="0"/>
      <w:marBottom w:val="0"/>
      <w:divBdr>
        <w:top w:val="none" w:sz="0" w:space="0" w:color="auto"/>
        <w:left w:val="none" w:sz="0" w:space="0" w:color="auto"/>
        <w:bottom w:val="none" w:sz="0" w:space="0" w:color="auto"/>
        <w:right w:val="none" w:sz="0" w:space="0" w:color="auto"/>
      </w:divBdr>
    </w:div>
    <w:div w:id="1059668414">
      <w:bodyDiv w:val="1"/>
      <w:marLeft w:val="0"/>
      <w:marRight w:val="0"/>
      <w:marTop w:val="0"/>
      <w:marBottom w:val="0"/>
      <w:divBdr>
        <w:top w:val="none" w:sz="0" w:space="0" w:color="auto"/>
        <w:left w:val="none" w:sz="0" w:space="0" w:color="auto"/>
        <w:bottom w:val="none" w:sz="0" w:space="0" w:color="auto"/>
        <w:right w:val="none" w:sz="0" w:space="0" w:color="auto"/>
      </w:divBdr>
    </w:div>
    <w:div w:id="1228223429">
      <w:bodyDiv w:val="1"/>
      <w:marLeft w:val="0"/>
      <w:marRight w:val="0"/>
      <w:marTop w:val="0"/>
      <w:marBottom w:val="0"/>
      <w:divBdr>
        <w:top w:val="none" w:sz="0" w:space="0" w:color="auto"/>
        <w:left w:val="none" w:sz="0" w:space="0" w:color="auto"/>
        <w:bottom w:val="none" w:sz="0" w:space="0" w:color="auto"/>
        <w:right w:val="none" w:sz="0" w:space="0" w:color="auto"/>
      </w:divBdr>
    </w:div>
    <w:div w:id="1847281920">
      <w:bodyDiv w:val="1"/>
      <w:marLeft w:val="0"/>
      <w:marRight w:val="0"/>
      <w:marTop w:val="0"/>
      <w:marBottom w:val="0"/>
      <w:divBdr>
        <w:top w:val="none" w:sz="0" w:space="0" w:color="auto"/>
        <w:left w:val="none" w:sz="0" w:space="0" w:color="auto"/>
        <w:bottom w:val="none" w:sz="0" w:space="0" w:color="auto"/>
        <w:right w:val="none" w:sz="0" w:space="0" w:color="auto"/>
      </w:divBdr>
    </w:div>
    <w:div w:id="1878196344">
      <w:bodyDiv w:val="1"/>
      <w:marLeft w:val="0"/>
      <w:marRight w:val="0"/>
      <w:marTop w:val="0"/>
      <w:marBottom w:val="0"/>
      <w:divBdr>
        <w:top w:val="none" w:sz="0" w:space="0" w:color="auto"/>
        <w:left w:val="none" w:sz="0" w:space="0" w:color="auto"/>
        <w:bottom w:val="none" w:sz="0" w:space="0" w:color="auto"/>
        <w:right w:val="none" w:sz="0" w:space="0" w:color="auto"/>
      </w:divBdr>
    </w:div>
    <w:div w:id="2108889402">
      <w:bodyDiv w:val="1"/>
      <w:marLeft w:val="0"/>
      <w:marRight w:val="0"/>
      <w:marTop w:val="0"/>
      <w:marBottom w:val="0"/>
      <w:divBdr>
        <w:top w:val="none" w:sz="0" w:space="0" w:color="auto"/>
        <w:left w:val="none" w:sz="0" w:space="0" w:color="auto"/>
        <w:bottom w:val="none" w:sz="0" w:space="0" w:color="auto"/>
        <w:right w:val="none" w:sz="0" w:space="0" w:color="auto"/>
      </w:divBdr>
    </w:div>
    <w:div w:id="213005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word_templates\AER_AEJ_Wor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6A65E-415F-4F3A-8151-E113C61BB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G:\Downloads\word_templates\AER_AEJ_WordTemplate.dot</Template>
  <TotalTime>3983</TotalTime>
  <Pages>29</Pages>
  <Words>16710</Words>
  <Characters>95248</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Arnob Alam</dc:creator>
  <cp:keywords/>
  <dc:description/>
  <cp:lastModifiedBy>Arnob Alam</cp:lastModifiedBy>
  <cp:revision>79</cp:revision>
  <dcterms:created xsi:type="dcterms:W3CDTF">2023-12-09T16:13:00Z</dcterms:created>
  <dcterms:modified xsi:type="dcterms:W3CDTF">2024-04-09T04:32:00Z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zotero-version="6.0.35"&gt;&lt;session id="Z8EZw4Pp"/&gt;&lt;style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