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446F3769"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373A0">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9373A0">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373A0">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9373A0">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9373A0">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9373A0">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150149CE" w:rsidR="008D1C73" w:rsidRDefault="00161437" w:rsidP="008D1C73">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B9115F">
        <w:instrText xml:space="preserve"> ADDIN ZOTERO_ITEM CSL_CITATION {"citationID":"Vd9kFWHG","properties":{"formattedCitation":"(von Kleist and Mallo 2011)","plainCitation":"(von Kleist and Mallo 2011)","noteIndex":0},"citationItems":[{"id":861,"uris":["http://zotero.org/users/1226582/items/MIV8DAGL"],"itemData":{"id":861,"type":"article-journal","container-title":"Bank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For 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9373A0">
        <w:t>3</w:t>
      </w:r>
      <w:r w:rsidR="00FB01B7">
        <w:fldChar w:fldCharType="end"/>
      </w:r>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w:t>
      </w:r>
      <w:r w:rsidR="00AF63FA">
        <w:lastRenderedPageBreak/>
        <w:t xml:space="preserve">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r w:rsidR="00B9115F">
        <w:t>legs and</w:t>
      </w:r>
      <w:r w:rsidR="007721E7">
        <w:t xml:space="preserve"> used the modified following </w:t>
      </w:r>
      <w:r w:rsidR="00DF452F">
        <w:t xml:space="preserve">day-count convention. </w:t>
      </w:r>
      <w:r w:rsidR="00440E83">
        <w:t>Both Canadian and US dollar denominated contracts used the ISDA master</w:t>
      </w:r>
      <w:r w:rsidR="00B9115F">
        <w:t xml:space="preserve"> </w:t>
      </w:r>
      <w:r w:rsidR="00440E83">
        <w:t xml:space="preserve">agreement, which specifies settlement, termination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p>
    <w:p w14:paraId="16126F61" w14:textId="0D009F60" w:rsidR="007E1203" w:rsidRDefault="00B91280" w:rsidP="00D459AC">
      <w:r w:rsidRPr="009862A1">
        <w:t>The</w:t>
      </w:r>
      <w:r w:rsidR="00B9115F" w:rsidRPr="009862A1">
        <w:t xml:space="preserv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B9115F">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r w:rsidR="002F6C5B">
        <w:t xml:space="preserve">In case the risk position of the counterparty </w:t>
      </w:r>
      <w:r w:rsidR="002F6C5B">
        <w:lastRenderedPageBreak/>
        <w:t xml:space="preserve">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D6CDEA7"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00377D40" w:rsidRPr="00377D40">
        <w:t>.</w:t>
      </w:r>
      <w:r w:rsidR="00B837CA">
        <w:t xml:space="preserve"> Since the clearinghouse can observe the 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r w:rsidR="002F4ED0">
        <w:t>made:</w:t>
      </w:r>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757BA677" w:rsidR="00BF72AE" w:rsidRDefault="00BF72AE" w:rsidP="00BF72AE">
      <w:pPr>
        <w:pStyle w:val="Caption"/>
      </w:pPr>
      <w:r>
        <w:lastRenderedPageBreak/>
        <w:t xml:space="preserve">Figure </w:t>
      </w:r>
      <w:r w:rsidR="005D0AA8">
        <w:fldChar w:fldCharType="begin"/>
      </w:r>
      <w:r w:rsidR="005D0AA8">
        <w:instrText xml:space="preserve"> SEQ Figure \* ARABIC </w:instrText>
      </w:r>
      <w:r w:rsidR="005D0AA8">
        <w:fldChar w:fldCharType="separate"/>
      </w:r>
      <w:r w:rsidR="009373A0">
        <w:rPr>
          <w:noProof/>
        </w:rPr>
        <w:t>1</w:t>
      </w:r>
      <w:r w:rsidR="005D0AA8">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p>
    <w:p w14:paraId="5E06E831" w14:textId="75CE52A0" w:rsidR="00BF72AE" w:rsidRDefault="00BF72AE" w:rsidP="00BF72AE">
      <w:pPr>
        <w:keepNext/>
      </w:pPr>
      <w:r>
        <w:rPr>
          <w:noProof/>
        </w:rPr>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126609" cy="1371600"/>
                    </a:xfrm>
                    <a:prstGeom prst="rect">
                      <a:avLst/>
                    </a:prstGeom>
                  </pic:spPr>
                </pic:pic>
              </a:graphicData>
            </a:graphic>
          </wp:inline>
        </w:drawing>
      </w:r>
      <w:r>
        <w:t>(b)</w:t>
      </w:r>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9" cy="1371600"/>
                    </a:xfrm>
                    <a:prstGeom prst="rect">
                      <a:avLst/>
                    </a:prstGeom>
                  </pic:spPr>
                </pic:pic>
              </a:graphicData>
            </a:graphic>
          </wp:inline>
        </w:drawing>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lastRenderedPageBreak/>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3A5E95A4"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9373A0">
        <w:t xml:space="preserve">Table </w:t>
      </w:r>
      <w:r w:rsidR="009373A0">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1B32DFFB" w14:textId="09C752D7" w:rsidR="00C61057" w:rsidRDefault="00C61057">
      <w:pPr>
        <w:spacing w:line="240" w:lineRule="auto"/>
        <w:ind w:firstLine="0"/>
        <w:jc w:val="left"/>
      </w:pPr>
      <w:r>
        <w:br w:type="page"/>
      </w:r>
    </w:p>
    <w:p w14:paraId="3EC1AD7D" w14:textId="77777777" w:rsidR="00C61057" w:rsidRDefault="00C61057" w:rsidP="00C519BF"/>
    <w:p w14:paraId="49705BEC" w14:textId="7D6780ED" w:rsidR="000C5086" w:rsidRDefault="000C5086" w:rsidP="00031822">
      <w:pPr>
        <w:pStyle w:val="Caption"/>
        <w:keepNext/>
      </w:pPr>
      <w:bookmarkStart w:id="1" w:name="_Ref149505424"/>
      <w:r>
        <w:t xml:space="preserve">Table </w:t>
      </w:r>
      <w:r>
        <w:fldChar w:fldCharType="begin"/>
      </w:r>
      <w:r>
        <w:instrText xml:space="preserve"> SEQ Table \* ARABIC </w:instrText>
      </w:r>
      <w:r>
        <w:fldChar w:fldCharType="separate"/>
      </w:r>
      <w:r w:rsidR="005F746F">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w:t>
            </w:r>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6D2C420C" w14:textId="4E379CFA" w:rsidR="00C61057" w:rsidRDefault="00C61057">
      <w:pPr>
        <w:spacing w:line="240" w:lineRule="auto"/>
        <w:ind w:firstLine="0"/>
        <w:jc w:val="left"/>
      </w:pPr>
      <w:r>
        <w:br w:type="page"/>
      </w:r>
    </w:p>
    <w:p w14:paraId="13D9D68C" w14:textId="7806B61D" w:rsidR="000816B7" w:rsidRPr="00EA1749" w:rsidRDefault="000816B7" w:rsidP="00031822">
      <w:pPr>
        <w:pStyle w:val="Heading3"/>
      </w:pPr>
      <w:r w:rsidRPr="00EA1749">
        <w:lastRenderedPageBreak/>
        <w:t>International Context</w:t>
      </w:r>
    </w:p>
    <w:p w14:paraId="7503937D" w14:textId="3088EAAB"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9373A0">
        <w:t xml:space="preserve">Table </w:t>
      </w:r>
      <w:r w:rsidR="009373A0">
        <w:rPr>
          <w:noProof/>
        </w:rPr>
        <w:t>2</w:t>
      </w:r>
      <w:r w:rsidR="00CF1F18">
        <w:fldChar w:fldCharType="end"/>
      </w:r>
      <w:r w:rsidR="00821AC5" w:rsidRPr="00821AC5">
        <w:t xml:space="preserve"> summarizes the international context:</w:t>
      </w:r>
    </w:p>
    <w:p w14:paraId="24F5281D" w14:textId="6C1094E8" w:rsidR="00C61057" w:rsidRDefault="00C61057">
      <w:pPr>
        <w:spacing w:line="240" w:lineRule="auto"/>
        <w:ind w:firstLine="0"/>
        <w:jc w:val="left"/>
      </w:pPr>
      <w:r>
        <w:br w:type="page"/>
      </w:r>
    </w:p>
    <w:p w14:paraId="532D8735" w14:textId="77777777" w:rsidR="00C61057" w:rsidRDefault="00C61057" w:rsidP="00C519BF"/>
    <w:p w14:paraId="2C2EEC2E" w14:textId="16291EE8" w:rsidR="000C5086" w:rsidRDefault="000C5086" w:rsidP="00031822">
      <w:pPr>
        <w:pStyle w:val="Caption"/>
        <w:keepNext/>
      </w:pPr>
      <w:bookmarkStart w:id="2" w:name="_Ref149505461"/>
      <w:r>
        <w:t xml:space="preserve">Table </w:t>
      </w:r>
      <w:r>
        <w:fldChar w:fldCharType="begin"/>
      </w:r>
      <w:r>
        <w:instrText xml:space="preserve"> SEQ Table \* ARABIC </w:instrText>
      </w:r>
      <w:r>
        <w:fldChar w:fldCharType="separate"/>
      </w:r>
      <w:r w:rsidR="005F746F">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522857B3" w14:textId="77777777"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p w14:paraId="410C141C" w14:textId="77777777"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3B4014C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051BA8D2"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46151098" w14:textId="23C80C2B" w:rsidR="00C61057" w:rsidRDefault="00C61057" w:rsidP="00C61057">
      <w:pPr>
        <w:spacing w:line="240" w:lineRule="auto"/>
        <w:ind w:firstLine="0"/>
        <w:jc w:val="left"/>
      </w:pPr>
      <w:r>
        <w:br w:type="page"/>
      </w:r>
    </w:p>
    <w:p w14:paraId="27A217B4" w14:textId="77777777" w:rsidR="00C74168" w:rsidRDefault="00C74168" w:rsidP="00C74168">
      <w:pPr>
        <w:pStyle w:val="Heading2"/>
      </w:pPr>
      <w:r>
        <w:lastRenderedPageBreak/>
        <w:t>Review of Literature</w:t>
      </w:r>
    </w:p>
    <w:p w14:paraId="10741E93" w14:textId="3090A5D6" w:rsidR="00C74168" w:rsidRDefault="00C74168" w:rsidP="00C74168">
      <w:pPr>
        <w:pStyle w:val="Heading3"/>
      </w:pPr>
      <w:r>
        <w:t>Interest rate swap</w:t>
      </w:r>
      <w:r w:rsidR="009862A1">
        <w:t>s</w:t>
      </w:r>
    </w:p>
    <w:p w14:paraId="2A6F397C" w14:textId="58FFE95B" w:rsidR="002C6EB0" w:rsidRDefault="00C74168" w:rsidP="00C74168">
      <w:r>
        <w:t xml:space="preserve">Formal swap agreements were first seen in financial markets in 1981/1982. </w:t>
      </w:r>
      <w:r w:rsidR="009862A1">
        <w:t xml:space="preserve">Bicksler and Chen </w:t>
      </w:r>
      <w:r w:rsidR="009862A1">
        <w:fldChar w:fldCharType="begin"/>
      </w:r>
      <w:r w:rsidR="009862A1">
        <w:instrText xml:space="preserve"> ADDIN ZOTERO_ITEM CSL_CITATION {"citationID":"s0x62LNK","properties":{"formattedCitation":"(1986)","plainCitation":"(1986)","noteIndex":0},"citationItems":[{"id":1003,"uris":["http://zotero.org/users/1226582/items/SB4AIYVM"],"itemData":{"id":1003,"type":"article-journal","abstract":"Interest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rsidR="009862A1">
        <w:fldChar w:fldCharType="separate"/>
      </w:r>
      <w:r w:rsidR="009862A1" w:rsidRPr="009862A1">
        <w:t>(1986)</w:t>
      </w:r>
      <w:r w:rsidR="009862A1">
        <w:fldChar w:fldCharType="end"/>
      </w:r>
      <w:r w:rsidR="009862A1">
        <w:t xml:space="preserve"> find three uses of interest rate swaps in the market: </w:t>
      </w:r>
      <w:r w:rsidR="002C6EB0">
        <w:t xml:space="preserve">(1) </w:t>
      </w:r>
      <w:r w:rsidR="009862A1">
        <w:t xml:space="preserve">to manage mismatches in assets and liabilities (for example, depository institutions in the US hold </w:t>
      </w:r>
      <w:r w:rsidR="002C6EB0">
        <w:t>long-term fixed rate assets such as mortgages and short-term liabilities such as demand deposits; on the other hand, insurance companies have long-term fixed rate liabilities and often invest in short term assets such as the money market funds); to lower fixed-rate borrowing costs (borrowers with poor credit can often borrow at a lower cost in the floating rate market) and to manage their debt mix. The primary economic rationale for the existence of interest rate swaps is differences between firms</w:t>
      </w:r>
      <w:r w:rsidR="00F050F7">
        <w:t>’</w:t>
      </w:r>
      <w:r w:rsidR="002C6EB0">
        <w:t xml:space="preserve"> </w:t>
      </w:r>
      <w:r w:rsidR="00F050F7">
        <w:t xml:space="preserve">costs to borrow at </w:t>
      </w:r>
      <w:r w:rsidR="002C6EB0">
        <w:t>fixed rate vs. variable rate arising due to market imperfections (e.g. differences in regulations on credit market imperfections).</w:t>
      </w:r>
    </w:p>
    <w:p w14:paraId="51C59A22" w14:textId="49C107B8" w:rsidR="00C74168" w:rsidRDefault="00C74168" w:rsidP="00C74168">
      <w:r>
        <w:t xml:space="preserve">Smith, et. al. </w:t>
      </w:r>
      <w:r w:rsidR="00B9115F">
        <w:fldChar w:fldCharType="begin"/>
      </w:r>
      <w:r w:rsidR="00B9115F">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rsidR="00B9115F">
        <w:fldChar w:fldCharType="separate"/>
      </w:r>
      <w:r w:rsidR="00B9115F">
        <w:rPr>
          <w:noProof/>
        </w:rPr>
        <w:t>(1988)</w:t>
      </w:r>
      <w:r w:rsidR="00B9115F">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w:t>
      </w:r>
      <w:r w:rsidR="00F050F7">
        <w:t>They</w:t>
      </w:r>
      <w:r>
        <w:t xml:space="preserve"> note that for a portfolio of bonds, there is an exchange of the principal at the end of the bond term, while for an interest rate swap the principal is usually notional and not exchanged. Thus, the impact of a default is greater for a corporate bond than for an interest rate swap. Futures contracts on the other-hand are exchange-traded and settled daily</w:t>
      </w:r>
      <w:r w:rsidR="003E0920">
        <w:t>,</w:t>
      </w:r>
      <w:r>
        <w:t xml:space="preserve"> </w:t>
      </w:r>
      <w:r w:rsidR="003E0920">
        <w:t xml:space="preserve">so </w:t>
      </w:r>
      <w:r>
        <w:t>the risk of loss due to counterparty default is close to zero. For forwards, the contract value is realized only at the end of the contract period and has greater potential for counterparty default than for futures. An interest rate swap is somewhere in-between: it is periodically settled (on the payment dates).</w:t>
      </w:r>
    </w:p>
    <w:p w14:paraId="24B6F50D" w14:textId="6C4505F3" w:rsidR="00C74168" w:rsidRDefault="00C74168" w:rsidP="00C74168">
      <w:r>
        <w:t xml:space="preserve">Minton </w:t>
      </w:r>
      <w:r w:rsidR="00B9115F">
        <w:fldChar w:fldCharType="begin"/>
      </w:r>
      <w:r w:rsidR="00B9115F">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rsidR="00B9115F">
        <w:fldChar w:fldCharType="separate"/>
      </w:r>
      <w:r w:rsidR="00B9115F">
        <w:rPr>
          <w:noProof/>
        </w:rPr>
        <w:t>(1997)</w:t>
      </w:r>
      <w:r w:rsidR="00B9115F">
        <w:fldChar w:fldCharType="end"/>
      </w:r>
      <w:r>
        <w:t xml:space="preserve"> examines these valuation models. He finds that the fixed rate of the interest rate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w:t>
      </w:r>
      <w:r w:rsidR="003E0920">
        <w:t>ve a</w:t>
      </w:r>
      <w:r>
        <w:t xml:space="preserve"> significant explanatory power, suggesting counterparty risk is a factor in observed swaps pricing.</w:t>
      </w:r>
    </w:p>
    <w:p w14:paraId="1C194BF0" w14:textId="77777777" w:rsidR="00F050F7" w:rsidRDefault="00F050F7" w:rsidP="00C74168"/>
    <w:p w14:paraId="19E3C060" w14:textId="77777777" w:rsidR="00C74168" w:rsidRDefault="00C74168" w:rsidP="00C74168">
      <w:pPr>
        <w:pStyle w:val="Heading3"/>
      </w:pPr>
      <w:r>
        <w:lastRenderedPageBreak/>
        <w:t>Liquidity</w:t>
      </w:r>
    </w:p>
    <w:p w14:paraId="5157F5BF" w14:textId="60DFFD0B" w:rsidR="00C74168" w:rsidRDefault="00C74168" w:rsidP="00C74168">
      <w:r>
        <w:t xml:space="preserve">Biais </w:t>
      </w:r>
      <w:r w:rsidR="00B9115F">
        <w:fldChar w:fldCharType="begin"/>
      </w:r>
      <w:r w:rsidR="00B9115F">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B9115F">
        <w:fldChar w:fldCharType="separate"/>
      </w:r>
      <w:r w:rsidR="00B9115F">
        <w:rPr>
          <w:noProof/>
        </w:rPr>
        <w:t>(1993)</w:t>
      </w:r>
      <w:r w:rsidR="00B9115F">
        <w:fldChar w:fldCharType="end"/>
      </w:r>
      <w:r>
        <w:t xml:space="preserve"> proposes a model for a dealer intermediated market and derives the optimal bid-ask spreads quoted by dealer</w:t>
      </w:r>
      <w:r w:rsidR="00F050F7">
        <w:t>s</w:t>
      </w:r>
      <w:r>
        <w:t xml:space="preserve"> with constant absolute risk aversion</w:t>
      </w:r>
      <w:r w:rsidR="00F050F7">
        <w:t xml:space="preserve"> (CARA)</w:t>
      </w:r>
      <w:r>
        <w:t xml:space="preserve">. </w:t>
      </w:r>
      <w:r w:rsidR="00F050F7">
        <w:t xml:space="preserve">A basic version of </w:t>
      </w:r>
      <w:r w:rsidR="002870B8">
        <w:t>Biais'</w:t>
      </w:r>
      <w:r w:rsidR="00F050F7">
        <w:t xml:space="preserve"> model motivates the </w:t>
      </w:r>
      <w:r w:rsidR="002870B8">
        <w:t xml:space="preserve">theoretical model of liquidity and is explored further in </w:t>
      </w:r>
      <w:r w:rsidR="001F206A">
        <w:t>the theory</w:t>
      </w:r>
      <w:r w:rsidR="002870B8">
        <w:t xml:space="preserve"> section of </w:t>
      </w:r>
      <w:r w:rsidR="001F206A">
        <w:t xml:space="preserve">this </w:t>
      </w:r>
      <w:r w:rsidR="002870B8">
        <w:t>paper</w:t>
      </w:r>
      <w:r w:rsidR="00F050F7">
        <w:t>.</w:t>
      </w:r>
      <w:r w:rsidR="00BA5601">
        <w:t xml:space="preserve"> Several papers </w:t>
      </w:r>
      <w:r w:rsidR="001F206A">
        <w:t xml:space="preserve">empirically </w:t>
      </w:r>
      <w:r w:rsidR="00BA5601">
        <w:t>examine liquidity in the interest rate swap market: Sun</w:t>
      </w:r>
      <w:r w:rsidR="001F206A">
        <w:t>,</w:t>
      </w:r>
      <w:r w:rsidR="00BA5601">
        <w:t xml:space="preserve"> et. al. </w:t>
      </w:r>
      <w:r w:rsidR="00BA5601">
        <w:fldChar w:fldCharType="begin"/>
      </w:r>
      <w:r w:rsidR="00BA5601">
        <w:instrText xml:space="preserve"> ADDIN ZOTERO_ITEM CSL_CITATION {"citationID":"M2C2qXrF","properties":{"formattedCitation":"(1993)","plainCitation":"(1993)","noteIndex":0},"citationItems":[{"id":1005,"uris":["http://zotero.org/users/1226582/items/4SR8ZMZ7"],"itemData":{"id":1005,"type":"article-journal","abstract":"Using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rsidR="00BA5601">
        <w:fldChar w:fldCharType="separate"/>
      </w:r>
      <w:r w:rsidR="00BA5601" w:rsidRPr="00BA5601">
        <w:t>(1993)</w:t>
      </w:r>
      <w:r w:rsidR="00BA5601">
        <w:fldChar w:fldCharType="end"/>
      </w:r>
      <w:r w:rsidR="00BA5601">
        <w:t xml:space="preserve"> examine the effect of dealer credit rating on bid-ask spreads</w:t>
      </w:r>
      <w:r w:rsidR="001756DE">
        <w:t xml:space="preserve"> using data from Meril Lynch and AIG Financial Products</w:t>
      </w:r>
      <w:r w:rsidR="00BA5601">
        <w:t xml:space="preserve">. They find that AAA dealers charge a spread of around ~10 bps while </w:t>
      </w:r>
      <w:r w:rsidR="001756DE">
        <w:t xml:space="preserve">lower </w:t>
      </w:r>
      <w:r w:rsidR="002870B8">
        <w:t>rated dealers only charge a spread of ~4 bps.</w:t>
      </w:r>
      <w:r w:rsidR="001F206A">
        <w:t xml:space="preserve"> Boudiaf, et. al </w:t>
      </w:r>
      <w:r w:rsidR="001F206A">
        <w:fldChar w:fldCharType="begin"/>
      </w:r>
      <w:r w:rsidR="001F206A">
        <w:instrText xml:space="preserve"> ADDIN ZOTERO_ITEM CSL_CITATION {"citationID":"35zfpUK7","properties":{"formattedCitation":"(2024)","plainCitation":"(2024)","noteIndex":0},"citationItems":[{"id":1007,"uris":["http://zotero.org/users/1226582/items/JVUR9HZR"],"itemData":{"id":1007,"type":"article","abstract":"This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rsidR="001F206A">
        <w:fldChar w:fldCharType="separate"/>
      </w:r>
      <w:r w:rsidR="001F206A" w:rsidRPr="001F206A">
        <w:t>(2024)</w:t>
      </w:r>
      <w:r w:rsidR="001F206A">
        <w:fldChar w:fldCharType="end"/>
      </w:r>
      <w:r w:rsidR="001F206A">
        <w:t xml:space="preserve"> examine the impact of monetary policy tightening on liquidity of EUR denominated swaps</w:t>
      </w:r>
      <w:r w:rsidR="001756DE">
        <w:t xml:space="preserve"> using a variety of liquidity measures</w:t>
      </w:r>
      <w:r w:rsidR="001F206A">
        <w:t xml:space="preserve">. They find that </w:t>
      </w:r>
      <w:r w:rsidR="001756DE">
        <w:t xml:space="preserve">their </w:t>
      </w:r>
      <w:r w:rsidR="001F206A">
        <w:t>liquidity measures are impacted by monetary policy (specifically volatility in key policy rates reduces liquidity in the swaps market).</w:t>
      </w:r>
      <w:r w:rsidR="001756DE">
        <w:t xml:space="preserve"> Liu, et al </w:t>
      </w:r>
      <w:r w:rsidR="001756DE">
        <w:fldChar w:fldCharType="begin"/>
      </w:r>
      <w:r w:rsidR="001756DE">
        <w:instrText xml:space="preserve"> ADDIN ZOTERO_ITEM CSL_CITATION {"citationID":"vzXm87AS","properties":{"formattedCitation":"(2006)","plainCitation":"(2006)","noteIndex":0},"citationItems":[{"id":707,"uris":["http://zotero.org/users/1226582/items/ZH3WYUFV"],"itemData":{"id":707,"type":"article-journal","abstract":"We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rsidR="001756DE">
        <w:fldChar w:fldCharType="separate"/>
      </w:r>
      <w:r w:rsidR="001756DE" w:rsidRPr="001756DE">
        <w:t>(2006)</w:t>
      </w:r>
      <w:r w:rsidR="001756DE">
        <w:fldChar w:fldCharType="end"/>
      </w:r>
      <w:r w:rsidR="001756DE">
        <w:t xml:space="preserve"> decompose the “spread” between interest rate swaps and corresponding treasury bills into a credit spread and liquidity spread (arising from the lower liquidity of swaps over US government bonds). They find that the credit component of the spread is ~31 bps while the liquidity component is ~7 bps. Benos, et. al </w:t>
      </w:r>
      <w:r w:rsidR="001756DE">
        <w:fldChar w:fldCharType="begin"/>
      </w:r>
      <w:r w:rsidR="001756DE">
        <w:instrText xml:space="preserve"> ADDIN ZOTERO_ITEM CSL_CITATION {"citationID":"HX40KgWY","properties":{"formattedCitation":"(2020)","plainCitation":"(2020)","noteIndex":0},"citationItems":[{"id":981,"uris":["http://zotero.org/users/1226582/items/TQEDAXF9"],"itemData":{"id":981,"type":"article-journal","abstract":"We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rsidR="001756DE">
        <w:fldChar w:fldCharType="separate"/>
      </w:r>
      <w:r w:rsidR="001756DE" w:rsidRPr="001756DE">
        <w:t>(2020)</w:t>
      </w:r>
      <w:r w:rsidR="001756DE">
        <w:fldChar w:fldCharType="end"/>
      </w:r>
      <w:r w:rsidR="001756DE">
        <w:t xml:space="preserve"> examine the impact of another Dodd-Frank mandate (trading on a</w:t>
      </w:r>
      <w:r w:rsidR="00E02657">
        <w:t>n electronic</w:t>
      </w:r>
      <w:r w:rsidR="001756DE">
        <w:t xml:space="preserve"> swaps execution facility) </w:t>
      </w:r>
      <w:r w:rsidR="00E02657">
        <w:t xml:space="preserve">on swap liquidity. They find a 12%-19% improvement in liquidity in the post-regulation market, driven by competition among dealers. Loon and Zhong </w:t>
      </w:r>
      <w:r w:rsidR="00E02657">
        <w:fldChar w:fldCharType="begin"/>
      </w:r>
      <w:r w:rsidR="00E02657">
        <w:instrText xml:space="preserve"> ADDIN ZOTERO_ITEM CSL_CITATION {"citationID":"1b6E3WUL","properties":{"formattedCitation":"(2014)","plainCitation":"(2014)","noteIndex":0},"citationItems":[{"id":721,"uris":["http://zotero.org/users/1226582/items/I23MAR6U"],"itemData":{"id":721,"type":"article-journal","abstract":"This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rsidR="00E02657">
        <w:fldChar w:fldCharType="separate"/>
      </w:r>
      <w:r w:rsidR="00E02657" w:rsidRPr="00E02657">
        <w:t>(2014)</w:t>
      </w:r>
      <w:r w:rsidR="00E02657">
        <w:fldChar w:fldCharType="end"/>
      </w:r>
      <w:r w:rsidR="00E02657">
        <w:t xml:space="preserve"> examine liquidity in the credit default swap (CDS) market following the passage of the Dodd-Frank Act. They find that central clearing in the CDS market is associated with more liquidity.</w:t>
      </w:r>
    </w:p>
    <w:p w14:paraId="39719BBA" w14:textId="77777777" w:rsidR="00C74168" w:rsidRDefault="00C74168" w:rsidP="00C74168">
      <w:pPr>
        <w:pStyle w:val="Heading3"/>
      </w:pPr>
      <w:r>
        <w:t>Price Volatility</w:t>
      </w:r>
    </w:p>
    <w:p w14:paraId="56700051" w14:textId="131787F1" w:rsidR="00C74168" w:rsidRDefault="00307F66" w:rsidP="00C74168">
      <w:r>
        <w:t xml:space="preserve">Compared to studies of pricing and liquidity, studies of price volatility in the interest rate swap market are rare. Azad, et. al </w:t>
      </w:r>
      <w:r>
        <w:fldChar w:fldCharType="begin"/>
      </w:r>
      <w:r>
        <w:instrText xml:space="preserve"> ADDIN ZOTERO_ITEM CSL_CITATION {"citationID":"4gTsCaTl","properties":{"formattedCitation":"(2012)","plainCitation":"(2012)","noteIndex":0},"citationItems":[{"id":1013,"uris":["http://zotero.org/users/1226582/items/JMHVVJ37"],"itemData":{"id":1013,"type":"article-journal","abstract":"In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w:t>
      </w:r>
      <w:r w:rsidR="00FD7E4A">
        <w:t xml:space="preserve"> using asymmetric spline GARCH (AS-GARCH). They then regress the low frequency component of the volatility against several macroeconomic variables (volatility of consumer price index, volatility of industrial production, volatility of short term interest rates, volatility of foreign exchange rates, slope of the term-structure, unemployment rate and money supply). </w:t>
      </w:r>
      <w:r w:rsidR="004827A6">
        <w:t>They find that volatility of short-term interest rates have an effect on IRS price volatility. In addition, for GBP based contracts, the money supply is negatively associated with ORS volatility. For USD based contracts, the volatility of industrial production and the slope of the yield curve also have an effect on IRS volatility.</w:t>
      </w:r>
    </w:p>
    <w:p w14:paraId="21C903C9" w14:textId="77777777" w:rsidR="00C74168" w:rsidRDefault="00C74168" w:rsidP="00C74168">
      <w:pPr>
        <w:pStyle w:val="Heading3"/>
      </w:pPr>
      <w:r>
        <w:lastRenderedPageBreak/>
        <w:t>Systemic Risk and Contagion</w:t>
      </w:r>
    </w:p>
    <w:p w14:paraId="6E41983D" w14:textId="20D37989" w:rsidR="003E0920" w:rsidRDefault="00C74168" w:rsidP="00C74168">
      <w:r>
        <w:t xml:space="preserve">Jackson and Pernoud </w:t>
      </w:r>
      <w:r w:rsidR="00B9115F">
        <w:fldChar w:fldCharType="begin"/>
      </w:r>
      <w:r w:rsidR="00B9115F">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rsidR="00B9115F">
        <w:fldChar w:fldCharType="separate"/>
      </w:r>
      <w:r w:rsidR="00B9115F">
        <w:rPr>
          <w:noProof/>
        </w:rPr>
        <w:t>(2021)</w:t>
      </w:r>
      <w:r w:rsidR="00B9115F">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w:t>
      </w:r>
      <w:r w:rsidR="003E0920">
        <w:t>s</w:t>
      </w:r>
      <w:r>
        <w:t xml:space="preserve"> of other institutions that do business with the</w:t>
      </w:r>
      <w:r w:rsidR="003E0920">
        <w:t xml:space="preserve"> failing institution</w:t>
      </w:r>
      <w:r>
        <w:t xml:space="preserve"> </w:t>
      </w:r>
      <w:r w:rsidR="003E0920">
        <w:t xml:space="preserve">are </w:t>
      </w:r>
      <w:r>
        <w:t xml:space="preserve">also diminished and can cause a cascading series of failures. Each failure leads to additional bankruptcy costs and the final cost to the system </w:t>
      </w:r>
      <w:r w:rsidR="003E0920">
        <w:t xml:space="preserve">at the end of the process </w:t>
      </w:r>
      <w:r>
        <w:t xml:space="preserve">can </w:t>
      </w:r>
      <w:r w:rsidR="003E0920">
        <w:t xml:space="preserve">vastly </w:t>
      </w:r>
      <w:r>
        <w:t xml:space="preserve">exceed the </w:t>
      </w:r>
      <w:r w:rsidR="003E0920">
        <w:t xml:space="preserve">size of </w:t>
      </w:r>
      <w:r>
        <w:t xml:space="preserve">initial shock. Such models are explored by Rochet &amp; Tirole </w:t>
      </w:r>
      <w:r w:rsidR="000C76FB">
        <w:fldChar w:fldCharType="begin"/>
      </w:r>
      <w:r w:rsidR="000C76FB">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rsidR="000C76FB">
        <w:fldChar w:fldCharType="separate"/>
      </w:r>
      <w:r w:rsidR="000C76FB">
        <w:rPr>
          <w:noProof/>
        </w:rPr>
        <w:t>(1996)</w:t>
      </w:r>
      <w:r w:rsidR="000C76FB">
        <w:fldChar w:fldCharType="end"/>
      </w:r>
      <w:r>
        <w:t xml:space="preserve"> and Allen &amp; Gale</w:t>
      </w:r>
      <w:r w:rsidR="000C76FB">
        <w:t xml:space="preserve"> </w:t>
      </w:r>
      <w:r w:rsidR="000C76FB">
        <w:fldChar w:fldCharType="begin"/>
      </w:r>
      <w:r w:rsidR="000C76FB">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rsidR="000C76FB">
        <w:fldChar w:fldCharType="separate"/>
      </w:r>
      <w:r w:rsidR="000C76FB">
        <w:rPr>
          <w:noProof/>
        </w:rPr>
        <w:t>(2007; 2000)</w:t>
      </w:r>
      <w:r w:rsidR="000C76FB">
        <w:fldChar w:fldCharType="end"/>
      </w:r>
      <w:r>
        <w:t xml:space="preserve">. </w:t>
      </w:r>
    </w:p>
    <w:p w14:paraId="37A30020" w14:textId="11D78C3E" w:rsidR="00C74168" w:rsidRDefault="00C74168" w:rsidP="00C74168">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assets to insolvency. </w:t>
      </w:r>
      <w:r w:rsidR="003E0920">
        <w:t xml:space="preserve">A prominent real-world example of this scenario is the 1998 crisis at Long Term Capital Management (LTCM). LTCM was a hedge fund that used a highly leveraged portfolio of interest rate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w:t>
      </w:r>
      <w:r w:rsidR="00F31111">
        <w:t xml:space="preserve">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w:t>
      </w:r>
      <w:r>
        <w:t>This type of models are explored by Kiyotaki &amp; Moore (1997), Cifuentes et al. (2005), Gai &amp; Kapadia (2010), Capponi &amp; Larsson (2015) and Greenwood et al. (2015).</w:t>
      </w:r>
    </w:p>
    <w:p w14:paraId="034897C2" w14:textId="77777777" w:rsidR="00C74168" w:rsidRDefault="00C74168" w:rsidP="00C74168">
      <w:r>
        <w:t xml:space="preserve">Besides the network avenue, contagion can also occur through feedback loops and multiple equilibria. The classic Diamond and Dybvig (1983) model illustrates how multiple equilibria can lead to panic and bank runs. Banks lend out money long term and take in deposits for short terms. If enough depositors demand to withdraw their funds at once, the bank cannot repay all of them. In fact, if depositors believe a bank is insolvent (or even that others believe that the bank is </w:t>
      </w:r>
      <w:r>
        <w:lastRenderedPageBreak/>
        <w:t>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This type of models are explored by Bebchuk &amp; Goldstein (2011), Brunnermeier (2009) and Diamond and Rajan (2011).</w:t>
      </w:r>
    </w:p>
    <w:p w14:paraId="12F28F92" w14:textId="77777777" w:rsidR="00C74168" w:rsidRDefault="00C74168" w:rsidP="00C74168">
      <w:pPr>
        <w:pStyle w:val="Heading3"/>
      </w:pPr>
      <w:r>
        <w:t>Central Clearing</w:t>
      </w:r>
    </w:p>
    <w:p w14:paraId="7E7AA051" w14:textId="0C5C803E" w:rsidR="00C74168" w:rsidRDefault="00C74168" w:rsidP="00C74168">
      <w:r>
        <w:t xml:space="preserve">The policy and market implications of a central clearing mandate are discussed extensively by Pirrong (2011).  Per Pirrong, CCPs should clear liquid, standardized products, as illiquid products can pose substantial risks to the CCP. They can reduce the disruptive effect of defaults by drawing on additional sources of capital and facilitating orderly liquidation of positions. However, they </w:t>
      </w:r>
      <w:r w:rsidR="00F31111">
        <w:t>can</w:t>
      </w:r>
      <w:r>
        <w:t xml:space="preserve"> also increase systemic risk by requiring additional margin during periods of financial stress. In addition, by mutualizing the risk of default, they can induce market participants to take more risk (moral hazard and selection issues).  CCPs are also subject to economies of scale and scope (that is, the market will converge to one or few large CCPs that can economize over costs of warehousing and multiproduct netting).</w:t>
      </w:r>
      <w:r w:rsidR="00F31111">
        <w:t xml:space="preserve"> Since a CCP is likely to become a systemically important financial institution, regulators must monitor it closely and have prudent measures (such as a resolution plan if the CCP collapses).</w:t>
      </w:r>
    </w:p>
    <w:p w14:paraId="416530D2" w14:textId="38001AB6" w:rsidR="00C74168" w:rsidRDefault="00AE2A76" w:rsidP="00C74168">
      <w:r>
        <w:t xml:space="preserve">Duffie and Zhu (2011) also show that theoretically concentrating clearing to one CCP can economize on collateral. </w:t>
      </w:r>
      <w:r w:rsidR="00C74168">
        <w:t>Benos et al. (2019) explores the issue of economies of scale/scope</w:t>
      </w:r>
      <w:r w:rsidR="009C4BAC">
        <w:t xml:space="preserve"> among CCPs</w:t>
      </w:r>
      <w:r w:rsidR="00C74168">
        <w:t>. Regulators in Europe and United States have required “local CCPs</w:t>
      </w:r>
      <w:r w:rsidR="009C4BAC">
        <w:t>”</w:t>
      </w:r>
      <w:r w:rsidR="00C74168">
        <w:t xml:space="preserve"> </w:t>
      </w:r>
      <w:r w:rsidR="009C4BAC">
        <w:t>to clear contracts that originate in their jurisdiction</w:t>
      </w:r>
      <w:r w:rsidR="00C74168">
        <w:t>. Benos</w:t>
      </w:r>
      <w:r w:rsidR="009C4BAC">
        <w:t>,</w:t>
      </w:r>
      <w:r w:rsidR="00C74168">
        <w:t xml:space="preserve"> et al. find that the same contract trades at different prices when cleared through </w:t>
      </w:r>
      <w:r w:rsidR="009C4BAC">
        <w:t>tw</w:t>
      </w:r>
      <w:r>
        <w:t>o</w:t>
      </w:r>
      <w:r w:rsidR="009C4BAC">
        <w:t xml:space="preserve"> </w:t>
      </w:r>
      <w:r w:rsidR="00C74168">
        <w:t>different clearinghouses (</w:t>
      </w:r>
      <w:r w:rsidR="009C4BAC">
        <w:t xml:space="preserve">LCH in the UK/Europe and CME </w:t>
      </w:r>
      <w:r w:rsidR="00C74168">
        <w:t>Clearing</w:t>
      </w:r>
      <w:r w:rsidR="009C4BAC">
        <w:t xml:space="preserve"> in the US</w:t>
      </w:r>
      <w:r w:rsidR="00C74168">
        <w:t xml:space="preserve">) and suggest that this basis arises due to increased collateral costs when clearing is fragmented. </w:t>
      </w:r>
    </w:p>
    <w:p w14:paraId="620EC99F" w14:textId="6F345227" w:rsidR="00C74168" w:rsidRDefault="00C74168" w:rsidP="00C74168">
      <w:r>
        <w:t>Bernstein</w:t>
      </w:r>
      <w:r w:rsidR="00AE2A76">
        <w:t>,</w:t>
      </w:r>
      <w:r>
        <w:t xml:space="preserve"> et al. </w:t>
      </w:r>
      <w:r w:rsidR="000C76FB">
        <w:fldChar w:fldCharType="begin"/>
      </w:r>
      <w:r w:rsidR="000C76FB">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rsidR="000C76FB">
        <w:fldChar w:fldCharType="separate"/>
      </w:r>
      <w:r w:rsidR="000C76FB">
        <w:rPr>
          <w:noProof/>
        </w:rPr>
        <w:t>(2019)</w:t>
      </w:r>
      <w:r w:rsidR="000C76FB">
        <w:fldChar w:fldCharType="end"/>
      </w:r>
      <w:r w:rsidR="000C76FB">
        <w:t xml:space="preserve"> </w:t>
      </w:r>
      <w:r>
        <w:t xml:space="preserve">look at the impact of central clearing on equities pricing by examining the prices of the same stocks traded on New York Stock Exchange (NYSE) and Consolidated </w:t>
      </w:r>
      <w:r>
        <w:lastRenderedPageBreak/>
        <w:t xml:space="preserve">Stock Exchange (CSE). The NYSE established a clearinghouse in 1892 while the CSE did not. </w:t>
      </w:r>
      <w:r w:rsidR="00AE2A76">
        <w:t>They</w:t>
      </w:r>
      <w:r>
        <w:t xml:space="preserve"> find that the same stocks on the NYSE traded for 90-173 premium over the CSE price.</w:t>
      </w: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6DF324E1"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r w:rsidR="000C76FB">
        <w:t xml:space="preserve"> </w:t>
      </w:r>
      <w:r w:rsidR="000C76FB">
        <w:fldChar w:fldCharType="begin"/>
      </w:r>
      <w:r w:rsidR="00B93079">
        <w:instrText xml:space="preserve"> ADDIN ZOTERO_ITEM CSL_CITATION {"citationID":"ILXbMtTo","properties":{"formattedCitation":"(Skarr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rsidR="000C76FB">
        <w:fldChar w:fldCharType="separate"/>
      </w:r>
      <w:r w:rsidR="00B93079">
        <w:rPr>
          <w:noProof/>
        </w:rPr>
        <w:t>(Skarr and Szakaly-Moore 2007)</w:t>
      </w:r>
      <w:r w:rsidR="000C76FB">
        <w:fldChar w:fldCharType="end"/>
      </w:r>
      <w:r>
        <w:t>:</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17E37B5C" w:rsidR="0034098A" w:rsidRDefault="0027378C" w:rsidP="002F4ED0">
      <w:r>
        <w:t xml:space="preserve">Floating rate payments are unknown in advance but are usually </w:t>
      </w:r>
      <w:r w:rsidR="00B93079">
        <w:t>forecasted</w:t>
      </w:r>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w:t>
      </w:r>
      <w:r>
        <w:lastRenderedPageBreak/>
        <w:t xml:space="preserve">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8AE67F0" w14:textId="77777777" w:rsidR="00B93079" w:rsidRDefault="0027378C" w:rsidP="00031822">
      <w:r>
        <w:t>The interest rate swap market is dominated by a handful of substantial swap dealers (SDs) and Major Swap Participants (MSPs) rather than many atomistic market participants</w:t>
      </w:r>
      <w:r w:rsidR="00B93079">
        <w:fldChar w:fldCharType="begin"/>
      </w:r>
      <w:r w:rsidR="00B93079">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rsidR="00B93079">
        <w:fldChar w:fldCharType="separate"/>
      </w:r>
      <w:r w:rsidR="00B93079">
        <w:rPr>
          <w:noProof/>
        </w:rPr>
        <w:t>(Bolandnazar 2020)</w:t>
      </w:r>
      <w:r w:rsidR="00B93079">
        <w:fldChar w:fldCharType="end"/>
      </w:r>
      <w:r>
        <w:t>. These SDs and MSPs offer buy and sell quotes for swaps, potentially finding other participants to balance their swap exposures. Figure 1 depicts a hypothetical network model of such a market.</w:t>
      </w:r>
    </w:p>
    <w:p w14:paraId="5E4A6229" w14:textId="2E74FA2D" w:rsidR="0027378C" w:rsidRDefault="0027378C" w:rsidP="00031822">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4"/>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4D81746E"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w:t>
      </w:r>
      <w:r w:rsidR="00C223E8">
        <w:lastRenderedPageBreak/>
        <w:t xml:space="preserve">longer </w:t>
      </w:r>
      <w:r w:rsidR="005A7F47">
        <w:t xml:space="preserve">has </w:t>
      </w:r>
      <w:r w:rsidR="00876F18">
        <w:t xml:space="preserve">to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act</w:t>
      </w:r>
      <w:r w:rsidR="00B93079">
        <w:t xml:space="preserve">. This adjustment is </w:t>
      </w:r>
      <w:r w:rsidR="00876F18">
        <w:t xml:space="preserve">called </w:t>
      </w:r>
      <w:r w:rsidR="008F7BF3">
        <w:t xml:space="preserve">the </w:t>
      </w:r>
      <w:r w:rsidR="00876F18">
        <w:t>Debit Value Adjustment [DBA]</w:t>
      </w:r>
      <w:r w:rsidR="00B93079">
        <w:t xml:space="preserve"> and not shown above</w:t>
      </w:r>
      <w:r w:rsidR="00876F18">
        <w:t>).</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5"/>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0C77AD2B" w:rsidR="004F43A3" w:rsidRDefault="004F43A3" w:rsidP="00031822">
      <w:r>
        <w:t xml:space="preserve">I adapt the model from Biais </w:t>
      </w:r>
      <w:r w:rsidR="00AB5DFD">
        <w:fldChar w:fldCharType="begin"/>
      </w:r>
      <w:r w:rsidR="00AB5DFD">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rsidR="00AB5DFD">
        <w:fldChar w:fldCharType="separate"/>
      </w:r>
      <w:r w:rsidR="00AB5DFD">
        <w:rPr>
          <w:noProof/>
        </w:rPr>
        <w:t>(1993)</w:t>
      </w:r>
      <w:r w:rsidR="00AB5DFD">
        <w:fldChar w:fldCharType="end"/>
      </w:r>
      <w:r>
        <w:t xml:space="preserve"> for centralized trading where all market participants can observe the bids, asks and market orders of their market participants. The model is a sequential </w:t>
      </w:r>
      <w:r>
        <w:lastRenderedPageBreak/>
        <w:t xml:space="preserve">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lastRenderedPageBreak/>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and the bid ask quotes become the reservation quotes.</w:t>
      </w:r>
    </w:p>
    <w:p w14:paraId="5C9C588C" w14:textId="3B5E30D9" w:rsidR="004F43A3" w:rsidRPr="00143C59" w:rsidRDefault="00234D83" w:rsidP="00031822">
      <w:pPr>
        <w:pStyle w:val="Heading3"/>
      </w:pPr>
      <w:r>
        <w:lastRenderedPageBreak/>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There are two sets of agents: market-makers who post bid and ask prices, and liquidity traders who post market orders. Assume that order-flow (net market-buy or market-sell orders) in one period are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 xml:space="preserve">I modify the above model to include additional order-flow dynamics related to counterparty risk. Assume that when the current period’s order-flow is negative, there is additional sell-off of the </w:t>
      </w:r>
      <w:r>
        <w:lastRenderedPageBreak/>
        <w:t>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0A0494C8"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9373A0">
        <w:t>0</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difference-in-differences (DiD) identification strategy, </w:t>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w:t>
      </w:r>
      <w:r w:rsidR="00EF140B">
        <w:lastRenderedPageBreak/>
        <w:t xml:space="preserve">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DiD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45575869"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w:t>
      </w:r>
      <w:r w:rsidR="009373A0">
        <w:t xml:space="preserve">and experimental </w:t>
      </w:r>
      <w:r>
        <w:t>groups, and</w:t>
      </w:r>
      <w:r w:rsidR="004A2BFC">
        <w:t xml:space="preserve"> placebo DiD</w:t>
      </w:r>
      <w:r w:rsidR="0032163A">
        <w:t xml:space="preserve"> (described in the results section)</w:t>
      </w:r>
      <w:r>
        <w:t>.</w:t>
      </w:r>
    </w:p>
    <w:p w14:paraId="034557F9" w14:textId="201ECB63" w:rsidR="00C61057" w:rsidRDefault="00C61057" w:rsidP="00C61057">
      <w:r>
        <w:t xml:space="preserve">I begin by examining whether the parallel trends assumption holds by visually inspecting the swap rate (fixed rate of an interest rate swaps contract) prior to each phase of the implementation of the clearing mandate. I examine the three most common tenors of USD and CAD interest rate swaps (2-year, 5-year and 10-year swaps). The data is reported by Bloomberg and is usually the average of 11 or more contracts traded around 11:00 AM Eastern Time of the trading day that meet contract specifications (described earlier). </w:t>
      </w:r>
      <w:r>
        <w:fldChar w:fldCharType="begin"/>
      </w:r>
      <w:r>
        <w:instrText xml:space="preserve"> REF _Ref160963634 \h </w:instrText>
      </w:r>
      <w:r>
        <w:fldChar w:fldCharType="separate"/>
      </w:r>
      <w:r w:rsidR="009373A0">
        <w:t xml:space="preserve">Figure </w:t>
      </w:r>
      <w:r w:rsidR="009373A0">
        <w:rPr>
          <w:noProof/>
        </w:rPr>
        <w:t>2</w:t>
      </w:r>
      <w:r>
        <w:fldChar w:fldCharType="end"/>
      </w:r>
      <w:r>
        <w:t xml:space="preserve"> shows these trends for the periods described above. The swaps rates show a parallel trend prior to the implementation of the clearing mandate, with the Canadian swaps rate being higher than the US rate. This is likely due to differences in key policy rates between the US (lower Fed Funds target rate 0%) and Canada (key policy rate target 1%). There was no change to these policy rates in 2013.</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lastRenderedPageBreak/>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24C02753"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banks and other financial institutions, </w:t>
      </w:r>
      <w:r w:rsidRPr="00935E65">
        <w:t>while Phase 3 covered all remaining entities</w:t>
      </w:r>
      <w:r w:rsidR="00544B00">
        <w:t xml:space="preserve"> (</w:t>
      </w:r>
      <w:r w:rsidRPr="00935E65">
        <w:t>unless exempted</w:t>
      </w:r>
      <w:r w:rsidR="00FD79B0">
        <w:t>, for example if the swap user is a non-financial entity that uses swaps to hedge commercial risk</w:t>
      </w:r>
      <w:r w:rsidR="00544B00">
        <w:t>)</w:t>
      </w:r>
      <w:r w:rsidRPr="00935E65">
        <w:t xml:space="preserve">. </w:t>
      </w:r>
      <w:r w:rsidR="008B5A3B">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amount and no optionality. </w:t>
      </w:r>
      <w:r w:rsidRPr="00935E65">
        <w:t xml:space="preserve">The IR swaps covered by the mandate were the largest </w:t>
      </w:r>
      <w:r w:rsidR="004A2BFC">
        <w:t>categories</w:t>
      </w:r>
      <w:r w:rsidRPr="00935E65">
        <w:t xml:space="preserve"> by volume.</w:t>
      </w:r>
    </w:p>
    <w:p w14:paraId="4DD52F25" w14:textId="77777777" w:rsidR="00655B55" w:rsidRDefault="0004387C" w:rsidP="00655B55">
      <w:pPr>
        <w:rPr>
          <w:color w:val="000000" w:themeColor="text1"/>
        </w:rPr>
      </w:pPr>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r w:rsidR="008F2992">
        <w:t xml:space="preserve"> For the main part of the dissertation, I restrict my dataset to observations where the premium is within ±50 bps</w:t>
      </w:r>
      <w:r w:rsidR="0038485E">
        <w:t xml:space="preserve"> of the Bloomberg reported price of a swap with similar </w:t>
      </w:r>
      <w:r w:rsidR="009373A0">
        <w:t>characteristics</w:t>
      </w:r>
      <w:r w:rsidR="008F2992">
        <w:t xml:space="preserve">. Swaps that have a much higher premia are likely to have unseen characteristics (such as early termination clauses, conditional notional amounts, etc.) that are not observable in the dataset. In an appendix, I show that </w:t>
      </w:r>
      <w:r w:rsidR="005B5046">
        <w:t>my</w:t>
      </w:r>
      <w:r w:rsidR="008F2992">
        <w:t xml:space="preserve"> results are robust to including these outliers.</w:t>
      </w:r>
      <w:r w:rsidR="00655B55">
        <w:t>]</w:t>
      </w:r>
    </w:p>
    <w:p w14:paraId="038FAF33" w14:textId="041251B5" w:rsidR="008A79F1" w:rsidRPr="00655B55" w:rsidRDefault="00655B55" w:rsidP="00655B55">
      <w:pPr>
        <w:rPr>
          <w:color w:val="000000" w:themeColor="text1"/>
        </w:rPr>
      </w:pPr>
      <w:r>
        <w:rPr>
          <w:color w:val="000000" w:themeColor="text1"/>
        </w:rPr>
        <w:lastRenderedPageBreak/>
        <w:t>Note that before the regulation is passed, (voluntary) clearing in USD-denominated swaps is a little less than 61%. After phase 1 implementation, clearing increases to around 78%. After phase 2 implementation, clearing 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71DAE32C" w14:textId="30D4B693" w:rsidR="009F7AFA"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w:t>
      </w:r>
      <w:r w:rsidR="00FD79B0">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rsidR="009F7AFA">
        <w:t xml:space="preserve">(curve </w:t>
      </w:r>
      <w:r w:rsidR="00FD79B0">
        <w:t>S23</w:t>
      </w:r>
      <w:r w:rsidR="009F7AFA">
        <w:t xml:space="preserve">) </w:t>
      </w:r>
      <w:r w:rsidRPr="0004387C">
        <w:t xml:space="preserve">for each trading day from Bloomberg. I </w:t>
      </w:r>
      <w:r w:rsidR="00180890">
        <w:t xml:space="preserve">similarly </w:t>
      </w:r>
      <w:r w:rsidRPr="0004387C">
        <w:t xml:space="preserve">obtain the Canadian yield curve </w:t>
      </w:r>
      <w:r w:rsidR="00180890">
        <w:t xml:space="preserve">(curve S__) </w:t>
      </w:r>
      <w:r w:rsidRPr="0004387C">
        <w:t>from the Bloomberg Terminal</w:t>
      </w:r>
      <w:r w:rsidR="00180890">
        <w:t xml:space="preserve"> for pricing Canadian swaps</w:t>
      </w:r>
      <w:r w:rsidRPr="0004387C">
        <w:t>.</w:t>
      </w:r>
    </w:p>
    <w:p w14:paraId="3A40E47D" w14:textId="0268F8E3" w:rsidR="008A79F1" w:rsidRPr="0004387C" w:rsidRDefault="005356E2" w:rsidP="00031822">
      <w:r w:rsidRPr="0004387C">
        <w:t xml:space="preserve">I use the QuantLib-python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 xml:space="preserve">the curve is anchored by US swap rates. </w:t>
      </w:r>
      <w:r w:rsidR="00387B98">
        <w:fldChar w:fldCharType="begin"/>
      </w:r>
      <w:r w:rsidR="00387B98">
        <w:instrText xml:space="preserve"> REF _Ref160808244 \h </w:instrText>
      </w:r>
      <w:r w:rsidR="00387B98">
        <w:fldChar w:fldCharType="separate"/>
      </w:r>
      <w:r w:rsidR="009373A0">
        <w:t xml:space="preserve">Table </w:t>
      </w:r>
      <w:r w:rsidR="009373A0">
        <w:rPr>
          <w:noProof/>
        </w:rPr>
        <w:t>3</w:t>
      </w:r>
      <w:r w:rsidR="00387B98">
        <w:fldChar w:fldCharType="end"/>
      </w:r>
      <w:r w:rsidR="00387B98">
        <w:t xml:space="preserve"> shows sample data for CAD and USD yield curves on September 11, 2013. Note that futures rates need to have a convexity adjustment applied </w:t>
      </w:r>
      <w:r w:rsidR="00531890">
        <w:t xml:space="preserve">since futures payoffs differ from payoffs for other instruments. The values reported in the table have this convexity adjustment applied. </w:t>
      </w:r>
      <w:r w:rsidR="00286E2A">
        <w:t xml:space="preserve">Values between the </w:t>
      </w:r>
      <w:r w:rsidR="00531890">
        <w:t>“</w:t>
      </w:r>
      <w:r w:rsidR="00FD79B0">
        <w:t>pillars</w:t>
      </w:r>
      <w:r w:rsidR="00531890">
        <w:t>”</w:t>
      </w:r>
      <w:r w:rsidR="00FD79B0">
        <w:t xml:space="preserve"> </w:t>
      </w:r>
      <w:r w:rsidR="00531890">
        <w:t xml:space="preserve">(data points) </w:t>
      </w:r>
      <w:r w:rsidR="0038485E">
        <w:t xml:space="preserve">of the yield curve </w:t>
      </w:r>
      <w:r w:rsidR="00286E2A">
        <w:t>need to be interpolated. I use piecewise linear interpolation.</w:t>
      </w:r>
      <w:r w:rsidR="00531890">
        <w:t xml:space="preserve"> I verify the curve by pricing contracts using my constructed curve and comparing against calculations by Bloomberg SWPM function. I </w:t>
      </w:r>
      <w:r w:rsidR="0038485E">
        <w:t>can</w:t>
      </w:r>
      <w:r w:rsidR="00531890">
        <w:t xml:space="preserve"> match the output of SWPM up to 4 decimal places.</w:t>
      </w:r>
    </w:p>
    <w:p w14:paraId="668A5947" w14:textId="6F4663F7" w:rsidR="008A79F1" w:rsidRDefault="00FF211F" w:rsidP="00031822">
      <w:r w:rsidRPr="0004387C">
        <w:t xml:space="preserve">The </w:t>
      </w:r>
      <w:r w:rsidR="0038485E">
        <w:t xml:space="preserve">contract characteristics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swaps that make a single payment at maturity (i.e., payment frequency is 1T</w:t>
      </w:r>
      <w:r w:rsidR="003B1DFC">
        <w:t>)</w:t>
      </w:r>
      <w:r w:rsidR="009373A0">
        <w:t xml:space="preserve">, which should actually be </w:t>
      </w:r>
      <w:r w:rsidR="009373A0">
        <w:lastRenderedPageBreak/>
        <w:t>classified as a FRA</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9373A0" w:rsidRPr="0004387C">
        <w:rPr>
          <w:color w:val="000000" w:themeColor="text1"/>
        </w:rPr>
        <w:t xml:space="preserve">Table </w:t>
      </w:r>
      <w:r w:rsidR="009373A0">
        <w:rPr>
          <w:noProof/>
          <w:color w:val="000000" w:themeColor="text1"/>
        </w:rPr>
        <w:t>4</w:t>
      </w:r>
      <w:r w:rsidR="00CF1F18">
        <w:fldChar w:fldCharType="end"/>
      </w:r>
      <w:r w:rsidR="00CF1F18">
        <w:t xml:space="preserve"> </w:t>
      </w:r>
      <w:r w:rsidRPr="0004387C">
        <w:t>shows the notional value and number of trades captured in my data</w:t>
      </w:r>
      <w:r w:rsidR="009373A0">
        <w:t>, by clearing status and reference floating leg rate</w:t>
      </w:r>
      <w:r w:rsidRPr="0004387C">
        <w:t>.</w:t>
      </w:r>
    </w:p>
    <w:p w14:paraId="418A783B" w14:textId="313BA737" w:rsidR="005F746F" w:rsidRDefault="005F746F" w:rsidP="00031822">
      <w:r>
        <w:fldChar w:fldCharType="begin"/>
      </w:r>
      <w:r>
        <w:instrText xml:space="preserve"> REF _Ref160966456 \h </w:instrText>
      </w:r>
      <w:r>
        <w:fldChar w:fldCharType="separate"/>
      </w:r>
      <w:r>
        <w:t xml:space="preserve">Table </w:t>
      </w:r>
      <w:r>
        <w:rPr>
          <w:noProof/>
        </w:rPr>
        <w:t>5</w:t>
      </w:r>
      <w:r>
        <w:fldChar w:fldCharType="end"/>
      </w:r>
      <w:r>
        <w:t xml:space="preserve"> shows summary statistics of the control variables used in the regression. Only contracts using LIBOR as the floating reference leg are included. Additionally, contracts that were “voluntarily cleared” prior to the mandate or “exempt from clearing” after the mandate </w:t>
      </w:r>
      <w:r w:rsidR="00E31AF6">
        <w:t xml:space="preserve">are </w:t>
      </w:r>
      <w:r>
        <w:t xml:space="preserve">excluded. The </w:t>
      </w:r>
      <w:r w:rsidR="00E31AF6">
        <w:t>leftmost column (unfiltered dataset) shows the statistics from this dataset. For the main part of the paper, I further filter this data to swaps whose fixed rate is within 50 bps of the Bloomberg calculated fixed rate. The rightmost column shows the statistics for this filtered dataset. Note that this filtering does not substantially alter the characteristics of the control variables. Wednesday was the most active trading day</w:t>
      </w:r>
      <w:r w:rsidR="00E41AF8">
        <w:t xml:space="preserve"> and Monday and Friday were the least active trading days. The dataset includes two trading holidays (Monday May 27, 2013 was Memorial Day and Monday, September 2, 2013 was Labor Day).</w:t>
      </w:r>
      <w:r w:rsidR="008D5647">
        <w:t xml:space="preserve"> I split the trading day into 4 sessions (corresponding roughly to the trading times on the NYSE) based </w:t>
      </w:r>
      <w:r w:rsidR="00655B55">
        <w:t>o</w:t>
      </w:r>
      <w:r w:rsidR="008D5647">
        <w:t>n the reported trade time: 8:00 AM – 10:59 AM (Morning), 11:00 – 1:59 PM (Mid-Day), 2:00 PM – 4:59 PM (Afternoon) and 5:00 PM – 7:59 AM (After Hours). The mid-day trading session was most active.</w:t>
      </w:r>
      <w:r w:rsidR="00E402EC">
        <w:t xml:space="preserve"> About 16% of contracts were traded during the </w:t>
      </w:r>
      <w:r w:rsidR="00655B55">
        <w:t>off-hour</w:t>
      </w:r>
      <w:r w:rsidR="00E402EC">
        <w:t xml:space="preserve"> trading session.</w:t>
      </w:r>
      <w:r w:rsidR="00655B55">
        <w:t xml:space="preserve"> The median notional value of the contract was $50M (with a range between $1,000 and $260M). The median tenor was about 7 years (with a range between 2 months and 43 years).</w:t>
      </w:r>
    </w:p>
    <w:p w14:paraId="3D9655CF" w14:textId="378884C2" w:rsidR="008335A2" w:rsidRDefault="00AA454A" w:rsidP="00031822">
      <w:r>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the liquidity of the </w:t>
      </w:r>
    </w:p>
    <w:p w14:paraId="124731DE" w14:textId="5050D0BD" w:rsidR="00AE2A76" w:rsidRDefault="00AE2A76">
      <w:pPr>
        <w:spacing w:line="240" w:lineRule="auto"/>
        <w:ind w:firstLine="0"/>
        <w:jc w:val="left"/>
      </w:pPr>
      <w:r>
        <w:br w:type="page"/>
      </w:r>
    </w:p>
    <w:p w14:paraId="14E60527" w14:textId="77777777" w:rsidR="008F2992" w:rsidRDefault="008F2992" w:rsidP="008F2992"/>
    <w:p w14:paraId="451E3332" w14:textId="0584CE91" w:rsidR="00180890" w:rsidRDefault="00180890" w:rsidP="00180890">
      <w:pPr>
        <w:pStyle w:val="Caption"/>
      </w:pPr>
      <w:bookmarkStart w:id="7" w:name="_Ref160808244"/>
      <w:r>
        <w:t xml:space="preserve">Table </w:t>
      </w:r>
      <w:r>
        <w:fldChar w:fldCharType="begin"/>
      </w:r>
      <w:r>
        <w:instrText xml:space="preserve"> SEQ Table \* ARABIC </w:instrText>
      </w:r>
      <w:r>
        <w:fldChar w:fldCharType="separate"/>
      </w:r>
      <w:r w:rsidR="005F746F">
        <w:rPr>
          <w:noProof/>
        </w:rPr>
        <w:t>3</w:t>
      </w:r>
      <w:r>
        <w:fldChar w:fldCharType="end"/>
      </w:r>
      <w:bookmarkEnd w:id="7"/>
      <w:r>
        <w:t>:</w:t>
      </w:r>
      <w:r>
        <w:rPr>
          <w:noProof/>
        </w:rPr>
        <w:t xml:space="preserve"> Sample data for USD and CAD yield curves</w:t>
      </w:r>
    </w:p>
    <w:tbl>
      <w:tblPr>
        <w:tblW w:w="10562" w:type="dxa"/>
        <w:tblLook w:val="04A0" w:firstRow="1" w:lastRow="0" w:firstColumn="1" w:lastColumn="0" w:noHBand="0" w:noVBand="1"/>
      </w:tblPr>
      <w:tblGrid>
        <w:gridCol w:w="1100"/>
        <w:gridCol w:w="2151"/>
        <w:gridCol w:w="2151"/>
        <w:gridCol w:w="1720"/>
        <w:gridCol w:w="1720"/>
        <w:gridCol w:w="1720"/>
      </w:tblGrid>
      <w:tr w:rsidR="00180890" w:rsidRPr="00180890" w14:paraId="4DB69C88" w14:textId="77777777" w:rsidTr="00180890">
        <w:trPr>
          <w:trHeight w:val="300"/>
        </w:trPr>
        <w:tc>
          <w:tcPr>
            <w:tcW w:w="1100" w:type="dxa"/>
            <w:tcBorders>
              <w:top w:val="nil"/>
              <w:left w:val="nil"/>
              <w:bottom w:val="nil"/>
              <w:right w:val="nil"/>
            </w:tcBorders>
            <w:shd w:val="clear" w:color="000000" w:fill="4F81BD"/>
            <w:noWrap/>
            <w:vAlign w:val="bottom"/>
            <w:hideMark/>
          </w:tcPr>
          <w:p w14:paraId="37969F1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2151" w:type="dxa"/>
            <w:tcBorders>
              <w:top w:val="nil"/>
              <w:left w:val="nil"/>
              <w:bottom w:val="nil"/>
              <w:right w:val="nil"/>
            </w:tcBorders>
            <w:shd w:val="clear" w:color="000000" w:fill="4F81BD"/>
            <w:noWrap/>
            <w:vAlign w:val="bottom"/>
            <w:hideMark/>
          </w:tcPr>
          <w:p w14:paraId="28619C7B"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2151" w:type="dxa"/>
            <w:tcBorders>
              <w:top w:val="nil"/>
              <w:left w:val="nil"/>
              <w:bottom w:val="nil"/>
              <w:right w:val="nil"/>
            </w:tcBorders>
            <w:shd w:val="clear" w:color="000000" w:fill="4F81BD"/>
            <w:noWrap/>
            <w:vAlign w:val="bottom"/>
            <w:hideMark/>
          </w:tcPr>
          <w:p w14:paraId="43BCE8D5"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413D1E8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60C8F12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17D7D297"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59700697" w14:textId="77777777" w:rsidTr="00180890">
        <w:trPr>
          <w:trHeight w:val="300"/>
        </w:trPr>
        <w:tc>
          <w:tcPr>
            <w:tcW w:w="1100" w:type="dxa"/>
            <w:tcBorders>
              <w:top w:val="nil"/>
              <w:left w:val="nil"/>
              <w:bottom w:val="nil"/>
              <w:right w:val="nil"/>
            </w:tcBorders>
            <w:shd w:val="clear" w:color="auto" w:fill="auto"/>
            <w:noWrap/>
            <w:vAlign w:val="bottom"/>
            <w:hideMark/>
          </w:tcPr>
          <w:p w14:paraId="719FF7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2151" w:type="dxa"/>
            <w:tcBorders>
              <w:top w:val="nil"/>
              <w:left w:val="nil"/>
              <w:bottom w:val="nil"/>
              <w:right w:val="nil"/>
            </w:tcBorders>
            <w:shd w:val="clear" w:color="auto" w:fill="auto"/>
            <w:noWrap/>
            <w:vAlign w:val="bottom"/>
            <w:hideMark/>
          </w:tcPr>
          <w:p w14:paraId="20ECB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EDU13 Comdty</w:t>
            </w:r>
          </w:p>
        </w:tc>
        <w:tc>
          <w:tcPr>
            <w:tcW w:w="2151" w:type="dxa"/>
            <w:tcBorders>
              <w:top w:val="nil"/>
              <w:left w:val="nil"/>
              <w:bottom w:val="nil"/>
              <w:right w:val="nil"/>
            </w:tcBorders>
            <w:shd w:val="clear" w:color="auto" w:fill="auto"/>
            <w:noWrap/>
            <w:vAlign w:val="bottom"/>
            <w:hideMark/>
          </w:tcPr>
          <w:p w14:paraId="335836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EDU13 Comdty</w:t>
            </w:r>
          </w:p>
        </w:tc>
        <w:tc>
          <w:tcPr>
            <w:tcW w:w="1720" w:type="dxa"/>
            <w:tcBorders>
              <w:top w:val="nil"/>
              <w:left w:val="nil"/>
              <w:bottom w:val="nil"/>
              <w:right w:val="nil"/>
            </w:tcBorders>
            <w:shd w:val="clear" w:color="auto" w:fill="auto"/>
            <w:noWrap/>
            <w:vAlign w:val="bottom"/>
            <w:hideMark/>
          </w:tcPr>
          <w:p w14:paraId="5A2E741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0.2575 </w:t>
            </w:r>
          </w:p>
        </w:tc>
        <w:tc>
          <w:tcPr>
            <w:tcW w:w="1720" w:type="dxa"/>
            <w:tcBorders>
              <w:top w:val="nil"/>
              <w:left w:val="nil"/>
              <w:bottom w:val="nil"/>
              <w:right w:val="nil"/>
            </w:tcBorders>
            <w:shd w:val="clear" w:color="auto" w:fill="auto"/>
            <w:noWrap/>
            <w:vAlign w:val="bottom"/>
            <w:hideMark/>
          </w:tcPr>
          <w:p w14:paraId="432919D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AD0DB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33F8B50" w14:textId="77777777" w:rsidTr="00180890">
        <w:trPr>
          <w:trHeight w:val="300"/>
        </w:trPr>
        <w:tc>
          <w:tcPr>
            <w:tcW w:w="1100" w:type="dxa"/>
            <w:tcBorders>
              <w:top w:val="nil"/>
              <w:left w:val="nil"/>
              <w:bottom w:val="nil"/>
              <w:right w:val="nil"/>
            </w:tcBorders>
            <w:shd w:val="clear" w:color="auto" w:fill="auto"/>
            <w:noWrap/>
            <w:vAlign w:val="bottom"/>
            <w:hideMark/>
          </w:tcPr>
          <w:p w14:paraId="39B9C7A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2151" w:type="dxa"/>
            <w:tcBorders>
              <w:top w:val="nil"/>
              <w:left w:val="nil"/>
              <w:bottom w:val="nil"/>
              <w:right w:val="nil"/>
            </w:tcBorders>
            <w:shd w:val="clear" w:color="auto" w:fill="auto"/>
            <w:noWrap/>
            <w:vAlign w:val="bottom"/>
            <w:hideMark/>
          </w:tcPr>
          <w:p w14:paraId="272CB0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EDZ13 Comdty</w:t>
            </w:r>
          </w:p>
        </w:tc>
        <w:tc>
          <w:tcPr>
            <w:tcW w:w="2151" w:type="dxa"/>
            <w:tcBorders>
              <w:top w:val="nil"/>
              <w:left w:val="nil"/>
              <w:bottom w:val="nil"/>
              <w:right w:val="nil"/>
            </w:tcBorders>
            <w:shd w:val="clear" w:color="auto" w:fill="auto"/>
            <w:noWrap/>
            <w:vAlign w:val="bottom"/>
            <w:hideMark/>
          </w:tcPr>
          <w:p w14:paraId="788C3F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EDZ13 Comdty</w:t>
            </w:r>
          </w:p>
        </w:tc>
        <w:tc>
          <w:tcPr>
            <w:tcW w:w="1720" w:type="dxa"/>
            <w:tcBorders>
              <w:top w:val="nil"/>
              <w:left w:val="nil"/>
              <w:bottom w:val="nil"/>
              <w:right w:val="nil"/>
            </w:tcBorders>
            <w:shd w:val="clear" w:color="auto" w:fill="auto"/>
            <w:noWrap/>
            <w:vAlign w:val="bottom"/>
            <w:hideMark/>
          </w:tcPr>
          <w:p w14:paraId="376BFAD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0.294 </w:t>
            </w:r>
          </w:p>
        </w:tc>
        <w:tc>
          <w:tcPr>
            <w:tcW w:w="1720" w:type="dxa"/>
            <w:tcBorders>
              <w:top w:val="nil"/>
              <w:left w:val="nil"/>
              <w:bottom w:val="nil"/>
              <w:right w:val="nil"/>
            </w:tcBorders>
            <w:shd w:val="clear" w:color="auto" w:fill="auto"/>
            <w:noWrap/>
            <w:vAlign w:val="bottom"/>
            <w:hideMark/>
          </w:tcPr>
          <w:p w14:paraId="4482197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E18AA0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25D2549" w14:textId="77777777" w:rsidTr="00180890">
        <w:trPr>
          <w:trHeight w:val="300"/>
        </w:trPr>
        <w:tc>
          <w:tcPr>
            <w:tcW w:w="1100" w:type="dxa"/>
            <w:tcBorders>
              <w:top w:val="nil"/>
              <w:left w:val="nil"/>
              <w:bottom w:val="nil"/>
              <w:right w:val="nil"/>
            </w:tcBorders>
            <w:shd w:val="clear" w:color="auto" w:fill="auto"/>
            <w:noWrap/>
            <w:vAlign w:val="bottom"/>
            <w:hideMark/>
          </w:tcPr>
          <w:p w14:paraId="57D03B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2151" w:type="dxa"/>
            <w:tcBorders>
              <w:top w:val="nil"/>
              <w:left w:val="nil"/>
              <w:bottom w:val="nil"/>
              <w:right w:val="nil"/>
            </w:tcBorders>
            <w:shd w:val="clear" w:color="auto" w:fill="auto"/>
            <w:noWrap/>
            <w:vAlign w:val="bottom"/>
            <w:hideMark/>
          </w:tcPr>
          <w:p w14:paraId="6A859E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EDH14 Comdty</w:t>
            </w:r>
          </w:p>
        </w:tc>
        <w:tc>
          <w:tcPr>
            <w:tcW w:w="2151" w:type="dxa"/>
            <w:tcBorders>
              <w:top w:val="nil"/>
              <w:left w:val="nil"/>
              <w:bottom w:val="nil"/>
              <w:right w:val="nil"/>
            </w:tcBorders>
            <w:shd w:val="clear" w:color="auto" w:fill="auto"/>
            <w:noWrap/>
            <w:vAlign w:val="bottom"/>
            <w:hideMark/>
          </w:tcPr>
          <w:p w14:paraId="231486D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EDH14 Comdty</w:t>
            </w:r>
          </w:p>
        </w:tc>
        <w:tc>
          <w:tcPr>
            <w:tcW w:w="1720" w:type="dxa"/>
            <w:tcBorders>
              <w:top w:val="nil"/>
              <w:left w:val="nil"/>
              <w:bottom w:val="nil"/>
              <w:right w:val="nil"/>
            </w:tcBorders>
            <w:shd w:val="clear" w:color="auto" w:fill="auto"/>
            <w:noWrap/>
            <w:vAlign w:val="bottom"/>
            <w:hideMark/>
          </w:tcPr>
          <w:p w14:paraId="6585C989"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0.3574 </w:t>
            </w:r>
          </w:p>
        </w:tc>
        <w:tc>
          <w:tcPr>
            <w:tcW w:w="1720" w:type="dxa"/>
            <w:tcBorders>
              <w:top w:val="nil"/>
              <w:left w:val="nil"/>
              <w:bottom w:val="nil"/>
              <w:right w:val="nil"/>
            </w:tcBorders>
            <w:shd w:val="clear" w:color="auto" w:fill="auto"/>
            <w:noWrap/>
            <w:vAlign w:val="bottom"/>
            <w:hideMark/>
          </w:tcPr>
          <w:p w14:paraId="5891680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D50DDE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7F08229" w14:textId="77777777" w:rsidTr="00180890">
        <w:trPr>
          <w:trHeight w:val="300"/>
        </w:trPr>
        <w:tc>
          <w:tcPr>
            <w:tcW w:w="1100" w:type="dxa"/>
            <w:tcBorders>
              <w:top w:val="nil"/>
              <w:left w:val="nil"/>
              <w:bottom w:val="nil"/>
              <w:right w:val="nil"/>
            </w:tcBorders>
            <w:shd w:val="clear" w:color="auto" w:fill="auto"/>
            <w:noWrap/>
            <w:vAlign w:val="bottom"/>
            <w:hideMark/>
          </w:tcPr>
          <w:p w14:paraId="4A6C10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12M</w:t>
            </w:r>
          </w:p>
        </w:tc>
        <w:tc>
          <w:tcPr>
            <w:tcW w:w="2151" w:type="dxa"/>
            <w:tcBorders>
              <w:top w:val="nil"/>
              <w:left w:val="nil"/>
              <w:bottom w:val="nil"/>
              <w:right w:val="nil"/>
            </w:tcBorders>
            <w:shd w:val="clear" w:color="auto" w:fill="auto"/>
            <w:noWrap/>
            <w:vAlign w:val="bottom"/>
            <w:hideMark/>
          </w:tcPr>
          <w:p w14:paraId="2EC1D4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EDM14 Comdty</w:t>
            </w:r>
          </w:p>
        </w:tc>
        <w:tc>
          <w:tcPr>
            <w:tcW w:w="2151" w:type="dxa"/>
            <w:tcBorders>
              <w:top w:val="nil"/>
              <w:left w:val="nil"/>
              <w:bottom w:val="nil"/>
              <w:right w:val="nil"/>
            </w:tcBorders>
            <w:shd w:val="clear" w:color="auto" w:fill="auto"/>
            <w:noWrap/>
            <w:vAlign w:val="bottom"/>
            <w:hideMark/>
          </w:tcPr>
          <w:p w14:paraId="5CF191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EDM14 Comdty</w:t>
            </w:r>
          </w:p>
        </w:tc>
        <w:tc>
          <w:tcPr>
            <w:tcW w:w="1720" w:type="dxa"/>
            <w:tcBorders>
              <w:top w:val="nil"/>
              <w:left w:val="nil"/>
              <w:bottom w:val="nil"/>
              <w:right w:val="nil"/>
            </w:tcBorders>
            <w:shd w:val="clear" w:color="auto" w:fill="auto"/>
            <w:noWrap/>
            <w:vAlign w:val="bottom"/>
            <w:hideMark/>
          </w:tcPr>
          <w:p w14:paraId="3A6D88B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0.4402 </w:t>
            </w:r>
          </w:p>
        </w:tc>
        <w:tc>
          <w:tcPr>
            <w:tcW w:w="1720" w:type="dxa"/>
            <w:tcBorders>
              <w:top w:val="nil"/>
              <w:left w:val="nil"/>
              <w:bottom w:val="nil"/>
              <w:right w:val="nil"/>
            </w:tcBorders>
            <w:shd w:val="clear" w:color="auto" w:fill="auto"/>
            <w:noWrap/>
            <w:vAlign w:val="bottom"/>
            <w:hideMark/>
          </w:tcPr>
          <w:p w14:paraId="17228E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28F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FA4BDBF" w14:textId="77777777" w:rsidTr="00180890">
        <w:trPr>
          <w:trHeight w:val="300"/>
        </w:trPr>
        <w:tc>
          <w:tcPr>
            <w:tcW w:w="1100" w:type="dxa"/>
            <w:tcBorders>
              <w:top w:val="nil"/>
              <w:left w:val="nil"/>
              <w:bottom w:val="nil"/>
              <w:right w:val="nil"/>
            </w:tcBorders>
            <w:shd w:val="clear" w:color="auto" w:fill="auto"/>
            <w:noWrap/>
            <w:vAlign w:val="bottom"/>
            <w:hideMark/>
          </w:tcPr>
          <w:p w14:paraId="60BE4C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2151" w:type="dxa"/>
            <w:tcBorders>
              <w:top w:val="nil"/>
              <w:left w:val="nil"/>
              <w:bottom w:val="nil"/>
              <w:right w:val="nil"/>
            </w:tcBorders>
            <w:shd w:val="clear" w:color="auto" w:fill="auto"/>
            <w:noWrap/>
            <w:vAlign w:val="bottom"/>
            <w:hideMark/>
          </w:tcPr>
          <w:p w14:paraId="7F7EB46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EDU14 Comdty</w:t>
            </w:r>
          </w:p>
        </w:tc>
        <w:tc>
          <w:tcPr>
            <w:tcW w:w="2151" w:type="dxa"/>
            <w:tcBorders>
              <w:top w:val="nil"/>
              <w:left w:val="nil"/>
              <w:bottom w:val="nil"/>
              <w:right w:val="nil"/>
            </w:tcBorders>
            <w:shd w:val="clear" w:color="auto" w:fill="auto"/>
            <w:noWrap/>
            <w:vAlign w:val="bottom"/>
            <w:hideMark/>
          </w:tcPr>
          <w:p w14:paraId="3ADC4F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EDU14 Comdty</w:t>
            </w:r>
          </w:p>
        </w:tc>
        <w:tc>
          <w:tcPr>
            <w:tcW w:w="1720" w:type="dxa"/>
            <w:tcBorders>
              <w:top w:val="nil"/>
              <w:left w:val="nil"/>
              <w:bottom w:val="nil"/>
              <w:right w:val="nil"/>
            </w:tcBorders>
            <w:shd w:val="clear" w:color="auto" w:fill="auto"/>
            <w:noWrap/>
            <w:vAlign w:val="bottom"/>
            <w:hideMark/>
          </w:tcPr>
          <w:p w14:paraId="30F315E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0.5675 </w:t>
            </w:r>
          </w:p>
        </w:tc>
        <w:tc>
          <w:tcPr>
            <w:tcW w:w="1720" w:type="dxa"/>
            <w:tcBorders>
              <w:top w:val="nil"/>
              <w:left w:val="nil"/>
              <w:bottom w:val="nil"/>
              <w:right w:val="nil"/>
            </w:tcBorders>
            <w:shd w:val="clear" w:color="auto" w:fill="auto"/>
            <w:noWrap/>
            <w:vAlign w:val="bottom"/>
            <w:hideMark/>
          </w:tcPr>
          <w:p w14:paraId="789B50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65561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94A6CC2" w14:textId="77777777" w:rsidTr="00180890">
        <w:trPr>
          <w:trHeight w:val="300"/>
        </w:trPr>
        <w:tc>
          <w:tcPr>
            <w:tcW w:w="1100" w:type="dxa"/>
            <w:tcBorders>
              <w:top w:val="nil"/>
              <w:left w:val="nil"/>
              <w:bottom w:val="nil"/>
              <w:right w:val="nil"/>
            </w:tcBorders>
            <w:shd w:val="clear" w:color="auto" w:fill="auto"/>
            <w:noWrap/>
            <w:vAlign w:val="bottom"/>
            <w:hideMark/>
          </w:tcPr>
          <w:p w14:paraId="2E1018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2151" w:type="dxa"/>
            <w:tcBorders>
              <w:top w:val="nil"/>
              <w:left w:val="nil"/>
              <w:bottom w:val="nil"/>
              <w:right w:val="nil"/>
            </w:tcBorders>
            <w:shd w:val="clear" w:color="auto" w:fill="auto"/>
            <w:noWrap/>
            <w:vAlign w:val="bottom"/>
            <w:hideMark/>
          </w:tcPr>
          <w:p w14:paraId="3A996CC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EDZ14 Comdty</w:t>
            </w:r>
          </w:p>
        </w:tc>
        <w:tc>
          <w:tcPr>
            <w:tcW w:w="2151" w:type="dxa"/>
            <w:tcBorders>
              <w:top w:val="nil"/>
              <w:left w:val="nil"/>
              <w:bottom w:val="nil"/>
              <w:right w:val="nil"/>
            </w:tcBorders>
            <w:shd w:val="clear" w:color="auto" w:fill="auto"/>
            <w:noWrap/>
            <w:vAlign w:val="bottom"/>
            <w:hideMark/>
          </w:tcPr>
          <w:p w14:paraId="2AEEF3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EDZ14 Comdty</w:t>
            </w:r>
          </w:p>
        </w:tc>
        <w:tc>
          <w:tcPr>
            <w:tcW w:w="1720" w:type="dxa"/>
            <w:tcBorders>
              <w:top w:val="nil"/>
              <w:left w:val="nil"/>
              <w:bottom w:val="nil"/>
              <w:right w:val="nil"/>
            </w:tcBorders>
            <w:shd w:val="clear" w:color="auto" w:fill="auto"/>
            <w:noWrap/>
            <w:vAlign w:val="bottom"/>
            <w:hideMark/>
          </w:tcPr>
          <w:p w14:paraId="2C125D97"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0.7341 </w:t>
            </w:r>
          </w:p>
        </w:tc>
        <w:tc>
          <w:tcPr>
            <w:tcW w:w="1720" w:type="dxa"/>
            <w:tcBorders>
              <w:top w:val="nil"/>
              <w:left w:val="nil"/>
              <w:bottom w:val="nil"/>
              <w:right w:val="nil"/>
            </w:tcBorders>
            <w:shd w:val="clear" w:color="auto" w:fill="auto"/>
            <w:noWrap/>
            <w:vAlign w:val="bottom"/>
            <w:hideMark/>
          </w:tcPr>
          <w:p w14:paraId="579D444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751D44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364E049" w14:textId="77777777" w:rsidTr="00180890">
        <w:trPr>
          <w:trHeight w:val="300"/>
        </w:trPr>
        <w:tc>
          <w:tcPr>
            <w:tcW w:w="1100" w:type="dxa"/>
            <w:tcBorders>
              <w:top w:val="nil"/>
              <w:left w:val="nil"/>
              <w:bottom w:val="nil"/>
              <w:right w:val="nil"/>
            </w:tcBorders>
            <w:shd w:val="clear" w:color="auto" w:fill="auto"/>
            <w:noWrap/>
            <w:vAlign w:val="bottom"/>
            <w:hideMark/>
          </w:tcPr>
          <w:p w14:paraId="273B1F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2151" w:type="dxa"/>
            <w:tcBorders>
              <w:top w:val="nil"/>
              <w:left w:val="nil"/>
              <w:bottom w:val="nil"/>
              <w:right w:val="nil"/>
            </w:tcBorders>
            <w:shd w:val="clear" w:color="auto" w:fill="auto"/>
            <w:noWrap/>
            <w:vAlign w:val="bottom"/>
            <w:hideMark/>
          </w:tcPr>
          <w:p w14:paraId="223BEBF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 BGN Curncy</w:t>
            </w:r>
          </w:p>
        </w:tc>
        <w:tc>
          <w:tcPr>
            <w:tcW w:w="2151" w:type="dxa"/>
            <w:tcBorders>
              <w:top w:val="nil"/>
              <w:left w:val="nil"/>
              <w:bottom w:val="nil"/>
              <w:right w:val="nil"/>
            </w:tcBorders>
            <w:shd w:val="clear" w:color="auto" w:fill="auto"/>
            <w:noWrap/>
            <w:vAlign w:val="bottom"/>
            <w:hideMark/>
          </w:tcPr>
          <w:p w14:paraId="6FD870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 BGN Curncy</w:t>
            </w:r>
          </w:p>
        </w:tc>
        <w:tc>
          <w:tcPr>
            <w:tcW w:w="1720" w:type="dxa"/>
            <w:tcBorders>
              <w:top w:val="nil"/>
              <w:left w:val="nil"/>
              <w:bottom w:val="nil"/>
              <w:right w:val="nil"/>
            </w:tcBorders>
            <w:shd w:val="clear" w:color="auto" w:fill="auto"/>
            <w:noWrap/>
            <w:vAlign w:val="bottom"/>
            <w:hideMark/>
          </w:tcPr>
          <w:p w14:paraId="5D4F45D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0.5957 </w:t>
            </w:r>
          </w:p>
        </w:tc>
        <w:tc>
          <w:tcPr>
            <w:tcW w:w="1720" w:type="dxa"/>
            <w:tcBorders>
              <w:top w:val="nil"/>
              <w:left w:val="nil"/>
              <w:bottom w:val="nil"/>
              <w:right w:val="nil"/>
            </w:tcBorders>
            <w:shd w:val="clear" w:color="auto" w:fill="auto"/>
            <w:noWrap/>
            <w:vAlign w:val="bottom"/>
            <w:hideMark/>
          </w:tcPr>
          <w:p w14:paraId="453810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2DC95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66A0FE4" w14:textId="77777777" w:rsidTr="00180890">
        <w:trPr>
          <w:trHeight w:val="300"/>
        </w:trPr>
        <w:tc>
          <w:tcPr>
            <w:tcW w:w="1100" w:type="dxa"/>
            <w:tcBorders>
              <w:top w:val="nil"/>
              <w:left w:val="nil"/>
              <w:bottom w:val="nil"/>
              <w:right w:val="nil"/>
            </w:tcBorders>
            <w:shd w:val="clear" w:color="auto" w:fill="auto"/>
            <w:noWrap/>
            <w:vAlign w:val="bottom"/>
            <w:hideMark/>
          </w:tcPr>
          <w:p w14:paraId="3FFD1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2151" w:type="dxa"/>
            <w:tcBorders>
              <w:top w:val="nil"/>
              <w:left w:val="nil"/>
              <w:bottom w:val="nil"/>
              <w:right w:val="nil"/>
            </w:tcBorders>
            <w:shd w:val="clear" w:color="auto" w:fill="auto"/>
            <w:noWrap/>
            <w:vAlign w:val="bottom"/>
            <w:hideMark/>
          </w:tcPr>
          <w:p w14:paraId="6C5213F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USSWAP3 BGN Curncy</w:t>
            </w:r>
          </w:p>
        </w:tc>
        <w:tc>
          <w:tcPr>
            <w:tcW w:w="2151" w:type="dxa"/>
            <w:tcBorders>
              <w:top w:val="nil"/>
              <w:left w:val="nil"/>
              <w:bottom w:val="nil"/>
              <w:right w:val="nil"/>
            </w:tcBorders>
            <w:shd w:val="clear" w:color="auto" w:fill="auto"/>
            <w:noWrap/>
            <w:vAlign w:val="bottom"/>
            <w:hideMark/>
          </w:tcPr>
          <w:p w14:paraId="23D584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USSWAP3 BGN Curncy</w:t>
            </w:r>
          </w:p>
        </w:tc>
        <w:tc>
          <w:tcPr>
            <w:tcW w:w="1720" w:type="dxa"/>
            <w:tcBorders>
              <w:top w:val="nil"/>
              <w:left w:val="nil"/>
              <w:bottom w:val="nil"/>
              <w:right w:val="nil"/>
            </w:tcBorders>
            <w:shd w:val="clear" w:color="auto" w:fill="auto"/>
            <w:noWrap/>
            <w:vAlign w:val="bottom"/>
            <w:hideMark/>
          </w:tcPr>
          <w:p w14:paraId="51477B8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1.0014 </w:t>
            </w:r>
          </w:p>
        </w:tc>
        <w:tc>
          <w:tcPr>
            <w:tcW w:w="1720" w:type="dxa"/>
            <w:tcBorders>
              <w:top w:val="nil"/>
              <w:left w:val="nil"/>
              <w:bottom w:val="nil"/>
              <w:right w:val="nil"/>
            </w:tcBorders>
            <w:shd w:val="clear" w:color="auto" w:fill="auto"/>
            <w:noWrap/>
            <w:vAlign w:val="bottom"/>
            <w:hideMark/>
          </w:tcPr>
          <w:p w14:paraId="3E59FF7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DAB7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997AFFB" w14:textId="77777777" w:rsidTr="00180890">
        <w:trPr>
          <w:trHeight w:val="300"/>
        </w:trPr>
        <w:tc>
          <w:tcPr>
            <w:tcW w:w="1100" w:type="dxa"/>
            <w:tcBorders>
              <w:top w:val="nil"/>
              <w:left w:val="nil"/>
              <w:bottom w:val="nil"/>
              <w:right w:val="nil"/>
            </w:tcBorders>
            <w:shd w:val="clear" w:color="auto" w:fill="auto"/>
            <w:noWrap/>
            <w:vAlign w:val="bottom"/>
            <w:hideMark/>
          </w:tcPr>
          <w:p w14:paraId="3DF07B9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2151" w:type="dxa"/>
            <w:tcBorders>
              <w:top w:val="nil"/>
              <w:left w:val="nil"/>
              <w:bottom w:val="nil"/>
              <w:right w:val="nil"/>
            </w:tcBorders>
            <w:shd w:val="clear" w:color="auto" w:fill="auto"/>
            <w:noWrap/>
            <w:vAlign w:val="bottom"/>
            <w:hideMark/>
          </w:tcPr>
          <w:p w14:paraId="4DC126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USSWAP4 BGN Curncy</w:t>
            </w:r>
          </w:p>
        </w:tc>
        <w:tc>
          <w:tcPr>
            <w:tcW w:w="2151" w:type="dxa"/>
            <w:tcBorders>
              <w:top w:val="nil"/>
              <w:left w:val="nil"/>
              <w:bottom w:val="nil"/>
              <w:right w:val="nil"/>
            </w:tcBorders>
            <w:shd w:val="clear" w:color="auto" w:fill="auto"/>
            <w:noWrap/>
            <w:vAlign w:val="bottom"/>
            <w:hideMark/>
          </w:tcPr>
          <w:p w14:paraId="05DE437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USSWAP4 BGN Curncy</w:t>
            </w:r>
          </w:p>
        </w:tc>
        <w:tc>
          <w:tcPr>
            <w:tcW w:w="1720" w:type="dxa"/>
            <w:tcBorders>
              <w:top w:val="nil"/>
              <w:left w:val="nil"/>
              <w:bottom w:val="nil"/>
              <w:right w:val="nil"/>
            </w:tcBorders>
            <w:shd w:val="clear" w:color="auto" w:fill="auto"/>
            <w:noWrap/>
            <w:vAlign w:val="bottom"/>
            <w:hideMark/>
          </w:tcPr>
          <w:p w14:paraId="3ACE747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 </w:t>
            </w:r>
          </w:p>
        </w:tc>
        <w:tc>
          <w:tcPr>
            <w:tcW w:w="1720" w:type="dxa"/>
            <w:tcBorders>
              <w:top w:val="nil"/>
              <w:left w:val="nil"/>
              <w:bottom w:val="nil"/>
              <w:right w:val="nil"/>
            </w:tcBorders>
            <w:shd w:val="clear" w:color="auto" w:fill="auto"/>
            <w:noWrap/>
            <w:vAlign w:val="bottom"/>
            <w:hideMark/>
          </w:tcPr>
          <w:p w14:paraId="1D578D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2DBE97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E8DBD2D" w14:textId="77777777" w:rsidTr="00180890">
        <w:trPr>
          <w:trHeight w:val="300"/>
        </w:trPr>
        <w:tc>
          <w:tcPr>
            <w:tcW w:w="1100" w:type="dxa"/>
            <w:tcBorders>
              <w:top w:val="nil"/>
              <w:left w:val="nil"/>
              <w:bottom w:val="nil"/>
              <w:right w:val="nil"/>
            </w:tcBorders>
            <w:shd w:val="clear" w:color="auto" w:fill="auto"/>
            <w:noWrap/>
            <w:vAlign w:val="bottom"/>
            <w:hideMark/>
          </w:tcPr>
          <w:p w14:paraId="1B46E3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2151" w:type="dxa"/>
            <w:tcBorders>
              <w:top w:val="nil"/>
              <w:left w:val="nil"/>
              <w:bottom w:val="nil"/>
              <w:right w:val="nil"/>
            </w:tcBorders>
            <w:shd w:val="clear" w:color="auto" w:fill="auto"/>
            <w:noWrap/>
            <w:vAlign w:val="bottom"/>
            <w:hideMark/>
          </w:tcPr>
          <w:p w14:paraId="098FFC7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USSWAP5 BGN Curncy</w:t>
            </w:r>
          </w:p>
        </w:tc>
        <w:tc>
          <w:tcPr>
            <w:tcW w:w="2151" w:type="dxa"/>
            <w:tcBorders>
              <w:top w:val="nil"/>
              <w:left w:val="nil"/>
              <w:bottom w:val="nil"/>
              <w:right w:val="nil"/>
            </w:tcBorders>
            <w:shd w:val="clear" w:color="auto" w:fill="auto"/>
            <w:noWrap/>
            <w:vAlign w:val="bottom"/>
            <w:hideMark/>
          </w:tcPr>
          <w:p w14:paraId="73D4D3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USSWAP5 BGN Curncy</w:t>
            </w:r>
          </w:p>
        </w:tc>
        <w:tc>
          <w:tcPr>
            <w:tcW w:w="1720" w:type="dxa"/>
            <w:tcBorders>
              <w:top w:val="nil"/>
              <w:left w:val="nil"/>
              <w:bottom w:val="nil"/>
              <w:right w:val="nil"/>
            </w:tcBorders>
            <w:shd w:val="clear" w:color="auto" w:fill="auto"/>
            <w:noWrap/>
            <w:vAlign w:val="bottom"/>
            <w:hideMark/>
          </w:tcPr>
          <w:p w14:paraId="46D1C54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1.865 </w:t>
            </w:r>
          </w:p>
        </w:tc>
        <w:tc>
          <w:tcPr>
            <w:tcW w:w="1720" w:type="dxa"/>
            <w:tcBorders>
              <w:top w:val="nil"/>
              <w:left w:val="nil"/>
              <w:bottom w:val="nil"/>
              <w:right w:val="nil"/>
            </w:tcBorders>
            <w:shd w:val="clear" w:color="auto" w:fill="auto"/>
            <w:noWrap/>
            <w:vAlign w:val="bottom"/>
            <w:hideMark/>
          </w:tcPr>
          <w:p w14:paraId="788AA4A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9DAE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6A779B5" w14:textId="77777777" w:rsidTr="00180890">
        <w:trPr>
          <w:trHeight w:val="300"/>
        </w:trPr>
        <w:tc>
          <w:tcPr>
            <w:tcW w:w="1100" w:type="dxa"/>
            <w:tcBorders>
              <w:top w:val="nil"/>
              <w:left w:val="nil"/>
              <w:bottom w:val="nil"/>
              <w:right w:val="nil"/>
            </w:tcBorders>
            <w:shd w:val="clear" w:color="auto" w:fill="auto"/>
            <w:noWrap/>
            <w:vAlign w:val="bottom"/>
            <w:hideMark/>
          </w:tcPr>
          <w:p w14:paraId="7E9F4A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2151" w:type="dxa"/>
            <w:tcBorders>
              <w:top w:val="nil"/>
              <w:left w:val="nil"/>
              <w:bottom w:val="nil"/>
              <w:right w:val="nil"/>
            </w:tcBorders>
            <w:shd w:val="clear" w:color="auto" w:fill="auto"/>
            <w:noWrap/>
            <w:vAlign w:val="bottom"/>
            <w:hideMark/>
          </w:tcPr>
          <w:p w14:paraId="40048F8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USSW6 BGN Curncy</w:t>
            </w:r>
          </w:p>
        </w:tc>
        <w:tc>
          <w:tcPr>
            <w:tcW w:w="2151" w:type="dxa"/>
            <w:tcBorders>
              <w:top w:val="nil"/>
              <w:left w:val="nil"/>
              <w:bottom w:val="nil"/>
              <w:right w:val="nil"/>
            </w:tcBorders>
            <w:shd w:val="clear" w:color="auto" w:fill="auto"/>
            <w:noWrap/>
            <w:vAlign w:val="bottom"/>
            <w:hideMark/>
          </w:tcPr>
          <w:p w14:paraId="0A041D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USSW6 BGN Curncy</w:t>
            </w:r>
          </w:p>
        </w:tc>
        <w:tc>
          <w:tcPr>
            <w:tcW w:w="1720" w:type="dxa"/>
            <w:tcBorders>
              <w:top w:val="nil"/>
              <w:left w:val="nil"/>
              <w:bottom w:val="nil"/>
              <w:right w:val="nil"/>
            </w:tcBorders>
            <w:shd w:val="clear" w:color="auto" w:fill="auto"/>
            <w:noWrap/>
            <w:vAlign w:val="bottom"/>
            <w:hideMark/>
          </w:tcPr>
          <w:p w14:paraId="5AEF1B7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2.2145 </w:t>
            </w:r>
          </w:p>
        </w:tc>
        <w:tc>
          <w:tcPr>
            <w:tcW w:w="1720" w:type="dxa"/>
            <w:tcBorders>
              <w:top w:val="nil"/>
              <w:left w:val="nil"/>
              <w:bottom w:val="nil"/>
              <w:right w:val="nil"/>
            </w:tcBorders>
            <w:shd w:val="clear" w:color="auto" w:fill="auto"/>
            <w:noWrap/>
            <w:vAlign w:val="bottom"/>
            <w:hideMark/>
          </w:tcPr>
          <w:p w14:paraId="21FE861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C6C02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1B04ECF" w14:textId="77777777" w:rsidTr="00180890">
        <w:trPr>
          <w:trHeight w:val="300"/>
        </w:trPr>
        <w:tc>
          <w:tcPr>
            <w:tcW w:w="1100" w:type="dxa"/>
            <w:tcBorders>
              <w:top w:val="nil"/>
              <w:left w:val="nil"/>
              <w:bottom w:val="nil"/>
              <w:right w:val="nil"/>
            </w:tcBorders>
            <w:shd w:val="clear" w:color="auto" w:fill="auto"/>
            <w:noWrap/>
            <w:vAlign w:val="bottom"/>
            <w:hideMark/>
          </w:tcPr>
          <w:p w14:paraId="31F4CC8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2151" w:type="dxa"/>
            <w:tcBorders>
              <w:top w:val="nil"/>
              <w:left w:val="nil"/>
              <w:bottom w:val="nil"/>
              <w:right w:val="nil"/>
            </w:tcBorders>
            <w:shd w:val="clear" w:color="auto" w:fill="auto"/>
            <w:noWrap/>
            <w:vAlign w:val="bottom"/>
            <w:hideMark/>
          </w:tcPr>
          <w:p w14:paraId="175629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USSWAP7 BGN Curncy</w:t>
            </w:r>
          </w:p>
        </w:tc>
        <w:tc>
          <w:tcPr>
            <w:tcW w:w="2151" w:type="dxa"/>
            <w:tcBorders>
              <w:top w:val="nil"/>
              <w:left w:val="nil"/>
              <w:bottom w:val="nil"/>
              <w:right w:val="nil"/>
            </w:tcBorders>
            <w:shd w:val="clear" w:color="auto" w:fill="auto"/>
            <w:noWrap/>
            <w:vAlign w:val="bottom"/>
            <w:hideMark/>
          </w:tcPr>
          <w:p w14:paraId="5F8BE5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USSWAP7 BGN Curncy</w:t>
            </w:r>
          </w:p>
        </w:tc>
        <w:tc>
          <w:tcPr>
            <w:tcW w:w="1720" w:type="dxa"/>
            <w:tcBorders>
              <w:top w:val="nil"/>
              <w:left w:val="nil"/>
              <w:bottom w:val="nil"/>
              <w:right w:val="nil"/>
            </w:tcBorders>
            <w:shd w:val="clear" w:color="auto" w:fill="auto"/>
            <w:noWrap/>
            <w:vAlign w:val="bottom"/>
            <w:hideMark/>
          </w:tcPr>
          <w:p w14:paraId="15021850"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2.501 </w:t>
            </w:r>
          </w:p>
        </w:tc>
        <w:tc>
          <w:tcPr>
            <w:tcW w:w="1720" w:type="dxa"/>
            <w:tcBorders>
              <w:top w:val="nil"/>
              <w:left w:val="nil"/>
              <w:bottom w:val="nil"/>
              <w:right w:val="nil"/>
            </w:tcBorders>
            <w:shd w:val="clear" w:color="auto" w:fill="auto"/>
            <w:noWrap/>
            <w:vAlign w:val="bottom"/>
            <w:hideMark/>
          </w:tcPr>
          <w:p w14:paraId="0C6B77E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E38D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B15ED76" w14:textId="77777777" w:rsidTr="00180890">
        <w:trPr>
          <w:trHeight w:val="300"/>
        </w:trPr>
        <w:tc>
          <w:tcPr>
            <w:tcW w:w="1100" w:type="dxa"/>
            <w:tcBorders>
              <w:top w:val="nil"/>
              <w:left w:val="nil"/>
              <w:bottom w:val="nil"/>
              <w:right w:val="nil"/>
            </w:tcBorders>
            <w:shd w:val="clear" w:color="auto" w:fill="auto"/>
            <w:noWrap/>
            <w:vAlign w:val="bottom"/>
            <w:hideMark/>
          </w:tcPr>
          <w:p w14:paraId="43CC4F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2151" w:type="dxa"/>
            <w:tcBorders>
              <w:top w:val="nil"/>
              <w:left w:val="nil"/>
              <w:bottom w:val="nil"/>
              <w:right w:val="nil"/>
            </w:tcBorders>
            <w:shd w:val="clear" w:color="auto" w:fill="auto"/>
            <w:noWrap/>
            <w:vAlign w:val="bottom"/>
            <w:hideMark/>
          </w:tcPr>
          <w:p w14:paraId="1020A40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USSW8 BGN Curncy</w:t>
            </w:r>
          </w:p>
        </w:tc>
        <w:tc>
          <w:tcPr>
            <w:tcW w:w="2151" w:type="dxa"/>
            <w:tcBorders>
              <w:top w:val="nil"/>
              <w:left w:val="nil"/>
              <w:bottom w:val="nil"/>
              <w:right w:val="nil"/>
            </w:tcBorders>
            <w:shd w:val="clear" w:color="auto" w:fill="auto"/>
            <w:noWrap/>
            <w:vAlign w:val="bottom"/>
            <w:hideMark/>
          </w:tcPr>
          <w:p w14:paraId="4F40A8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USSW8 BGN Curncy</w:t>
            </w:r>
          </w:p>
        </w:tc>
        <w:tc>
          <w:tcPr>
            <w:tcW w:w="1720" w:type="dxa"/>
            <w:tcBorders>
              <w:top w:val="nil"/>
              <w:left w:val="nil"/>
              <w:bottom w:val="nil"/>
              <w:right w:val="nil"/>
            </w:tcBorders>
            <w:shd w:val="clear" w:color="auto" w:fill="auto"/>
            <w:noWrap/>
            <w:vAlign w:val="bottom"/>
            <w:hideMark/>
          </w:tcPr>
          <w:p w14:paraId="7E903D6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2.7305 </w:t>
            </w:r>
          </w:p>
        </w:tc>
        <w:tc>
          <w:tcPr>
            <w:tcW w:w="1720" w:type="dxa"/>
            <w:tcBorders>
              <w:top w:val="nil"/>
              <w:left w:val="nil"/>
              <w:bottom w:val="nil"/>
              <w:right w:val="nil"/>
            </w:tcBorders>
            <w:shd w:val="clear" w:color="auto" w:fill="auto"/>
            <w:noWrap/>
            <w:vAlign w:val="bottom"/>
            <w:hideMark/>
          </w:tcPr>
          <w:p w14:paraId="7E8FCF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E29F7D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3A0940B" w14:textId="77777777" w:rsidTr="00180890">
        <w:trPr>
          <w:trHeight w:val="300"/>
        </w:trPr>
        <w:tc>
          <w:tcPr>
            <w:tcW w:w="1100" w:type="dxa"/>
            <w:tcBorders>
              <w:top w:val="nil"/>
              <w:left w:val="nil"/>
              <w:bottom w:val="nil"/>
              <w:right w:val="nil"/>
            </w:tcBorders>
            <w:shd w:val="clear" w:color="auto" w:fill="auto"/>
            <w:noWrap/>
            <w:vAlign w:val="bottom"/>
            <w:hideMark/>
          </w:tcPr>
          <w:p w14:paraId="7343B98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2151" w:type="dxa"/>
            <w:tcBorders>
              <w:top w:val="nil"/>
              <w:left w:val="nil"/>
              <w:bottom w:val="nil"/>
              <w:right w:val="nil"/>
            </w:tcBorders>
            <w:shd w:val="clear" w:color="auto" w:fill="auto"/>
            <w:noWrap/>
            <w:vAlign w:val="bottom"/>
            <w:hideMark/>
          </w:tcPr>
          <w:p w14:paraId="0831854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USSW9 BGN Curncy</w:t>
            </w:r>
          </w:p>
        </w:tc>
        <w:tc>
          <w:tcPr>
            <w:tcW w:w="2151" w:type="dxa"/>
            <w:tcBorders>
              <w:top w:val="nil"/>
              <w:left w:val="nil"/>
              <w:bottom w:val="nil"/>
              <w:right w:val="nil"/>
            </w:tcBorders>
            <w:shd w:val="clear" w:color="auto" w:fill="auto"/>
            <w:noWrap/>
            <w:vAlign w:val="bottom"/>
            <w:hideMark/>
          </w:tcPr>
          <w:p w14:paraId="6ED3AE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USSW9 BGN Curncy</w:t>
            </w:r>
          </w:p>
        </w:tc>
        <w:tc>
          <w:tcPr>
            <w:tcW w:w="1720" w:type="dxa"/>
            <w:tcBorders>
              <w:top w:val="nil"/>
              <w:left w:val="nil"/>
              <w:bottom w:val="nil"/>
              <w:right w:val="nil"/>
            </w:tcBorders>
            <w:shd w:val="clear" w:color="auto" w:fill="auto"/>
            <w:noWrap/>
            <w:vAlign w:val="bottom"/>
            <w:hideMark/>
          </w:tcPr>
          <w:p w14:paraId="49CF6C9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2.919 </w:t>
            </w:r>
          </w:p>
        </w:tc>
        <w:tc>
          <w:tcPr>
            <w:tcW w:w="1720" w:type="dxa"/>
            <w:tcBorders>
              <w:top w:val="nil"/>
              <w:left w:val="nil"/>
              <w:bottom w:val="nil"/>
              <w:right w:val="nil"/>
            </w:tcBorders>
            <w:shd w:val="clear" w:color="auto" w:fill="auto"/>
            <w:noWrap/>
            <w:vAlign w:val="bottom"/>
            <w:hideMark/>
          </w:tcPr>
          <w:p w14:paraId="3586ADC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AC6B1D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A8717F" w14:textId="77777777" w:rsidTr="00180890">
        <w:trPr>
          <w:trHeight w:val="300"/>
        </w:trPr>
        <w:tc>
          <w:tcPr>
            <w:tcW w:w="1100" w:type="dxa"/>
            <w:tcBorders>
              <w:top w:val="nil"/>
              <w:left w:val="nil"/>
              <w:bottom w:val="nil"/>
              <w:right w:val="nil"/>
            </w:tcBorders>
            <w:shd w:val="clear" w:color="auto" w:fill="auto"/>
            <w:noWrap/>
            <w:vAlign w:val="bottom"/>
            <w:hideMark/>
          </w:tcPr>
          <w:p w14:paraId="425C19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2151" w:type="dxa"/>
            <w:tcBorders>
              <w:top w:val="nil"/>
              <w:left w:val="nil"/>
              <w:bottom w:val="nil"/>
              <w:right w:val="nil"/>
            </w:tcBorders>
            <w:shd w:val="clear" w:color="auto" w:fill="auto"/>
            <w:noWrap/>
            <w:vAlign w:val="bottom"/>
            <w:hideMark/>
          </w:tcPr>
          <w:p w14:paraId="6256A2F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USSWAP10 BGN Curncy</w:t>
            </w:r>
          </w:p>
        </w:tc>
        <w:tc>
          <w:tcPr>
            <w:tcW w:w="2151" w:type="dxa"/>
            <w:tcBorders>
              <w:top w:val="nil"/>
              <w:left w:val="nil"/>
              <w:bottom w:val="nil"/>
              <w:right w:val="nil"/>
            </w:tcBorders>
            <w:shd w:val="clear" w:color="auto" w:fill="auto"/>
            <w:noWrap/>
            <w:vAlign w:val="bottom"/>
            <w:hideMark/>
          </w:tcPr>
          <w:p w14:paraId="30B6C1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USSWAP10 BGN Curncy</w:t>
            </w:r>
          </w:p>
        </w:tc>
        <w:tc>
          <w:tcPr>
            <w:tcW w:w="1720" w:type="dxa"/>
            <w:tcBorders>
              <w:top w:val="nil"/>
              <w:left w:val="nil"/>
              <w:bottom w:val="nil"/>
              <w:right w:val="nil"/>
            </w:tcBorders>
            <w:shd w:val="clear" w:color="auto" w:fill="auto"/>
            <w:noWrap/>
            <w:vAlign w:val="bottom"/>
            <w:hideMark/>
          </w:tcPr>
          <w:p w14:paraId="6E1FFD06"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3.0765 </w:t>
            </w:r>
          </w:p>
        </w:tc>
        <w:tc>
          <w:tcPr>
            <w:tcW w:w="1720" w:type="dxa"/>
            <w:tcBorders>
              <w:top w:val="nil"/>
              <w:left w:val="nil"/>
              <w:bottom w:val="nil"/>
              <w:right w:val="nil"/>
            </w:tcBorders>
            <w:shd w:val="clear" w:color="auto" w:fill="auto"/>
            <w:noWrap/>
            <w:vAlign w:val="bottom"/>
            <w:hideMark/>
          </w:tcPr>
          <w:p w14:paraId="5C3AD46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34B9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9346262" w14:textId="77777777" w:rsidTr="00180890">
        <w:trPr>
          <w:trHeight w:val="300"/>
        </w:trPr>
        <w:tc>
          <w:tcPr>
            <w:tcW w:w="1100" w:type="dxa"/>
            <w:tcBorders>
              <w:top w:val="nil"/>
              <w:left w:val="nil"/>
              <w:bottom w:val="nil"/>
              <w:right w:val="nil"/>
            </w:tcBorders>
            <w:shd w:val="clear" w:color="auto" w:fill="auto"/>
            <w:noWrap/>
            <w:vAlign w:val="bottom"/>
            <w:hideMark/>
          </w:tcPr>
          <w:p w14:paraId="7816D6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11Y</w:t>
            </w:r>
          </w:p>
        </w:tc>
        <w:tc>
          <w:tcPr>
            <w:tcW w:w="2151" w:type="dxa"/>
            <w:tcBorders>
              <w:top w:val="nil"/>
              <w:left w:val="nil"/>
              <w:bottom w:val="nil"/>
              <w:right w:val="nil"/>
            </w:tcBorders>
            <w:shd w:val="clear" w:color="auto" w:fill="auto"/>
            <w:noWrap/>
            <w:vAlign w:val="bottom"/>
            <w:hideMark/>
          </w:tcPr>
          <w:p w14:paraId="1F20696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USSWAP11 BGN Curncy</w:t>
            </w:r>
          </w:p>
        </w:tc>
        <w:tc>
          <w:tcPr>
            <w:tcW w:w="2151" w:type="dxa"/>
            <w:tcBorders>
              <w:top w:val="nil"/>
              <w:left w:val="nil"/>
              <w:bottom w:val="nil"/>
              <w:right w:val="nil"/>
            </w:tcBorders>
            <w:shd w:val="clear" w:color="auto" w:fill="auto"/>
            <w:noWrap/>
            <w:vAlign w:val="bottom"/>
            <w:hideMark/>
          </w:tcPr>
          <w:p w14:paraId="39796D7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USSWAP11 BGN Curncy</w:t>
            </w:r>
          </w:p>
        </w:tc>
        <w:tc>
          <w:tcPr>
            <w:tcW w:w="1720" w:type="dxa"/>
            <w:tcBorders>
              <w:top w:val="nil"/>
              <w:left w:val="nil"/>
              <w:bottom w:val="nil"/>
              <w:right w:val="nil"/>
            </w:tcBorders>
            <w:shd w:val="clear" w:color="auto" w:fill="auto"/>
            <w:noWrap/>
            <w:vAlign w:val="bottom"/>
            <w:hideMark/>
          </w:tcPr>
          <w:p w14:paraId="0269332B"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3.2103 </w:t>
            </w:r>
          </w:p>
        </w:tc>
        <w:tc>
          <w:tcPr>
            <w:tcW w:w="1720" w:type="dxa"/>
            <w:tcBorders>
              <w:top w:val="nil"/>
              <w:left w:val="nil"/>
              <w:bottom w:val="nil"/>
              <w:right w:val="nil"/>
            </w:tcBorders>
            <w:shd w:val="clear" w:color="auto" w:fill="auto"/>
            <w:noWrap/>
            <w:vAlign w:val="bottom"/>
            <w:hideMark/>
          </w:tcPr>
          <w:p w14:paraId="18DCB0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5640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CC14EE6" w14:textId="77777777" w:rsidTr="00180890">
        <w:trPr>
          <w:trHeight w:val="300"/>
        </w:trPr>
        <w:tc>
          <w:tcPr>
            <w:tcW w:w="1100" w:type="dxa"/>
            <w:tcBorders>
              <w:top w:val="nil"/>
              <w:left w:val="nil"/>
              <w:bottom w:val="nil"/>
              <w:right w:val="nil"/>
            </w:tcBorders>
            <w:shd w:val="clear" w:color="auto" w:fill="auto"/>
            <w:noWrap/>
            <w:vAlign w:val="bottom"/>
            <w:hideMark/>
          </w:tcPr>
          <w:p w14:paraId="79AF23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2151" w:type="dxa"/>
            <w:tcBorders>
              <w:top w:val="nil"/>
              <w:left w:val="nil"/>
              <w:bottom w:val="nil"/>
              <w:right w:val="nil"/>
            </w:tcBorders>
            <w:shd w:val="clear" w:color="auto" w:fill="auto"/>
            <w:noWrap/>
            <w:vAlign w:val="bottom"/>
            <w:hideMark/>
          </w:tcPr>
          <w:p w14:paraId="4EFAF73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USSWAP12 BGN Curncy</w:t>
            </w:r>
          </w:p>
        </w:tc>
        <w:tc>
          <w:tcPr>
            <w:tcW w:w="2151" w:type="dxa"/>
            <w:tcBorders>
              <w:top w:val="nil"/>
              <w:left w:val="nil"/>
              <w:bottom w:val="nil"/>
              <w:right w:val="nil"/>
            </w:tcBorders>
            <w:shd w:val="clear" w:color="auto" w:fill="auto"/>
            <w:noWrap/>
            <w:vAlign w:val="bottom"/>
            <w:hideMark/>
          </w:tcPr>
          <w:p w14:paraId="0CEA752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USSWAP12 BGN Curncy</w:t>
            </w:r>
          </w:p>
        </w:tc>
        <w:tc>
          <w:tcPr>
            <w:tcW w:w="1720" w:type="dxa"/>
            <w:tcBorders>
              <w:top w:val="nil"/>
              <w:left w:val="nil"/>
              <w:bottom w:val="nil"/>
              <w:right w:val="nil"/>
            </w:tcBorders>
            <w:shd w:val="clear" w:color="auto" w:fill="auto"/>
            <w:noWrap/>
            <w:vAlign w:val="bottom"/>
            <w:hideMark/>
          </w:tcPr>
          <w:p w14:paraId="199D759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3.322 </w:t>
            </w:r>
          </w:p>
        </w:tc>
        <w:tc>
          <w:tcPr>
            <w:tcW w:w="1720" w:type="dxa"/>
            <w:tcBorders>
              <w:top w:val="nil"/>
              <w:left w:val="nil"/>
              <w:bottom w:val="nil"/>
              <w:right w:val="nil"/>
            </w:tcBorders>
            <w:shd w:val="clear" w:color="auto" w:fill="auto"/>
            <w:noWrap/>
            <w:vAlign w:val="bottom"/>
            <w:hideMark/>
          </w:tcPr>
          <w:p w14:paraId="48B61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BEDCC3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E08331D" w14:textId="77777777" w:rsidTr="00180890">
        <w:trPr>
          <w:trHeight w:val="300"/>
        </w:trPr>
        <w:tc>
          <w:tcPr>
            <w:tcW w:w="1100" w:type="dxa"/>
            <w:tcBorders>
              <w:top w:val="nil"/>
              <w:left w:val="nil"/>
              <w:bottom w:val="nil"/>
              <w:right w:val="nil"/>
            </w:tcBorders>
            <w:shd w:val="clear" w:color="auto" w:fill="auto"/>
            <w:noWrap/>
            <w:vAlign w:val="bottom"/>
            <w:hideMark/>
          </w:tcPr>
          <w:p w14:paraId="5EFCA85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2151" w:type="dxa"/>
            <w:tcBorders>
              <w:top w:val="nil"/>
              <w:left w:val="nil"/>
              <w:bottom w:val="nil"/>
              <w:right w:val="nil"/>
            </w:tcBorders>
            <w:shd w:val="clear" w:color="auto" w:fill="auto"/>
            <w:noWrap/>
            <w:vAlign w:val="bottom"/>
            <w:hideMark/>
          </w:tcPr>
          <w:p w14:paraId="1DD3FD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USSWAP15 BGN Curncy</w:t>
            </w:r>
          </w:p>
        </w:tc>
        <w:tc>
          <w:tcPr>
            <w:tcW w:w="2151" w:type="dxa"/>
            <w:tcBorders>
              <w:top w:val="nil"/>
              <w:left w:val="nil"/>
              <w:bottom w:val="nil"/>
              <w:right w:val="nil"/>
            </w:tcBorders>
            <w:shd w:val="clear" w:color="auto" w:fill="auto"/>
            <w:noWrap/>
            <w:vAlign w:val="bottom"/>
            <w:hideMark/>
          </w:tcPr>
          <w:p w14:paraId="68B7EC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USSWAP15 BGN Curncy</w:t>
            </w:r>
          </w:p>
        </w:tc>
        <w:tc>
          <w:tcPr>
            <w:tcW w:w="1720" w:type="dxa"/>
            <w:tcBorders>
              <w:top w:val="nil"/>
              <w:left w:val="nil"/>
              <w:bottom w:val="nil"/>
              <w:right w:val="nil"/>
            </w:tcBorders>
            <w:shd w:val="clear" w:color="auto" w:fill="auto"/>
            <w:noWrap/>
            <w:vAlign w:val="bottom"/>
            <w:hideMark/>
          </w:tcPr>
          <w:p w14:paraId="73027B3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3.551 </w:t>
            </w:r>
          </w:p>
        </w:tc>
        <w:tc>
          <w:tcPr>
            <w:tcW w:w="1720" w:type="dxa"/>
            <w:tcBorders>
              <w:top w:val="nil"/>
              <w:left w:val="nil"/>
              <w:bottom w:val="nil"/>
              <w:right w:val="nil"/>
            </w:tcBorders>
            <w:shd w:val="clear" w:color="auto" w:fill="auto"/>
            <w:noWrap/>
            <w:vAlign w:val="bottom"/>
            <w:hideMark/>
          </w:tcPr>
          <w:p w14:paraId="413D8AF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087F4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DAF28B4" w14:textId="77777777" w:rsidTr="00180890">
        <w:trPr>
          <w:trHeight w:val="300"/>
        </w:trPr>
        <w:tc>
          <w:tcPr>
            <w:tcW w:w="1100" w:type="dxa"/>
            <w:tcBorders>
              <w:top w:val="nil"/>
              <w:left w:val="nil"/>
              <w:bottom w:val="nil"/>
              <w:right w:val="nil"/>
            </w:tcBorders>
            <w:shd w:val="clear" w:color="auto" w:fill="auto"/>
            <w:noWrap/>
            <w:vAlign w:val="bottom"/>
            <w:hideMark/>
          </w:tcPr>
          <w:p w14:paraId="4B9DDB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2151" w:type="dxa"/>
            <w:tcBorders>
              <w:top w:val="nil"/>
              <w:left w:val="nil"/>
              <w:bottom w:val="nil"/>
              <w:right w:val="nil"/>
            </w:tcBorders>
            <w:shd w:val="clear" w:color="auto" w:fill="auto"/>
            <w:noWrap/>
            <w:vAlign w:val="bottom"/>
            <w:hideMark/>
          </w:tcPr>
          <w:p w14:paraId="0201EE6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USSWAP20 BGN Curncy</w:t>
            </w:r>
          </w:p>
        </w:tc>
        <w:tc>
          <w:tcPr>
            <w:tcW w:w="2151" w:type="dxa"/>
            <w:tcBorders>
              <w:top w:val="nil"/>
              <w:left w:val="nil"/>
              <w:bottom w:val="nil"/>
              <w:right w:val="nil"/>
            </w:tcBorders>
            <w:shd w:val="clear" w:color="auto" w:fill="auto"/>
            <w:noWrap/>
            <w:vAlign w:val="bottom"/>
            <w:hideMark/>
          </w:tcPr>
          <w:p w14:paraId="1F234B0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USSWAP20 BGN Curncy</w:t>
            </w:r>
          </w:p>
        </w:tc>
        <w:tc>
          <w:tcPr>
            <w:tcW w:w="1720" w:type="dxa"/>
            <w:tcBorders>
              <w:top w:val="nil"/>
              <w:left w:val="nil"/>
              <w:bottom w:val="nil"/>
              <w:right w:val="nil"/>
            </w:tcBorders>
            <w:shd w:val="clear" w:color="auto" w:fill="auto"/>
            <w:noWrap/>
            <w:vAlign w:val="bottom"/>
            <w:hideMark/>
          </w:tcPr>
          <w:p w14:paraId="2802C13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3.7315 </w:t>
            </w:r>
          </w:p>
        </w:tc>
        <w:tc>
          <w:tcPr>
            <w:tcW w:w="1720" w:type="dxa"/>
            <w:tcBorders>
              <w:top w:val="nil"/>
              <w:left w:val="nil"/>
              <w:bottom w:val="nil"/>
              <w:right w:val="nil"/>
            </w:tcBorders>
            <w:shd w:val="clear" w:color="auto" w:fill="auto"/>
            <w:noWrap/>
            <w:vAlign w:val="bottom"/>
            <w:hideMark/>
          </w:tcPr>
          <w:p w14:paraId="0CBBFC4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CA15B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0FA08C3" w14:textId="77777777" w:rsidTr="00180890">
        <w:trPr>
          <w:trHeight w:val="300"/>
        </w:trPr>
        <w:tc>
          <w:tcPr>
            <w:tcW w:w="1100" w:type="dxa"/>
            <w:tcBorders>
              <w:top w:val="nil"/>
              <w:left w:val="nil"/>
              <w:bottom w:val="nil"/>
              <w:right w:val="nil"/>
            </w:tcBorders>
            <w:shd w:val="clear" w:color="auto" w:fill="auto"/>
            <w:noWrap/>
            <w:vAlign w:val="bottom"/>
            <w:hideMark/>
          </w:tcPr>
          <w:p w14:paraId="03B94F7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2151" w:type="dxa"/>
            <w:tcBorders>
              <w:top w:val="nil"/>
              <w:left w:val="nil"/>
              <w:bottom w:val="nil"/>
              <w:right w:val="nil"/>
            </w:tcBorders>
            <w:shd w:val="clear" w:color="auto" w:fill="auto"/>
            <w:noWrap/>
            <w:vAlign w:val="bottom"/>
            <w:hideMark/>
          </w:tcPr>
          <w:p w14:paraId="772A6C6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USSWAP25 BGN Curncy</w:t>
            </w:r>
          </w:p>
        </w:tc>
        <w:tc>
          <w:tcPr>
            <w:tcW w:w="2151" w:type="dxa"/>
            <w:tcBorders>
              <w:top w:val="nil"/>
              <w:left w:val="nil"/>
              <w:bottom w:val="nil"/>
              <w:right w:val="nil"/>
            </w:tcBorders>
            <w:shd w:val="clear" w:color="auto" w:fill="auto"/>
            <w:noWrap/>
            <w:vAlign w:val="bottom"/>
            <w:hideMark/>
          </w:tcPr>
          <w:p w14:paraId="318DCC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USSWAP25 BGN Curncy</w:t>
            </w:r>
          </w:p>
        </w:tc>
        <w:tc>
          <w:tcPr>
            <w:tcW w:w="1720" w:type="dxa"/>
            <w:tcBorders>
              <w:top w:val="nil"/>
              <w:left w:val="nil"/>
              <w:bottom w:val="nil"/>
              <w:right w:val="nil"/>
            </w:tcBorders>
            <w:shd w:val="clear" w:color="auto" w:fill="auto"/>
            <w:noWrap/>
            <w:vAlign w:val="bottom"/>
            <w:hideMark/>
          </w:tcPr>
          <w:p w14:paraId="27E5EBE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3.815 </w:t>
            </w:r>
          </w:p>
        </w:tc>
        <w:tc>
          <w:tcPr>
            <w:tcW w:w="1720" w:type="dxa"/>
            <w:tcBorders>
              <w:top w:val="nil"/>
              <w:left w:val="nil"/>
              <w:bottom w:val="nil"/>
              <w:right w:val="nil"/>
            </w:tcBorders>
            <w:shd w:val="clear" w:color="auto" w:fill="auto"/>
            <w:noWrap/>
            <w:vAlign w:val="bottom"/>
            <w:hideMark/>
          </w:tcPr>
          <w:p w14:paraId="3A9871E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0557B65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06BE8DFB" w14:textId="77777777" w:rsidTr="00180890">
        <w:trPr>
          <w:trHeight w:val="300"/>
        </w:trPr>
        <w:tc>
          <w:tcPr>
            <w:tcW w:w="1100" w:type="dxa"/>
            <w:tcBorders>
              <w:top w:val="nil"/>
              <w:left w:val="nil"/>
              <w:bottom w:val="nil"/>
              <w:right w:val="nil"/>
            </w:tcBorders>
            <w:shd w:val="clear" w:color="auto" w:fill="auto"/>
            <w:noWrap/>
            <w:vAlign w:val="bottom"/>
            <w:hideMark/>
          </w:tcPr>
          <w:p w14:paraId="632ED15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2151" w:type="dxa"/>
            <w:tcBorders>
              <w:top w:val="nil"/>
              <w:left w:val="nil"/>
              <w:bottom w:val="nil"/>
              <w:right w:val="nil"/>
            </w:tcBorders>
            <w:shd w:val="clear" w:color="auto" w:fill="auto"/>
            <w:noWrap/>
            <w:vAlign w:val="bottom"/>
            <w:hideMark/>
          </w:tcPr>
          <w:p w14:paraId="1620FE4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USSWAP30 BGN Curncy</w:t>
            </w:r>
          </w:p>
        </w:tc>
        <w:tc>
          <w:tcPr>
            <w:tcW w:w="2151" w:type="dxa"/>
            <w:tcBorders>
              <w:top w:val="nil"/>
              <w:left w:val="nil"/>
              <w:bottom w:val="nil"/>
              <w:right w:val="nil"/>
            </w:tcBorders>
            <w:shd w:val="clear" w:color="auto" w:fill="auto"/>
            <w:noWrap/>
            <w:vAlign w:val="bottom"/>
            <w:hideMark/>
          </w:tcPr>
          <w:p w14:paraId="0AC781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USSWAP30 BGN Curncy</w:t>
            </w:r>
          </w:p>
        </w:tc>
        <w:tc>
          <w:tcPr>
            <w:tcW w:w="1720" w:type="dxa"/>
            <w:tcBorders>
              <w:top w:val="nil"/>
              <w:left w:val="nil"/>
              <w:bottom w:val="nil"/>
              <w:right w:val="nil"/>
            </w:tcBorders>
            <w:shd w:val="clear" w:color="auto" w:fill="auto"/>
            <w:noWrap/>
            <w:vAlign w:val="bottom"/>
            <w:hideMark/>
          </w:tcPr>
          <w:p w14:paraId="22CD211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3.8565 </w:t>
            </w:r>
          </w:p>
        </w:tc>
        <w:tc>
          <w:tcPr>
            <w:tcW w:w="1720" w:type="dxa"/>
            <w:tcBorders>
              <w:top w:val="nil"/>
              <w:left w:val="nil"/>
              <w:bottom w:val="nil"/>
              <w:right w:val="nil"/>
            </w:tcBorders>
            <w:shd w:val="clear" w:color="auto" w:fill="auto"/>
            <w:noWrap/>
            <w:vAlign w:val="bottom"/>
            <w:hideMark/>
          </w:tcPr>
          <w:p w14:paraId="327A95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B58BB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13A00C6F" w14:textId="77777777" w:rsidR="00180890" w:rsidRDefault="00180890">
      <w:pPr>
        <w:spacing w:line="240" w:lineRule="auto"/>
        <w:ind w:firstLine="0"/>
        <w:jc w:val="left"/>
      </w:pPr>
    </w:p>
    <w:tbl>
      <w:tblPr>
        <w:tblW w:w="10102" w:type="dxa"/>
        <w:tblLook w:val="04A0" w:firstRow="1" w:lastRow="0" w:firstColumn="1" w:lastColumn="0" w:noHBand="0" w:noVBand="1"/>
      </w:tblPr>
      <w:tblGrid>
        <w:gridCol w:w="1100"/>
        <w:gridCol w:w="1921"/>
        <w:gridCol w:w="1921"/>
        <w:gridCol w:w="1720"/>
        <w:gridCol w:w="1720"/>
        <w:gridCol w:w="1720"/>
      </w:tblGrid>
      <w:tr w:rsidR="00180890" w:rsidRPr="00180890" w14:paraId="4D380491" w14:textId="77777777" w:rsidTr="00180890">
        <w:trPr>
          <w:trHeight w:val="300"/>
        </w:trPr>
        <w:tc>
          <w:tcPr>
            <w:tcW w:w="1100" w:type="dxa"/>
            <w:tcBorders>
              <w:top w:val="nil"/>
              <w:left w:val="nil"/>
              <w:bottom w:val="nil"/>
              <w:right w:val="nil"/>
            </w:tcBorders>
            <w:shd w:val="clear" w:color="000000" w:fill="4F81BD"/>
            <w:noWrap/>
            <w:vAlign w:val="bottom"/>
            <w:hideMark/>
          </w:tcPr>
          <w:p w14:paraId="6034E826"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Tenor</w:t>
            </w:r>
          </w:p>
        </w:tc>
        <w:tc>
          <w:tcPr>
            <w:tcW w:w="1921" w:type="dxa"/>
            <w:tcBorders>
              <w:top w:val="nil"/>
              <w:left w:val="nil"/>
              <w:bottom w:val="nil"/>
              <w:right w:val="nil"/>
            </w:tcBorders>
            <w:shd w:val="clear" w:color="000000" w:fill="4F81BD"/>
            <w:noWrap/>
            <w:vAlign w:val="bottom"/>
            <w:hideMark/>
          </w:tcPr>
          <w:p w14:paraId="68BADFB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CUSIP</w:t>
            </w:r>
          </w:p>
        </w:tc>
        <w:tc>
          <w:tcPr>
            <w:tcW w:w="1921" w:type="dxa"/>
            <w:tcBorders>
              <w:top w:val="nil"/>
              <w:left w:val="nil"/>
              <w:bottom w:val="nil"/>
              <w:right w:val="nil"/>
            </w:tcBorders>
            <w:shd w:val="clear" w:color="000000" w:fill="4F81BD"/>
            <w:noWrap/>
            <w:vAlign w:val="bottom"/>
            <w:hideMark/>
          </w:tcPr>
          <w:p w14:paraId="6424FDCA"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Description</w:t>
            </w:r>
          </w:p>
        </w:tc>
        <w:tc>
          <w:tcPr>
            <w:tcW w:w="1720" w:type="dxa"/>
            <w:tcBorders>
              <w:top w:val="nil"/>
              <w:left w:val="nil"/>
              <w:bottom w:val="nil"/>
              <w:right w:val="nil"/>
            </w:tcBorders>
            <w:shd w:val="clear" w:color="000000" w:fill="4F81BD"/>
            <w:noWrap/>
            <w:vAlign w:val="bottom"/>
            <w:hideMark/>
          </w:tcPr>
          <w:p w14:paraId="7A2922D1"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Yield</w:t>
            </w:r>
          </w:p>
        </w:tc>
        <w:tc>
          <w:tcPr>
            <w:tcW w:w="1720" w:type="dxa"/>
            <w:tcBorders>
              <w:top w:val="nil"/>
              <w:left w:val="nil"/>
              <w:bottom w:val="nil"/>
              <w:right w:val="nil"/>
            </w:tcBorders>
            <w:shd w:val="clear" w:color="000000" w:fill="4F81BD"/>
            <w:noWrap/>
            <w:vAlign w:val="bottom"/>
            <w:hideMark/>
          </w:tcPr>
          <w:p w14:paraId="1729B679"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Source</w:t>
            </w:r>
          </w:p>
        </w:tc>
        <w:tc>
          <w:tcPr>
            <w:tcW w:w="1720" w:type="dxa"/>
            <w:tcBorders>
              <w:top w:val="nil"/>
              <w:left w:val="nil"/>
              <w:bottom w:val="nil"/>
              <w:right w:val="nil"/>
            </w:tcBorders>
            <w:shd w:val="clear" w:color="000000" w:fill="4F81BD"/>
            <w:noWrap/>
            <w:vAlign w:val="bottom"/>
            <w:hideMark/>
          </w:tcPr>
          <w:p w14:paraId="3649EDE4" w14:textId="77777777" w:rsidR="00180890" w:rsidRPr="00180890" w:rsidRDefault="00180890" w:rsidP="00180890">
            <w:pPr>
              <w:spacing w:line="240" w:lineRule="auto"/>
              <w:ind w:firstLine="0"/>
              <w:jc w:val="left"/>
              <w:rPr>
                <w:rFonts w:ascii="Calibri" w:eastAsia="Times New Roman" w:hAnsi="Calibri" w:cs="Calibri"/>
                <w:b/>
                <w:bCs/>
                <w:color w:val="FFFFFF"/>
                <w:sz w:val="22"/>
                <w:szCs w:val="22"/>
              </w:rPr>
            </w:pPr>
            <w:r w:rsidRPr="00180890">
              <w:rPr>
                <w:rFonts w:ascii="Calibri" w:eastAsia="Times New Roman" w:hAnsi="Calibri" w:cs="Calibri"/>
                <w:b/>
                <w:bCs/>
                <w:color w:val="FFFFFF"/>
                <w:sz w:val="22"/>
                <w:szCs w:val="22"/>
              </w:rPr>
              <w:t>Update</w:t>
            </w:r>
          </w:p>
        </w:tc>
      </w:tr>
      <w:tr w:rsidR="00180890" w:rsidRPr="00180890" w14:paraId="7FAF1831" w14:textId="77777777" w:rsidTr="00180890">
        <w:trPr>
          <w:trHeight w:val="300"/>
        </w:trPr>
        <w:tc>
          <w:tcPr>
            <w:tcW w:w="1100" w:type="dxa"/>
            <w:tcBorders>
              <w:top w:val="nil"/>
              <w:left w:val="nil"/>
              <w:bottom w:val="nil"/>
              <w:right w:val="nil"/>
            </w:tcBorders>
            <w:shd w:val="clear" w:color="auto" w:fill="auto"/>
            <w:noWrap/>
            <w:vAlign w:val="bottom"/>
            <w:hideMark/>
          </w:tcPr>
          <w:p w14:paraId="791406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1D</w:t>
            </w:r>
          </w:p>
        </w:tc>
        <w:tc>
          <w:tcPr>
            <w:tcW w:w="1921" w:type="dxa"/>
            <w:tcBorders>
              <w:top w:val="nil"/>
              <w:left w:val="nil"/>
              <w:bottom w:val="nil"/>
              <w:right w:val="nil"/>
            </w:tcBorders>
            <w:shd w:val="clear" w:color="auto" w:fill="auto"/>
            <w:noWrap/>
            <w:vAlign w:val="bottom"/>
            <w:hideMark/>
          </w:tcPr>
          <w:p w14:paraId="103B85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921" w:type="dxa"/>
            <w:tcBorders>
              <w:top w:val="nil"/>
              <w:left w:val="nil"/>
              <w:bottom w:val="nil"/>
              <w:right w:val="nil"/>
            </w:tcBorders>
            <w:shd w:val="clear" w:color="auto" w:fill="auto"/>
            <w:noWrap/>
            <w:vAlign w:val="bottom"/>
            <w:hideMark/>
          </w:tcPr>
          <w:p w14:paraId="5687740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CCLR Index</w:t>
            </w:r>
          </w:p>
        </w:tc>
        <w:tc>
          <w:tcPr>
            <w:tcW w:w="1720" w:type="dxa"/>
            <w:tcBorders>
              <w:top w:val="nil"/>
              <w:left w:val="nil"/>
              <w:bottom w:val="nil"/>
              <w:right w:val="nil"/>
            </w:tcBorders>
            <w:shd w:val="clear" w:color="auto" w:fill="auto"/>
            <w:noWrap/>
            <w:vAlign w:val="bottom"/>
            <w:hideMark/>
          </w:tcPr>
          <w:p w14:paraId="257A7F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1.00 </w:t>
            </w:r>
          </w:p>
        </w:tc>
        <w:tc>
          <w:tcPr>
            <w:tcW w:w="1720" w:type="dxa"/>
            <w:tcBorders>
              <w:top w:val="nil"/>
              <w:left w:val="nil"/>
              <w:bottom w:val="nil"/>
              <w:right w:val="nil"/>
            </w:tcBorders>
            <w:shd w:val="clear" w:color="auto" w:fill="auto"/>
            <w:noWrap/>
            <w:vAlign w:val="bottom"/>
            <w:hideMark/>
          </w:tcPr>
          <w:p w14:paraId="678172A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6C186A3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FFBEF8" w14:textId="77777777" w:rsidTr="00180890">
        <w:trPr>
          <w:trHeight w:val="300"/>
        </w:trPr>
        <w:tc>
          <w:tcPr>
            <w:tcW w:w="1100" w:type="dxa"/>
            <w:tcBorders>
              <w:top w:val="nil"/>
              <w:left w:val="nil"/>
              <w:bottom w:val="nil"/>
              <w:right w:val="nil"/>
            </w:tcBorders>
            <w:shd w:val="clear" w:color="auto" w:fill="auto"/>
            <w:noWrap/>
            <w:vAlign w:val="bottom"/>
            <w:hideMark/>
          </w:tcPr>
          <w:p w14:paraId="7B3FFE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1M</w:t>
            </w:r>
          </w:p>
        </w:tc>
        <w:tc>
          <w:tcPr>
            <w:tcW w:w="1921" w:type="dxa"/>
            <w:tcBorders>
              <w:top w:val="nil"/>
              <w:left w:val="nil"/>
              <w:bottom w:val="nil"/>
              <w:right w:val="nil"/>
            </w:tcBorders>
            <w:shd w:val="clear" w:color="auto" w:fill="auto"/>
            <w:noWrap/>
            <w:vAlign w:val="bottom"/>
            <w:hideMark/>
          </w:tcPr>
          <w:p w14:paraId="611DA5D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921" w:type="dxa"/>
            <w:tcBorders>
              <w:top w:val="nil"/>
              <w:left w:val="nil"/>
              <w:bottom w:val="nil"/>
              <w:right w:val="nil"/>
            </w:tcBorders>
            <w:shd w:val="clear" w:color="auto" w:fill="auto"/>
            <w:noWrap/>
            <w:vAlign w:val="bottom"/>
            <w:hideMark/>
          </w:tcPr>
          <w:p w14:paraId="497097C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CDOR01 Index</w:t>
            </w:r>
          </w:p>
        </w:tc>
        <w:tc>
          <w:tcPr>
            <w:tcW w:w="1720" w:type="dxa"/>
            <w:tcBorders>
              <w:top w:val="nil"/>
              <w:left w:val="nil"/>
              <w:bottom w:val="nil"/>
              <w:right w:val="nil"/>
            </w:tcBorders>
            <w:shd w:val="clear" w:color="auto" w:fill="auto"/>
            <w:noWrap/>
            <w:vAlign w:val="bottom"/>
            <w:hideMark/>
          </w:tcPr>
          <w:p w14:paraId="7F7A8EB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1.22 </w:t>
            </w:r>
          </w:p>
        </w:tc>
        <w:tc>
          <w:tcPr>
            <w:tcW w:w="1720" w:type="dxa"/>
            <w:tcBorders>
              <w:top w:val="nil"/>
              <w:left w:val="nil"/>
              <w:bottom w:val="nil"/>
              <w:right w:val="nil"/>
            </w:tcBorders>
            <w:shd w:val="clear" w:color="auto" w:fill="auto"/>
            <w:noWrap/>
            <w:vAlign w:val="bottom"/>
            <w:hideMark/>
          </w:tcPr>
          <w:p w14:paraId="1BC301B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23268D1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FA8CC97" w14:textId="77777777" w:rsidTr="00180890">
        <w:trPr>
          <w:trHeight w:val="300"/>
        </w:trPr>
        <w:tc>
          <w:tcPr>
            <w:tcW w:w="1100" w:type="dxa"/>
            <w:tcBorders>
              <w:top w:val="nil"/>
              <w:left w:val="nil"/>
              <w:bottom w:val="nil"/>
              <w:right w:val="nil"/>
            </w:tcBorders>
            <w:shd w:val="clear" w:color="auto" w:fill="auto"/>
            <w:noWrap/>
            <w:vAlign w:val="bottom"/>
            <w:hideMark/>
          </w:tcPr>
          <w:p w14:paraId="264DDD2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2M</w:t>
            </w:r>
          </w:p>
        </w:tc>
        <w:tc>
          <w:tcPr>
            <w:tcW w:w="1921" w:type="dxa"/>
            <w:tcBorders>
              <w:top w:val="nil"/>
              <w:left w:val="nil"/>
              <w:bottom w:val="nil"/>
              <w:right w:val="nil"/>
            </w:tcBorders>
            <w:shd w:val="clear" w:color="auto" w:fill="auto"/>
            <w:noWrap/>
            <w:vAlign w:val="bottom"/>
            <w:hideMark/>
          </w:tcPr>
          <w:p w14:paraId="1428F4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921" w:type="dxa"/>
            <w:tcBorders>
              <w:top w:val="nil"/>
              <w:left w:val="nil"/>
              <w:bottom w:val="nil"/>
              <w:right w:val="nil"/>
            </w:tcBorders>
            <w:shd w:val="clear" w:color="auto" w:fill="auto"/>
            <w:noWrap/>
            <w:vAlign w:val="bottom"/>
            <w:hideMark/>
          </w:tcPr>
          <w:p w14:paraId="024571E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CDOR02 Index</w:t>
            </w:r>
          </w:p>
        </w:tc>
        <w:tc>
          <w:tcPr>
            <w:tcW w:w="1720" w:type="dxa"/>
            <w:tcBorders>
              <w:top w:val="nil"/>
              <w:left w:val="nil"/>
              <w:bottom w:val="nil"/>
              <w:right w:val="nil"/>
            </w:tcBorders>
            <w:shd w:val="clear" w:color="auto" w:fill="auto"/>
            <w:noWrap/>
            <w:vAlign w:val="bottom"/>
            <w:hideMark/>
          </w:tcPr>
          <w:p w14:paraId="3D2FCC0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1.2475 </w:t>
            </w:r>
          </w:p>
        </w:tc>
        <w:tc>
          <w:tcPr>
            <w:tcW w:w="1720" w:type="dxa"/>
            <w:tcBorders>
              <w:top w:val="nil"/>
              <w:left w:val="nil"/>
              <w:bottom w:val="nil"/>
              <w:right w:val="nil"/>
            </w:tcBorders>
            <w:shd w:val="clear" w:color="auto" w:fill="auto"/>
            <w:noWrap/>
            <w:vAlign w:val="bottom"/>
            <w:hideMark/>
          </w:tcPr>
          <w:p w14:paraId="6DB27D2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CMPN</w:t>
            </w:r>
          </w:p>
        </w:tc>
        <w:tc>
          <w:tcPr>
            <w:tcW w:w="1720" w:type="dxa"/>
            <w:tcBorders>
              <w:top w:val="nil"/>
              <w:left w:val="nil"/>
              <w:bottom w:val="nil"/>
              <w:right w:val="nil"/>
            </w:tcBorders>
            <w:shd w:val="clear" w:color="auto" w:fill="auto"/>
            <w:noWrap/>
            <w:vAlign w:val="bottom"/>
            <w:hideMark/>
          </w:tcPr>
          <w:p w14:paraId="7378783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54D370E" w14:textId="77777777" w:rsidTr="00180890">
        <w:trPr>
          <w:trHeight w:val="300"/>
        </w:trPr>
        <w:tc>
          <w:tcPr>
            <w:tcW w:w="1100" w:type="dxa"/>
            <w:tcBorders>
              <w:top w:val="nil"/>
              <w:left w:val="nil"/>
              <w:bottom w:val="nil"/>
              <w:right w:val="nil"/>
            </w:tcBorders>
            <w:shd w:val="clear" w:color="auto" w:fill="auto"/>
            <w:noWrap/>
            <w:vAlign w:val="bottom"/>
            <w:hideMark/>
          </w:tcPr>
          <w:p w14:paraId="39BDAB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3M</w:t>
            </w:r>
          </w:p>
        </w:tc>
        <w:tc>
          <w:tcPr>
            <w:tcW w:w="1921" w:type="dxa"/>
            <w:tcBorders>
              <w:top w:val="nil"/>
              <w:left w:val="nil"/>
              <w:bottom w:val="nil"/>
              <w:right w:val="nil"/>
            </w:tcBorders>
            <w:shd w:val="clear" w:color="auto" w:fill="auto"/>
            <w:noWrap/>
            <w:vAlign w:val="bottom"/>
            <w:hideMark/>
          </w:tcPr>
          <w:p w14:paraId="3C6458B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BAU13 Comdty</w:t>
            </w:r>
          </w:p>
        </w:tc>
        <w:tc>
          <w:tcPr>
            <w:tcW w:w="1921" w:type="dxa"/>
            <w:tcBorders>
              <w:top w:val="nil"/>
              <w:left w:val="nil"/>
              <w:bottom w:val="nil"/>
              <w:right w:val="nil"/>
            </w:tcBorders>
            <w:shd w:val="clear" w:color="auto" w:fill="auto"/>
            <w:noWrap/>
            <w:vAlign w:val="bottom"/>
            <w:hideMark/>
          </w:tcPr>
          <w:p w14:paraId="70AC525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BAU13 Comdty</w:t>
            </w:r>
          </w:p>
        </w:tc>
        <w:tc>
          <w:tcPr>
            <w:tcW w:w="1720" w:type="dxa"/>
            <w:tcBorders>
              <w:top w:val="nil"/>
              <w:left w:val="nil"/>
              <w:bottom w:val="nil"/>
              <w:right w:val="nil"/>
            </w:tcBorders>
            <w:shd w:val="clear" w:color="auto" w:fill="auto"/>
            <w:noWrap/>
            <w:vAlign w:val="bottom"/>
            <w:hideMark/>
          </w:tcPr>
          <w:p w14:paraId="1DDF1EEF"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1.275 </w:t>
            </w:r>
          </w:p>
        </w:tc>
        <w:tc>
          <w:tcPr>
            <w:tcW w:w="1720" w:type="dxa"/>
            <w:tcBorders>
              <w:top w:val="nil"/>
              <w:left w:val="nil"/>
              <w:bottom w:val="nil"/>
              <w:right w:val="nil"/>
            </w:tcBorders>
            <w:shd w:val="clear" w:color="auto" w:fill="auto"/>
            <w:noWrap/>
            <w:vAlign w:val="bottom"/>
            <w:hideMark/>
          </w:tcPr>
          <w:p w14:paraId="13B276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406B093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D112763" w14:textId="77777777" w:rsidTr="00180890">
        <w:trPr>
          <w:trHeight w:val="300"/>
        </w:trPr>
        <w:tc>
          <w:tcPr>
            <w:tcW w:w="1100" w:type="dxa"/>
            <w:tcBorders>
              <w:top w:val="nil"/>
              <w:left w:val="nil"/>
              <w:bottom w:val="nil"/>
              <w:right w:val="nil"/>
            </w:tcBorders>
            <w:shd w:val="clear" w:color="auto" w:fill="auto"/>
            <w:noWrap/>
            <w:vAlign w:val="bottom"/>
            <w:hideMark/>
          </w:tcPr>
          <w:p w14:paraId="5E45F72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6M</w:t>
            </w:r>
          </w:p>
        </w:tc>
        <w:tc>
          <w:tcPr>
            <w:tcW w:w="1921" w:type="dxa"/>
            <w:tcBorders>
              <w:top w:val="nil"/>
              <w:left w:val="nil"/>
              <w:bottom w:val="nil"/>
              <w:right w:val="nil"/>
            </w:tcBorders>
            <w:shd w:val="clear" w:color="auto" w:fill="auto"/>
            <w:noWrap/>
            <w:vAlign w:val="bottom"/>
            <w:hideMark/>
          </w:tcPr>
          <w:p w14:paraId="3D26FED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BAZ13 Comdty</w:t>
            </w:r>
          </w:p>
        </w:tc>
        <w:tc>
          <w:tcPr>
            <w:tcW w:w="1921" w:type="dxa"/>
            <w:tcBorders>
              <w:top w:val="nil"/>
              <w:left w:val="nil"/>
              <w:bottom w:val="nil"/>
              <w:right w:val="nil"/>
            </w:tcBorders>
            <w:shd w:val="clear" w:color="auto" w:fill="auto"/>
            <w:noWrap/>
            <w:vAlign w:val="bottom"/>
            <w:hideMark/>
          </w:tcPr>
          <w:p w14:paraId="1C0C35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BAZ13 Comdty</w:t>
            </w:r>
          </w:p>
        </w:tc>
        <w:tc>
          <w:tcPr>
            <w:tcW w:w="1720" w:type="dxa"/>
            <w:tcBorders>
              <w:top w:val="nil"/>
              <w:left w:val="nil"/>
              <w:bottom w:val="nil"/>
              <w:right w:val="nil"/>
            </w:tcBorders>
            <w:shd w:val="clear" w:color="auto" w:fill="auto"/>
            <w:noWrap/>
            <w:vAlign w:val="bottom"/>
            <w:hideMark/>
          </w:tcPr>
          <w:p w14:paraId="1B6D922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1.2997 </w:t>
            </w:r>
          </w:p>
        </w:tc>
        <w:tc>
          <w:tcPr>
            <w:tcW w:w="1720" w:type="dxa"/>
            <w:tcBorders>
              <w:top w:val="nil"/>
              <w:left w:val="nil"/>
              <w:bottom w:val="nil"/>
              <w:right w:val="nil"/>
            </w:tcBorders>
            <w:shd w:val="clear" w:color="auto" w:fill="auto"/>
            <w:noWrap/>
            <w:vAlign w:val="bottom"/>
            <w:hideMark/>
          </w:tcPr>
          <w:p w14:paraId="558D629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C0B6AE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CB4C66F" w14:textId="77777777" w:rsidTr="00180890">
        <w:trPr>
          <w:trHeight w:val="300"/>
        </w:trPr>
        <w:tc>
          <w:tcPr>
            <w:tcW w:w="1100" w:type="dxa"/>
            <w:tcBorders>
              <w:top w:val="nil"/>
              <w:left w:val="nil"/>
              <w:bottom w:val="nil"/>
              <w:right w:val="nil"/>
            </w:tcBorders>
            <w:shd w:val="clear" w:color="auto" w:fill="auto"/>
            <w:noWrap/>
            <w:vAlign w:val="bottom"/>
            <w:hideMark/>
          </w:tcPr>
          <w:p w14:paraId="2620EA6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9M</w:t>
            </w:r>
          </w:p>
        </w:tc>
        <w:tc>
          <w:tcPr>
            <w:tcW w:w="1921" w:type="dxa"/>
            <w:tcBorders>
              <w:top w:val="nil"/>
              <w:left w:val="nil"/>
              <w:bottom w:val="nil"/>
              <w:right w:val="nil"/>
            </w:tcBorders>
            <w:shd w:val="clear" w:color="auto" w:fill="auto"/>
            <w:noWrap/>
            <w:vAlign w:val="bottom"/>
            <w:hideMark/>
          </w:tcPr>
          <w:p w14:paraId="57CCC79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BAH14 Comdty</w:t>
            </w:r>
          </w:p>
        </w:tc>
        <w:tc>
          <w:tcPr>
            <w:tcW w:w="1921" w:type="dxa"/>
            <w:tcBorders>
              <w:top w:val="nil"/>
              <w:left w:val="nil"/>
              <w:bottom w:val="nil"/>
              <w:right w:val="nil"/>
            </w:tcBorders>
            <w:shd w:val="clear" w:color="auto" w:fill="auto"/>
            <w:noWrap/>
            <w:vAlign w:val="bottom"/>
            <w:hideMark/>
          </w:tcPr>
          <w:p w14:paraId="661277D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BAH14 Comdty</w:t>
            </w:r>
          </w:p>
        </w:tc>
        <w:tc>
          <w:tcPr>
            <w:tcW w:w="1720" w:type="dxa"/>
            <w:tcBorders>
              <w:top w:val="nil"/>
              <w:left w:val="nil"/>
              <w:bottom w:val="nil"/>
              <w:right w:val="nil"/>
            </w:tcBorders>
            <w:shd w:val="clear" w:color="auto" w:fill="auto"/>
            <w:noWrap/>
            <w:vAlign w:val="bottom"/>
            <w:hideMark/>
          </w:tcPr>
          <w:p w14:paraId="6D8D9BCC"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1.3491 </w:t>
            </w:r>
          </w:p>
        </w:tc>
        <w:tc>
          <w:tcPr>
            <w:tcW w:w="1720" w:type="dxa"/>
            <w:tcBorders>
              <w:top w:val="nil"/>
              <w:left w:val="nil"/>
              <w:bottom w:val="nil"/>
              <w:right w:val="nil"/>
            </w:tcBorders>
            <w:shd w:val="clear" w:color="auto" w:fill="auto"/>
            <w:noWrap/>
            <w:vAlign w:val="bottom"/>
            <w:hideMark/>
          </w:tcPr>
          <w:p w14:paraId="6C9ECFA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3902A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56C2A1" w14:textId="77777777" w:rsidTr="00180890">
        <w:trPr>
          <w:trHeight w:val="300"/>
        </w:trPr>
        <w:tc>
          <w:tcPr>
            <w:tcW w:w="1100" w:type="dxa"/>
            <w:tcBorders>
              <w:top w:val="nil"/>
              <w:left w:val="nil"/>
              <w:bottom w:val="nil"/>
              <w:right w:val="nil"/>
            </w:tcBorders>
            <w:shd w:val="clear" w:color="auto" w:fill="auto"/>
            <w:noWrap/>
            <w:vAlign w:val="bottom"/>
            <w:hideMark/>
          </w:tcPr>
          <w:p w14:paraId="6E2D7C1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lastRenderedPageBreak/>
              <w:t>12M</w:t>
            </w:r>
          </w:p>
        </w:tc>
        <w:tc>
          <w:tcPr>
            <w:tcW w:w="1921" w:type="dxa"/>
            <w:tcBorders>
              <w:top w:val="nil"/>
              <w:left w:val="nil"/>
              <w:bottom w:val="nil"/>
              <w:right w:val="nil"/>
            </w:tcBorders>
            <w:shd w:val="clear" w:color="auto" w:fill="auto"/>
            <w:noWrap/>
            <w:vAlign w:val="bottom"/>
            <w:hideMark/>
          </w:tcPr>
          <w:p w14:paraId="61FDA00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BAM14 Comdty</w:t>
            </w:r>
          </w:p>
        </w:tc>
        <w:tc>
          <w:tcPr>
            <w:tcW w:w="1921" w:type="dxa"/>
            <w:tcBorders>
              <w:top w:val="nil"/>
              <w:left w:val="nil"/>
              <w:bottom w:val="nil"/>
              <w:right w:val="nil"/>
            </w:tcBorders>
            <w:shd w:val="clear" w:color="auto" w:fill="auto"/>
            <w:noWrap/>
            <w:vAlign w:val="bottom"/>
            <w:hideMark/>
          </w:tcPr>
          <w:p w14:paraId="59F0C5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BAM14 Comdty</w:t>
            </w:r>
          </w:p>
        </w:tc>
        <w:tc>
          <w:tcPr>
            <w:tcW w:w="1720" w:type="dxa"/>
            <w:tcBorders>
              <w:top w:val="nil"/>
              <w:left w:val="nil"/>
              <w:bottom w:val="nil"/>
              <w:right w:val="nil"/>
            </w:tcBorders>
            <w:shd w:val="clear" w:color="auto" w:fill="auto"/>
            <w:noWrap/>
            <w:vAlign w:val="bottom"/>
            <w:hideMark/>
          </w:tcPr>
          <w:p w14:paraId="04E0DEC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1.4584 </w:t>
            </w:r>
          </w:p>
        </w:tc>
        <w:tc>
          <w:tcPr>
            <w:tcW w:w="1720" w:type="dxa"/>
            <w:tcBorders>
              <w:top w:val="nil"/>
              <w:left w:val="nil"/>
              <w:bottom w:val="nil"/>
              <w:right w:val="nil"/>
            </w:tcBorders>
            <w:shd w:val="clear" w:color="auto" w:fill="auto"/>
            <w:noWrap/>
            <w:vAlign w:val="bottom"/>
            <w:hideMark/>
          </w:tcPr>
          <w:p w14:paraId="41CE5C1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4AEDC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C789608" w14:textId="77777777" w:rsidTr="00180890">
        <w:trPr>
          <w:trHeight w:val="300"/>
        </w:trPr>
        <w:tc>
          <w:tcPr>
            <w:tcW w:w="1100" w:type="dxa"/>
            <w:tcBorders>
              <w:top w:val="nil"/>
              <w:left w:val="nil"/>
              <w:bottom w:val="nil"/>
              <w:right w:val="nil"/>
            </w:tcBorders>
            <w:shd w:val="clear" w:color="auto" w:fill="auto"/>
            <w:noWrap/>
            <w:vAlign w:val="bottom"/>
            <w:hideMark/>
          </w:tcPr>
          <w:p w14:paraId="12758C6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15M</w:t>
            </w:r>
          </w:p>
        </w:tc>
        <w:tc>
          <w:tcPr>
            <w:tcW w:w="1921" w:type="dxa"/>
            <w:tcBorders>
              <w:top w:val="nil"/>
              <w:left w:val="nil"/>
              <w:bottom w:val="nil"/>
              <w:right w:val="nil"/>
            </w:tcBorders>
            <w:shd w:val="clear" w:color="auto" w:fill="auto"/>
            <w:noWrap/>
            <w:vAlign w:val="bottom"/>
            <w:hideMark/>
          </w:tcPr>
          <w:p w14:paraId="429742A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BAU14 Comdty</w:t>
            </w:r>
          </w:p>
        </w:tc>
        <w:tc>
          <w:tcPr>
            <w:tcW w:w="1921" w:type="dxa"/>
            <w:tcBorders>
              <w:top w:val="nil"/>
              <w:left w:val="nil"/>
              <w:bottom w:val="nil"/>
              <w:right w:val="nil"/>
            </w:tcBorders>
            <w:shd w:val="clear" w:color="auto" w:fill="auto"/>
            <w:noWrap/>
            <w:vAlign w:val="bottom"/>
            <w:hideMark/>
          </w:tcPr>
          <w:p w14:paraId="3FE5ADB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BAU14 Comdty</w:t>
            </w:r>
          </w:p>
        </w:tc>
        <w:tc>
          <w:tcPr>
            <w:tcW w:w="1720" w:type="dxa"/>
            <w:tcBorders>
              <w:top w:val="nil"/>
              <w:left w:val="nil"/>
              <w:bottom w:val="nil"/>
              <w:right w:val="nil"/>
            </w:tcBorders>
            <w:shd w:val="clear" w:color="auto" w:fill="auto"/>
            <w:noWrap/>
            <w:vAlign w:val="bottom"/>
            <w:hideMark/>
          </w:tcPr>
          <w:p w14:paraId="6946B25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1.6275 </w:t>
            </w:r>
          </w:p>
        </w:tc>
        <w:tc>
          <w:tcPr>
            <w:tcW w:w="1720" w:type="dxa"/>
            <w:tcBorders>
              <w:top w:val="nil"/>
              <w:left w:val="nil"/>
              <w:bottom w:val="nil"/>
              <w:right w:val="nil"/>
            </w:tcBorders>
            <w:shd w:val="clear" w:color="auto" w:fill="auto"/>
            <w:noWrap/>
            <w:vAlign w:val="bottom"/>
            <w:hideMark/>
          </w:tcPr>
          <w:p w14:paraId="583420B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2D83BB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0591F85" w14:textId="77777777" w:rsidTr="00180890">
        <w:trPr>
          <w:trHeight w:val="300"/>
        </w:trPr>
        <w:tc>
          <w:tcPr>
            <w:tcW w:w="1100" w:type="dxa"/>
            <w:tcBorders>
              <w:top w:val="nil"/>
              <w:left w:val="nil"/>
              <w:bottom w:val="nil"/>
              <w:right w:val="nil"/>
            </w:tcBorders>
            <w:shd w:val="clear" w:color="auto" w:fill="auto"/>
            <w:noWrap/>
            <w:vAlign w:val="bottom"/>
            <w:hideMark/>
          </w:tcPr>
          <w:p w14:paraId="5920789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18M</w:t>
            </w:r>
          </w:p>
        </w:tc>
        <w:tc>
          <w:tcPr>
            <w:tcW w:w="1921" w:type="dxa"/>
            <w:tcBorders>
              <w:top w:val="nil"/>
              <w:left w:val="nil"/>
              <w:bottom w:val="nil"/>
              <w:right w:val="nil"/>
            </w:tcBorders>
            <w:shd w:val="clear" w:color="auto" w:fill="auto"/>
            <w:noWrap/>
            <w:vAlign w:val="bottom"/>
            <w:hideMark/>
          </w:tcPr>
          <w:p w14:paraId="4DBFF25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BAZ14 Comdty</w:t>
            </w:r>
          </w:p>
        </w:tc>
        <w:tc>
          <w:tcPr>
            <w:tcW w:w="1921" w:type="dxa"/>
            <w:tcBorders>
              <w:top w:val="nil"/>
              <w:left w:val="nil"/>
              <w:bottom w:val="nil"/>
              <w:right w:val="nil"/>
            </w:tcBorders>
            <w:shd w:val="clear" w:color="auto" w:fill="auto"/>
            <w:noWrap/>
            <w:vAlign w:val="bottom"/>
            <w:hideMark/>
          </w:tcPr>
          <w:p w14:paraId="57C166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BAZ14 Comdty</w:t>
            </w:r>
          </w:p>
        </w:tc>
        <w:tc>
          <w:tcPr>
            <w:tcW w:w="1720" w:type="dxa"/>
            <w:tcBorders>
              <w:top w:val="nil"/>
              <w:left w:val="nil"/>
              <w:bottom w:val="nil"/>
              <w:right w:val="nil"/>
            </w:tcBorders>
            <w:shd w:val="clear" w:color="auto" w:fill="auto"/>
            <w:noWrap/>
            <w:vAlign w:val="bottom"/>
            <w:hideMark/>
          </w:tcPr>
          <w:p w14:paraId="317E584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1.8164 </w:t>
            </w:r>
          </w:p>
        </w:tc>
        <w:tc>
          <w:tcPr>
            <w:tcW w:w="1720" w:type="dxa"/>
            <w:tcBorders>
              <w:top w:val="nil"/>
              <w:left w:val="nil"/>
              <w:bottom w:val="nil"/>
              <w:right w:val="nil"/>
            </w:tcBorders>
            <w:shd w:val="clear" w:color="auto" w:fill="auto"/>
            <w:noWrap/>
            <w:vAlign w:val="bottom"/>
            <w:hideMark/>
          </w:tcPr>
          <w:p w14:paraId="570CD65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22876C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A2DA0E" w14:textId="77777777" w:rsidTr="00180890">
        <w:trPr>
          <w:trHeight w:val="300"/>
        </w:trPr>
        <w:tc>
          <w:tcPr>
            <w:tcW w:w="1100" w:type="dxa"/>
            <w:tcBorders>
              <w:top w:val="nil"/>
              <w:left w:val="nil"/>
              <w:bottom w:val="nil"/>
              <w:right w:val="nil"/>
            </w:tcBorders>
            <w:shd w:val="clear" w:color="auto" w:fill="auto"/>
            <w:noWrap/>
            <w:vAlign w:val="bottom"/>
            <w:hideMark/>
          </w:tcPr>
          <w:p w14:paraId="361B08A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2Y</w:t>
            </w:r>
          </w:p>
        </w:tc>
        <w:tc>
          <w:tcPr>
            <w:tcW w:w="1921" w:type="dxa"/>
            <w:tcBorders>
              <w:top w:val="nil"/>
              <w:left w:val="nil"/>
              <w:bottom w:val="nil"/>
              <w:right w:val="nil"/>
            </w:tcBorders>
            <w:shd w:val="clear" w:color="auto" w:fill="auto"/>
            <w:noWrap/>
            <w:vAlign w:val="bottom"/>
            <w:hideMark/>
          </w:tcPr>
          <w:p w14:paraId="4628F37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 BGN Curncy</w:t>
            </w:r>
          </w:p>
        </w:tc>
        <w:tc>
          <w:tcPr>
            <w:tcW w:w="1921" w:type="dxa"/>
            <w:tcBorders>
              <w:top w:val="nil"/>
              <w:left w:val="nil"/>
              <w:bottom w:val="nil"/>
              <w:right w:val="nil"/>
            </w:tcBorders>
            <w:shd w:val="clear" w:color="auto" w:fill="auto"/>
            <w:noWrap/>
            <w:vAlign w:val="bottom"/>
            <w:hideMark/>
          </w:tcPr>
          <w:p w14:paraId="2C1130E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 BGN Curncy</w:t>
            </w:r>
          </w:p>
        </w:tc>
        <w:tc>
          <w:tcPr>
            <w:tcW w:w="1720" w:type="dxa"/>
            <w:tcBorders>
              <w:top w:val="nil"/>
              <w:left w:val="nil"/>
              <w:bottom w:val="nil"/>
              <w:right w:val="nil"/>
            </w:tcBorders>
            <w:shd w:val="clear" w:color="auto" w:fill="auto"/>
            <w:noWrap/>
            <w:vAlign w:val="bottom"/>
            <w:hideMark/>
          </w:tcPr>
          <w:p w14:paraId="2A8D5CB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1.6195 </w:t>
            </w:r>
          </w:p>
        </w:tc>
        <w:tc>
          <w:tcPr>
            <w:tcW w:w="1720" w:type="dxa"/>
            <w:tcBorders>
              <w:top w:val="nil"/>
              <w:left w:val="nil"/>
              <w:bottom w:val="nil"/>
              <w:right w:val="nil"/>
            </w:tcBorders>
            <w:shd w:val="clear" w:color="auto" w:fill="auto"/>
            <w:noWrap/>
            <w:vAlign w:val="bottom"/>
            <w:hideMark/>
          </w:tcPr>
          <w:p w14:paraId="0C29BF2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898092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18BF3403" w14:textId="77777777" w:rsidTr="00180890">
        <w:trPr>
          <w:trHeight w:val="300"/>
        </w:trPr>
        <w:tc>
          <w:tcPr>
            <w:tcW w:w="1100" w:type="dxa"/>
            <w:tcBorders>
              <w:top w:val="nil"/>
              <w:left w:val="nil"/>
              <w:bottom w:val="nil"/>
              <w:right w:val="nil"/>
            </w:tcBorders>
            <w:shd w:val="clear" w:color="auto" w:fill="auto"/>
            <w:noWrap/>
            <w:vAlign w:val="bottom"/>
            <w:hideMark/>
          </w:tcPr>
          <w:p w14:paraId="7194253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3Y</w:t>
            </w:r>
          </w:p>
        </w:tc>
        <w:tc>
          <w:tcPr>
            <w:tcW w:w="1921" w:type="dxa"/>
            <w:tcBorders>
              <w:top w:val="nil"/>
              <w:left w:val="nil"/>
              <w:bottom w:val="nil"/>
              <w:right w:val="nil"/>
            </w:tcBorders>
            <w:shd w:val="clear" w:color="auto" w:fill="auto"/>
            <w:noWrap/>
            <w:vAlign w:val="bottom"/>
            <w:hideMark/>
          </w:tcPr>
          <w:p w14:paraId="5B64E94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CDSW3 BGN Curncy</w:t>
            </w:r>
          </w:p>
        </w:tc>
        <w:tc>
          <w:tcPr>
            <w:tcW w:w="1921" w:type="dxa"/>
            <w:tcBorders>
              <w:top w:val="nil"/>
              <w:left w:val="nil"/>
              <w:bottom w:val="nil"/>
              <w:right w:val="nil"/>
            </w:tcBorders>
            <w:shd w:val="clear" w:color="auto" w:fill="auto"/>
            <w:noWrap/>
            <w:vAlign w:val="bottom"/>
            <w:hideMark/>
          </w:tcPr>
          <w:p w14:paraId="49552B8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CDSW3 BGN Curncy</w:t>
            </w:r>
          </w:p>
        </w:tc>
        <w:tc>
          <w:tcPr>
            <w:tcW w:w="1720" w:type="dxa"/>
            <w:tcBorders>
              <w:top w:val="nil"/>
              <w:left w:val="nil"/>
              <w:bottom w:val="nil"/>
              <w:right w:val="nil"/>
            </w:tcBorders>
            <w:shd w:val="clear" w:color="auto" w:fill="auto"/>
            <w:noWrap/>
            <w:vAlign w:val="bottom"/>
            <w:hideMark/>
          </w:tcPr>
          <w:p w14:paraId="63735D0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1.9372 </w:t>
            </w:r>
          </w:p>
        </w:tc>
        <w:tc>
          <w:tcPr>
            <w:tcW w:w="1720" w:type="dxa"/>
            <w:tcBorders>
              <w:top w:val="nil"/>
              <w:left w:val="nil"/>
              <w:bottom w:val="nil"/>
              <w:right w:val="nil"/>
            </w:tcBorders>
            <w:shd w:val="clear" w:color="auto" w:fill="auto"/>
            <w:noWrap/>
            <w:vAlign w:val="bottom"/>
            <w:hideMark/>
          </w:tcPr>
          <w:p w14:paraId="5BC52CA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64F3C0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3079C8" w14:textId="77777777" w:rsidTr="00180890">
        <w:trPr>
          <w:trHeight w:val="300"/>
        </w:trPr>
        <w:tc>
          <w:tcPr>
            <w:tcW w:w="1100" w:type="dxa"/>
            <w:tcBorders>
              <w:top w:val="nil"/>
              <w:left w:val="nil"/>
              <w:bottom w:val="nil"/>
              <w:right w:val="nil"/>
            </w:tcBorders>
            <w:shd w:val="clear" w:color="auto" w:fill="auto"/>
            <w:noWrap/>
            <w:vAlign w:val="bottom"/>
            <w:hideMark/>
          </w:tcPr>
          <w:p w14:paraId="7A3B0B8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4Y</w:t>
            </w:r>
          </w:p>
        </w:tc>
        <w:tc>
          <w:tcPr>
            <w:tcW w:w="1921" w:type="dxa"/>
            <w:tcBorders>
              <w:top w:val="nil"/>
              <w:left w:val="nil"/>
              <w:bottom w:val="nil"/>
              <w:right w:val="nil"/>
            </w:tcBorders>
            <w:shd w:val="clear" w:color="auto" w:fill="auto"/>
            <w:noWrap/>
            <w:vAlign w:val="bottom"/>
            <w:hideMark/>
          </w:tcPr>
          <w:p w14:paraId="46368CA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CDSW4 BGN Curncy</w:t>
            </w:r>
          </w:p>
        </w:tc>
        <w:tc>
          <w:tcPr>
            <w:tcW w:w="1921" w:type="dxa"/>
            <w:tcBorders>
              <w:top w:val="nil"/>
              <w:left w:val="nil"/>
              <w:bottom w:val="nil"/>
              <w:right w:val="nil"/>
            </w:tcBorders>
            <w:shd w:val="clear" w:color="auto" w:fill="auto"/>
            <w:noWrap/>
            <w:vAlign w:val="bottom"/>
            <w:hideMark/>
          </w:tcPr>
          <w:p w14:paraId="35BF466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CDSW4 BGN Curncy</w:t>
            </w:r>
          </w:p>
        </w:tc>
        <w:tc>
          <w:tcPr>
            <w:tcW w:w="1720" w:type="dxa"/>
            <w:tcBorders>
              <w:top w:val="nil"/>
              <w:left w:val="nil"/>
              <w:bottom w:val="nil"/>
              <w:right w:val="nil"/>
            </w:tcBorders>
            <w:shd w:val="clear" w:color="auto" w:fill="auto"/>
            <w:noWrap/>
            <w:vAlign w:val="bottom"/>
            <w:hideMark/>
          </w:tcPr>
          <w:p w14:paraId="05FBAAF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2.235 </w:t>
            </w:r>
          </w:p>
        </w:tc>
        <w:tc>
          <w:tcPr>
            <w:tcW w:w="1720" w:type="dxa"/>
            <w:tcBorders>
              <w:top w:val="nil"/>
              <w:left w:val="nil"/>
              <w:bottom w:val="nil"/>
              <w:right w:val="nil"/>
            </w:tcBorders>
            <w:shd w:val="clear" w:color="auto" w:fill="auto"/>
            <w:noWrap/>
            <w:vAlign w:val="bottom"/>
            <w:hideMark/>
          </w:tcPr>
          <w:p w14:paraId="22D99F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D2EF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72A0FEA" w14:textId="77777777" w:rsidTr="00180890">
        <w:trPr>
          <w:trHeight w:val="300"/>
        </w:trPr>
        <w:tc>
          <w:tcPr>
            <w:tcW w:w="1100" w:type="dxa"/>
            <w:tcBorders>
              <w:top w:val="nil"/>
              <w:left w:val="nil"/>
              <w:bottom w:val="nil"/>
              <w:right w:val="nil"/>
            </w:tcBorders>
            <w:shd w:val="clear" w:color="auto" w:fill="auto"/>
            <w:noWrap/>
            <w:vAlign w:val="bottom"/>
            <w:hideMark/>
          </w:tcPr>
          <w:p w14:paraId="32BCD53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5Y</w:t>
            </w:r>
          </w:p>
        </w:tc>
        <w:tc>
          <w:tcPr>
            <w:tcW w:w="1921" w:type="dxa"/>
            <w:tcBorders>
              <w:top w:val="nil"/>
              <w:left w:val="nil"/>
              <w:bottom w:val="nil"/>
              <w:right w:val="nil"/>
            </w:tcBorders>
            <w:shd w:val="clear" w:color="auto" w:fill="auto"/>
            <w:noWrap/>
            <w:vAlign w:val="bottom"/>
            <w:hideMark/>
          </w:tcPr>
          <w:p w14:paraId="114C2D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CDSW5 BGN Curncy</w:t>
            </w:r>
          </w:p>
        </w:tc>
        <w:tc>
          <w:tcPr>
            <w:tcW w:w="1921" w:type="dxa"/>
            <w:tcBorders>
              <w:top w:val="nil"/>
              <w:left w:val="nil"/>
              <w:bottom w:val="nil"/>
              <w:right w:val="nil"/>
            </w:tcBorders>
            <w:shd w:val="clear" w:color="auto" w:fill="auto"/>
            <w:noWrap/>
            <w:vAlign w:val="bottom"/>
            <w:hideMark/>
          </w:tcPr>
          <w:p w14:paraId="326CA49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CDSW5 BGN Curncy</w:t>
            </w:r>
          </w:p>
        </w:tc>
        <w:tc>
          <w:tcPr>
            <w:tcW w:w="1720" w:type="dxa"/>
            <w:tcBorders>
              <w:top w:val="nil"/>
              <w:left w:val="nil"/>
              <w:bottom w:val="nil"/>
              <w:right w:val="nil"/>
            </w:tcBorders>
            <w:shd w:val="clear" w:color="auto" w:fill="auto"/>
            <w:noWrap/>
            <w:vAlign w:val="bottom"/>
            <w:hideMark/>
          </w:tcPr>
          <w:p w14:paraId="0CF2AE31"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2.4855 </w:t>
            </w:r>
          </w:p>
        </w:tc>
        <w:tc>
          <w:tcPr>
            <w:tcW w:w="1720" w:type="dxa"/>
            <w:tcBorders>
              <w:top w:val="nil"/>
              <w:left w:val="nil"/>
              <w:bottom w:val="nil"/>
              <w:right w:val="nil"/>
            </w:tcBorders>
            <w:shd w:val="clear" w:color="auto" w:fill="auto"/>
            <w:noWrap/>
            <w:vAlign w:val="bottom"/>
            <w:hideMark/>
          </w:tcPr>
          <w:p w14:paraId="55113AE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110DBD7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09F77F0" w14:textId="77777777" w:rsidTr="00180890">
        <w:trPr>
          <w:trHeight w:val="300"/>
        </w:trPr>
        <w:tc>
          <w:tcPr>
            <w:tcW w:w="1100" w:type="dxa"/>
            <w:tcBorders>
              <w:top w:val="nil"/>
              <w:left w:val="nil"/>
              <w:bottom w:val="nil"/>
              <w:right w:val="nil"/>
            </w:tcBorders>
            <w:shd w:val="clear" w:color="auto" w:fill="auto"/>
            <w:noWrap/>
            <w:vAlign w:val="bottom"/>
            <w:hideMark/>
          </w:tcPr>
          <w:p w14:paraId="03B158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6Y</w:t>
            </w:r>
          </w:p>
        </w:tc>
        <w:tc>
          <w:tcPr>
            <w:tcW w:w="1921" w:type="dxa"/>
            <w:tcBorders>
              <w:top w:val="nil"/>
              <w:left w:val="nil"/>
              <w:bottom w:val="nil"/>
              <w:right w:val="nil"/>
            </w:tcBorders>
            <w:shd w:val="clear" w:color="auto" w:fill="auto"/>
            <w:noWrap/>
            <w:vAlign w:val="bottom"/>
            <w:hideMark/>
          </w:tcPr>
          <w:p w14:paraId="45A6A84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CDSW6 BGN Curncy</w:t>
            </w:r>
          </w:p>
        </w:tc>
        <w:tc>
          <w:tcPr>
            <w:tcW w:w="1921" w:type="dxa"/>
            <w:tcBorders>
              <w:top w:val="nil"/>
              <w:left w:val="nil"/>
              <w:bottom w:val="nil"/>
              <w:right w:val="nil"/>
            </w:tcBorders>
            <w:shd w:val="clear" w:color="auto" w:fill="auto"/>
            <w:noWrap/>
            <w:vAlign w:val="bottom"/>
            <w:hideMark/>
          </w:tcPr>
          <w:p w14:paraId="259350B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CDSW6 BGN Curncy</w:t>
            </w:r>
          </w:p>
        </w:tc>
        <w:tc>
          <w:tcPr>
            <w:tcW w:w="1720" w:type="dxa"/>
            <w:tcBorders>
              <w:top w:val="nil"/>
              <w:left w:val="nil"/>
              <w:bottom w:val="nil"/>
              <w:right w:val="nil"/>
            </w:tcBorders>
            <w:shd w:val="clear" w:color="auto" w:fill="auto"/>
            <w:noWrap/>
            <w:vAlign w:val="bottom"/>
            <w:hideMark/>
          </w:tcPr>
          <w:p w14:paraId="1F8B4B0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2.6885 </w:t>
            </w:r>
          </w:p>
        </w:tc>
        <w:tc>
          <w:tcPr>
            <w:tcW w:w="1720" w:type="dxa"/>
            <w:tcBorders>
              <w:top w:val="nil"/>
              <w:left w:val="nil"/>
              <w:bottom w:val="nil"/>
              <w:right w:val="nil"/>
            </w:tcBorders>
            <w:shd w:val="clear" w:color="auto" w:fill="auto"/>
            <w:noWrap/>
            <w:vAlign w:val="bottom"/>
            <w:hideMark/>
          </w:tcPr>
          <w:p w14:paraId="3DCB06C4"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0CF6D4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F1697B6" w14:textId="77777777" w:rsidTr="00180890">
        <w:trPr>
          <w:trHeight w:val="300"/>
        </w:trPr>
        <w:tc>
          <w:tcPr>
            <w:tcW w:w="1100" w:type="dxa"/>
            <w:tcBorders>
              <w:top w:val="nil"/>
              <w:left w:val="nil"/>
              <w:bottom w:val="nil"/>
              <w:right w:val="nil"/>
            </w:tcBorders>
            <w:shd w:val="clear" w:color="auto" w:fill="auto"/>
            <w:noWrap/>
            <w:vAlign w:val="bottom"/>
            <w:hideMark/>
          </w:tcPr>
          <w:p w14:paraId="20C8E87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7Y</w:t>
            </w:r>
          </w:p>
        </w:tc>
        <w:tc>
          <w:tcPr>
            <w:tcW w:w="1921" w:type="dxa"/>
            <w:tcBorders>
              <w:top w:val="nil"/>
              <w:left w:val="nil"/>
              <w:bottom w:val="nil"/>
              <w:right w:val="nil"/>
            </w:tcBorders>
            <w:shd w:val="clear" w:color="auto" w:fill="auto"/>
            <w:noWrap/>
            <w:vAlign w:val="bottom"/>
            <w:hideMark/>
          </w:tcPr>
          <w:p w14:paraId="5689D7A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CDSW7 BGN Curncy</w:t>
            </w:r>
          </w:p>
        </w:tc>
        <w:tc>
          <w:tcPr>
            <w:tcW w:w="1921" w:type="dxa"/>
            <w:tcBorders>
              <w:top w:val="nil"/>
              <w:left w:val="nil"/>
              <w:bottom w:val="nil"/>
              <w:right w:val="nil"/>
            </w:tcBorders>
            <w:shd w:val="clear" w:color="auto" w:fill="auto"/>
            <w:noWrap/>
            <w:vAlign w:val="bottom"/>
            <w:hideMark/>
          </w:tcPr>
          <w:p w14:paraId="0122AF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CDSW7 BGN Curncy</w:t>
            </w:r>
          </w:p>
        </w:tc>
        <w:tc>
          <w:tcPr>
            <w:tcW w:w="1720" w:type="dxa"/>
            <w:tcBorders>
              <w:top w:val="nil"/>
              <w:left w:val="nil"/>
              <w:bottom w:val="nil"/>
              <w:right w:val="nil"/>
            </w:tcBorders>
            <w:shd w:val="clear" w:color="auto" w:fill="auto"/>
            <w:noWrap/>
            <w:vAlign w:val="bottom"/>
            <w:hideMark/>
          </w:tcPr>
          <w:p w14:paraId="2AAC1F6D"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2.8595 </w:t>
            </w:r>
          </w:p>
        </w:tc>
        <w:tc>
          <w:tcPr>
            <w:tcW w:w="1720" w:type="dxa"/>
            <w:tcBorders>
              <w:top w:val="nil"/>
              <w:left w:val="nil"/>
              <w:bottom w:val="nil"/>
              <w:right w:val="nil"/>
            </w:tcBorders>
            <w:shd w:val="clear" w:color="auto" w:fill="auto"/>
            <w:noWrap/>
            <w:vAlign w:val="bottom"/>
            <w:hideMark/>
          </w:tcPr>
          <w:p w14:paraId="283E552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A55226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BE79186" w14:textId="77777777" w:rsidTr="00180890">
        <w:trPr>
          <w:trHeight w:val="300"/>
        </w:trPr>
        <w:tc>
          <w:tcPr>
            <w:tcW w:w="1100" w:type="dxa"/>
            <w:tcBorders>
              <w:top w:val="nil"/>
              <w:left w:val="nil"/>
              <w:bottom w:val="nil"/>
              <w:right w:val="nil"/>
            </w:tcBorders>
            <w:shd w:val="clear" w:color="auto" w:fill="auto"/>
            <w:noWrap/>
            <w:vAlign w:val="bottom"/>
            <w:hideMark/>
          </w:tcPr>
          <w:p w14:paraId="10C6F6C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8Y</w:t>
            </w:r>
          </w:p>
        </w:tc>
        <w:tc>
          <w:tcPr>
            <w:tcW w:w="1921" w:type="dxa"/>
            <w:tcBorders>
              <w:top w:val="nil"/>
              <w:left w:val="nil"/>
              <w:bottom w:val="nil"/>
              <w:right w:val="nil"/>
            </w:tcBorders>
            <w:shd w:val="clear" w:color="auto" w:fill="auto"/>
            <w:noWrap/>
            <w:vAlign w:val="bottom"/>
            <w:hideMark/>
          </w:tcPr>
          <w:p w14:paraId="3BF561E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CDSW8 BGN Curncy</w:t>
            </w:r>
          </w:p>
        </w:tc>
        <w:tc>
          <w:tcPr>
            <w:tcW w:w="1921" w:type="dxa"/>
            <w:tcBorders>
              <w:top w:val="nil"/>
              <w:left w:val="nil"/>
              <w:bottom w:val="nil"/>
              <w:right w:val="nil"/>
            </w:tcBorders>
            <w:shd w:val="clear" w:color="auto" w:fill="auto"/>
            <w:noWrap/>
            <w:vAlign w:val="bottom"/>
            <w:hideMark/>
          </w:tcPr>
          <w:p w14:paraId="4FBA4E5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CDSW8 BGN Curncy</w:t>
            </w:r>
          </w:p>
        </w:tc>
        <w:tc>
          <w:tcPr>
            <w:tcW w:w="1720" w:type="dxa"/>
            <w:tcBorders>
              <w:top w:val="nil"/>
              <w:left w:val="nil"/>
              <w:bottom w:val="nil"/>
              <w:right w:val="nil"/>
            </w:tcBorders>
            <w:shd w:val="clear" w:color="auto" w:fill="auto"/>
            <w:noWrap/>
            <w:vAlign w:val="bottom"/>
            <w:hideMark/>
          </w:tcPr>
          <w:p w14:paraId="395CFF0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3.003 </w:t>
            </w:r>
          </w:p>
        </w:tc>
        <w:tc>
          <w:tcPr>
            <w:tcW w:w="1720" w:type="dxa"/>
            <w:tcBorders>
              <w:top w:val="nil"/>
              <w:left w:val="nil"/>
              <w:bottom w:val="nil"/>
              <w:right w:val="nil"/>
            </w:tcBorders>
            <w:shd w:val="clear" w:color="auto" w:fill="auto"/>
            <w:noWrap/>
            <w:vAlign w:val="bottom"/>
            <w:hideMark/>
          </w:tcPr>
          <w:p w14:paraId="3FB0A70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05930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51FAF625" w14:textId="77777777" w:rsidTr="00180890">
        <w:trPr>
          <w:trHeight w:val="300"/>
        </w:trPr>
        <w:tc>
          <w:tcPr>
            <w:tcW w:w="1100" w:type="dxa"/>
            <w:tcBorders>
              <w:top w:val="nil"/>
              <w:left w:val="nil"/>
              <w:bottom w:val="nil"/>
              <w:right w:val="nil"/>
            </w:tcBorders>
            <w:shd w:val="clear" w:color="auto" w:fill="auto"/>
            <w:noWrap/>
            <w:vAlign w:val="bottom"/>
            <w:hideMark/>
          </w:tcPr>
          <w:p w14:paraId="6DC68AE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9Y</w:t>
            </w:r>
          </w:p>
        </w:tc>
        <w:tc>
          <w:tcPr>
            <w:tcW w:w="1921" w:type="dxa"/>
            <w:tcBorders>
              <w:top w:val="nil"/>
              <w:left w:val="nil"/>
              <w:bottom w:val="nil"/>
              <w:right w:val="nil"/>
            </w:tcBorders>
            <w:shd w:val="clear" w:color="auto" w:fill="auto"/>
            <w:noWrap/>
            <w:vAlign w:val="bottom"/>
            <w:hideMark/>
          </w:tcPr>
          <w:p w14:paraId="74CAEB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CDSW9 BGN Curncy</w:t>
            </w:r>
          </w:p>
        </w:tc>
        <w:tc>
          <w:tcPr>
            <w:tcW w:w="1921" w:type="dxa"/>
            <w:tcBorders>
              <w:top w:val="nil"/>
              <w:left w:val="nil"/>
              <w:bottom w:val="nil"/>
              <w:right w:val="nil"/>
            </w:tcBorders>
            <w:shd w:val="clear" w:color="auto" w:fill="auto"/>
            <w:noWrap/>
            <w:vAlign w:val="bottom"/>
            <w:hideMark/>
          </w:tcPr>
          <w:p w14:paraId="27C1059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CDSW9 BGN Curncy</w:t>
            </w:r>
          </w:p>
        </w:tc>
        <w:tc>
          <w:tcPr>
            <w:tcW w:w="1720" w:type="dxa"/>
            <w:tcBorders>
              <w:top w:val="nil"/>
              <w:left w:val="nil"/>
              <w:bottom w:val="nil"/>
              <w:right w:val="nil"/>
            </w:tcBorders>
            <w:shd w:val="clear" w:color="auto" w:fill="auto"/>
            <w:noWrap/>
            <w:vAlign w:val="bottom"/>
            <w:hideMark/>
          </w:tcPr>
          <w:p w14:paraId="32FFA042"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3.1335 </w:t>
            </w:r>
          </w:p>
        </w:tc>
        <w:tc>
          <w:tcPr>
            <w:tcW w:w="1720" w:type="dxa"/>
            <w:tcBorders>
              <w:top w:val="nil"/>
              <w:left w:val="nil"/>
              <w:bottom w:val="nil"/>
              <w:right w:val="nil"/>
            </w:tcBorders>
            <w:shd w:val="clear" w:color="auto" w:fill="auto"/>
            <w:noWrap/>
            <w:vAlign w:val="bottom"/>
            <w:hideMark/>
          </w:tcPr>
          <w:p w14:paraId="13B3E5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76DFFC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460CECA" w14:textId="77777777" w:rsidTr="00180890">
        <w:trPr>
          <w:trHeight w:val="300"/>
        </w:trPr>
        <w:tc>
          <w:tcPr>
            <w:tcW w:w="1100" w:type="dxa"/>
            <w:tcBorders>
              <w:top w:val="nil"/>
              <w:left w:val="nil"/>
              <w:bottom w:val="nil"/>
              <w:right w:val="nil"/>
            </w:tcBorders>
            <w:shd w:val="clear" w:color="auto" w:fill="auto"/>
            <w:noWrap/>
            <w:vAlign w:val="bottom"/>
            <w:hideMark/>
          </w:tcPr>
          <w:p w14:paraId="23C1DCC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10Y</w:t>
            </w:r>
          </w:p>
        </w:tc>
        <w:tc>
          <w:tcPr>
            <w:tcW w:w="1921" w:type="dxa"/>
            <w:tcBorders>
              <w:top w:val="nil"/>
              <w:left w:val="nil"/>
              <w:bottom w:val="nil"/>
              <w:right w:val="nil"/>
            </w:tcBorders>
            <w:shd w:val="clear" w:color="auto" w:fill="auto"/>
            <w:noWrap/>
            <w:vAlign w:val="bottom"/>
            <w:hideMark/>
          </w:tcPr>
          <w:p w14:paraId="5F3EC6DB"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CDSW10 BGN Curncy</w:t>
            </w:r>
          </w:p>
        </w:tc>
        <w:tc>
          <w:tcPr>
            <w:tcW w:w="1921" w:type="dxa"/>
            <w:tcBorders>
              <w:top w:val="nil"/>
              <w:left w:val="nil"/>
              <w:bottom w:val="nil"/>
              <w:right w:val="nil"/>
            </w:tcBorders>
            <w:shd w:val="clear" w:color="auto" w:fill="auto"/>
            <w:noWrap/>
            <w:vAlign w:val="bottom"/>
            <w:hideMark/>
          </w:tcPr>
          <w:p w14:paraId="065FAB3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CDSW10 BGN Curncy</w:t>
            </w:r>
          </w:p>
        </w:tc>
        <w:tc>
          <w:tcPr>
            <w:tcW w:w="1720" w:type="dxa"/>
            <w:tcBorders>
              <w:top w:val="nil"/>
              <w:left w:val="nil"/>
              <w:bottom w:val="nil"/>
              <w:right w:val="nil"/>
            </w:tcBorders>
            <w:shd w:val="clear" w:color="auto" w:fill="auto"/>
            <w:noWrap/>
            <w:vAlign w:val="bottom"/>
            <w:hideMark/>
          </w:tcPr>
          <w:p w14:paraId="1F38D0F3"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3.254 </w:t>
            </w:r>
          </w:p>
        </w:tc>
        <w:tc>
          <w:tcPr>
            <w:tcW w:w="1720" w:type="dxa"/>
            <w:tcBorders>
              <w:top w:val="nil"/>
              <w:left w:val="nil"/>
              <w:bottom w:val="nil"/>
              <w:right w:val="nil"/>
            </w:tcBorders>
            <w:shd w:val="clear" w:color="auto" w:fill="auto"/>
            <w:noWrap/>
            <w:vAlign w:val="bottom"/>
            <w:hideMark/>
          </w:tcPr>
          <w:p w14:paraId="61B4BD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DE77AD9"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2818EAA1" w14:textId="77777777" w:rsidTr="00180890">
        <w:trPr>
          <w:trHeight w:val="300"/>
        </w:trPr>
        <w:tc>
          <w:tcPr>
            <w:tcW w:w="1100" w:type="dxa"/>
            <w:tcBorders>
              <w:top w:val="nil"/>
              <w:left w:val="nil"/>
              <w:bottom w:val="nil"/>
              <w:right w:val="nil"/>
            </w:tcBorders>
            <w:shd w:val="clear" w:color="auto" w:fill="auto"/>
            <w:noWrap/>
            <w:vAlign w:val="bottom"/>
            <w:hideMark/>
          </w:tcPr>
          <w:p w14:paraId="70EA143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12Y</w:t>
            </w:r>
          </w:p>
        </w:tc>
        <w:tc>
          <w:tcPr>
            <w:tcW w:w="1921" w:type="dxa"/>
            <w:tcBorders>
              <w:top w:val="nil"/>
              <w:left w:val="nil"/>
              <w:bottom w:val="nil"/>
              <w:right w:val="nil"/>
            </w:tcBorders>
            <w:shd w:val="clear" w:color="auto" w:fill="auto"/>
            <w:noWrap/>
            <w:vAlign w:val="bottom"/>
            <w:hideMark/>
          </w:tcPr>
          <w:p w14:paraId="5F1767D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CDSW12 BGN Curncy</w:t>
            </w:r>
          </w:p>
        </w:tc>
        <w:tc>
          <w:tcPr>
            <w:tcW w:w="1921" w:type="dxa"/>
            <w:tcBorders>
              <w:top w:val="nil"/>
              <w:left w:val="nil"/>
              <w:bottom w:val="nil"/>
              <w:right w:val="nil"/>
            </w:tcBorders>
            <w:shd w:val="clear" w:color="auto" w:fill="auto"/>
            <w:noWrap/>
            <w:vAlign w:val="bottom"/>
            <w:hideMark/>
          </w:tcPr>
          <w:p w14:paraId="1FF76A5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CDSW12 BGN Curncy</w:t>
            </w:r>
          </w:p>
        </w:tc>
        <w:tc>
          <w:tcPr>
            <w:tcW w:w="1720" w:type="dxa"/>
            <w:tcBorders>
              <w:top w:val="nil"/>
              <w:left w:val="nil"/>
              <w:bottom w:val="nil"/>
              <w:right w:val="nil"/>
            </w:tcBorders>
            <w:shd w:val="clear" w:color="auto" w:fill="auto"/>
            <w:noWrap/>
            <w:vAlign w:val="bottom"/>
            <w:hideMark/>
          </w:tcPr>
          <w:p w14:paraId="71B841A8"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3.457 </w:t>
            </w:r>
          </w:p>
        </w:tc>
        <w:tc>
          <w:tcPr>
            <w:tcW w:w="1720" w:type="dxa"/>
            <w:tcBorders>
              <w:top w:val="nil"/>
              <w:left w:val="nil"/>
              <w:bottom w:val="nil"/>
              <w:right w:val="nil"/>
            </w:tcBorders>
            <w:shd w:val="clear" w:color="auto" w:fill="auto"/>
            <w:noWrap/>
            <w:vAlign w:val="bottom"/>
            <w:hideMark/>
          </w:tcPr>
          <w:p w14:paraId="44BBBBF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1280A1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72B2D771" w14:textId="77777777" w:rsidTr="00180890">
        <w:trPr>
          <w:trHeight w:val="300"/>
        </w:trPr>
        <w:tc>
          <w:tcPr>
            <w:tcW w:w="1100" w:type="dxa"/>
            <w:tcBorders>
              <w:top w:val="nil"/>
              <w:left w:val="nil"/>
              <w:bottom w:val="nil"/>
              <w:right w:val="nil"/>
            </w:tcBorders>
            <w:shd w:val="clear" w:color="auto" w:fill="auto"/>
            <w:noWrap/>
            <w:vAlign w:val="bottom"/>
            <w:hideMark/>
          </w:tcPr>
          <w:p w14:paraId="5EEDF22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15Y</w:t>
            </w:r>
          </w:p>
        </w:tc>
        <w:tc>
          <w:tcPr>
            <w:tcW w:w="1921" w:type="dxa"/>
            <w:tcBorders>
              <w:top w:val="nil"/>
              <w:left w:val="nil"/>
              <w:bottom w:val="nil"/>
              <w:right w:val="nil"/>
            </w:tcBorders>
            <w:shd w:val="clear" w:color="auto" w:fill="auto"/>
            <w:noWrap/>
            <w:vAlign w:val="bottom"/>
            <w:hideMark/>
          </w:tcPr>
          <w:p w14:paraId="696F05C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CDSW15 BGN Curncy</w:t>
            </w:r>
          </w:p>
        </w:tc>
        <w:tc>
          <w:tcPr>
            <w:tcW w:w="1921" w:type="dxa"/>
            <w:tcBorders>
              <w:top w:val="nil"/>
              <w:left w:val="nil"/>
              <w:bottom w:val="nil"/>
              <w:right w:val="nil"/>
            </w:tcBorders>
            <w:shd w:val="clear" w:color="auto" w:fill="auto"/>
            <w:noWrap/>
            <w:vAlign w:val="bottom"/>
            <w:hideMark/>
          </w:tcPr>
          <w:p w14:paraId="633D6DB2"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CDSW15 BGN Curncy</w:t>
            </w:r>
          </w:p>
        </w:tc>
        <w:tc>
          <w:tcPr>
            <w:tcW w:w="1720" w:type="dxa"/>
            <w:tcBorders>
              <w:top w:val="nil"/>
              <w:left w:val="nil"/>
              <w:bottom w:val="nil"/>
              <w:right w:val="nil"/>
            </w:tcBorders>
            <w:shd w:val="clear" w:color="auto" w:fill="auto"/>
            <w:noWrap/>
            <w:vAlign w:val="bottom"/>
            <w:hideMark/>
          </w:tcPr>
          <w:p w14:paraId="46A62DAA"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3.6713 </w:t>
            </w:r>
          </w:p>
        </w:tc>
        <w:tc>
          <w:tcPr>
            <w:tcW w:w="1720" w:type="dxa"/>
            <w:tcBorders>
              <w:top w:val="nil"/>
              <w:left w:val="nil"/>
              <w:bottom w:val="nil"/>
              <w:right w:val="nil"/>
            </w:tcBorders>
            <w:shd w:val="clear" w:color="auto" w:fill="auto"/>
            <w:noWrap/>
            <w:vAlign w:val="bottom"/>
            <w:hideMark/>
          </w:tcPr>
          <w:p w14:paraId="7032B117"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63C0B37E"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632E5FE8" w14:textId="77777777" w:rsidTr="00180890">
        <w:trPr>
          <w:trHeight w:val="300"/>
        </w:trPr>
        <w:tc>
          <w:tcPr>
            <w:tcW w:w="1100" w:type="dxa"/>
            <w:tcBorders>
              <w:top w:val="nil"/>
              <w:left w:val="nil"/>
              <w:bottom w:val="nil"/>
              <w:right w:val="nil"/>
            </w:tcBorders>
            <w:shd w:val="clear" w:color="auto" w:fill="auto"/>
            <w:noWrap/>
            <w:vAlign w:val="bottom"/>
            <w:hideMark/>
          </w:tcPr>
          <w:p w14:paraId="51FFEEC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20Y</w:t>
            </w:r>
          </w:p>
        </w:tc>
        <w:tc>
          <w:tcPr>
            <w:tcW w:w="1921" w:type="dxa"/>
            <w:tcBorders>
              <w:top w:val="nil"/>
              <w:left w:val="nil"/>
              <w:bottom w:val="nil"/>
              <w:right w:val="nil"/>
            </w:tcBorders>
            <w:shd w:val="clear" w:color="auto" w:fill="auto"/>
            <w:noWrap/>
            <w:vAlign w:val="bottom"/>
            <w:hideMark/>
          </w:tcPr>
          <w:p w14:paraId="627740B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CDSW20 BGN Curncy</w:t>
            </w:r>
          </w:p>
        </w:tc>
        <w:tc>
          <w:tcPr>
            <w:tcW w:w="1921" w:type="dxa"/>
            <w:tcBorders>
              <w:top w:val="nil"/>
              <w:left w:val="nil"/>
              <w:bottom w:val="nil"/>
              <w:right w:val="nil"/>
            </w:tcBorders>
            <w:shd w:val="clear" w:color="auto" w:fill="auto"/>
            <w:noWrap/>
            <w:vAlign w:val="bottom"/>
            <w:hideMark/>
          </w:tcPr>
          <w:p w14:paraId="13FBC90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CDSW20 BGN Curncy</w:t>
            </w:r>
          </w:p>
        </w:tc>
        <w:tc>
          <w:tcPr>
            <w:tcW w:w="1720" w:type="dxa"/>
            <w:tcBorders>
              <w:top w:val="nil"/>
              <w:left w:val="nil"/>
              <w:bottom w:val="nil"/>
              <w:right w:val="nil"/>
            </w:tcBorders>
            <w:shd w:val="clear" w:color="auto" w:fill="auto"/>
            <w:noWrap/>
            <w:vAlign w:val="bottom"/>
            <w:hideMark/>
          </w:tcPr>
          <w:p w14:paraId="3D5C3C74"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3.7915 </w:t>
            </w:r>
          </w:p>
        </w:tc>
        <w:tc>
          <w:tcPr>
            <w:tcW w:w="1720" w:type="dxa"/>
            <w:tcBorders>
              <w:top w:val="nil"/>
              <w:left w:val="nil"/>
              <w:bottom w:val="nil"/>
              <w:right w:val="nil"/>
            </w:tcBorders>
            <w:shd w:val="clear" w:color="auto" w:fill="auto"/>
            <w:noWrap/>
            <w:vAlign w:val="bottom"/>
            <w:hideMark/>
          </w:tcPr>
          <w:p w14:paraId="16881458"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7D814483"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46FB0CAD" w14:textId="77777777" w:rsidTr="00180890">
        <w:trPr>
          <w:trHeight w:val="300"/>
        </w:trPr>
        <w:tc>
          <w:tcPr>
            <w:tcW w:w="1100" w:type="dxa"/>
            <w:tcBorders>
              <w:top w:val="nil"/>
              <w:left w:val="nil"/>
              <w:bottom w:val="nil"/>
              <w:right w:val="nil"/>
            </w:tcBorders>
            <w:shd w:val="clear" w:color="auto" w:fill="auto"/>
            <w:noWrap/>
            <w:vAlign w:val="bottom"/>
            <w:hideMark/>
          </w:tcPr>
          <w:p w14:paraId="05222CF6"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25Y</w:t>
            </w:r>
          </w:p>
        </w:tc>
        <w:tc>
          <w:tcPr>
            <w:tcW w:w="1921" w:type="dxa"/>
            <w:tcBorders>
              <w:top w:val="nil"/>
              <w:left w:val="nil"/>
              <w:bottom w:val="nil"/>
              <w:right w:val="nil"/>
            </w:tcBorders>
            <w:shd w:val="clear" w:color="auto" w:fill="auto"/>
            <w:noWrap/>
            <w:vAlign w:val="bottom"/>
            <w:hideMark/>
          </w:tcPr>
          <w:p w14:paraId="0B239F8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CDSW25 BGN Curncy</w:t>
            </w:r>
          </w:p>
        </w:tc>
        <w:tc>
          <w:tcPr>
            <w:tcW w:w="1921" w:type="dxa"/>
            <w:tcBorders>
              <w:top w:val="nil"/>
              <w:left w:val="nil"/>
              <w:bottom w:val="nil"/>
              <w:right w:val="nil"/>
            </w:tcBorders>
            <w:shd w:val="clear" w:color="auto" w:fill="auto"/>
            <w:noWrap/>
            <w:vAlign w:val="bottom"/>
            <w:hideMark/>
          </w:tcPr>
          <w:p w14:paraId="70AACBF0"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CDSW25 BGN Curncy</w:t>
            </w:r>
          </w:p>
        </w:tc>
        <w:tc>
          <w:tcPr>
            <w:tcW w:w="1720" w:type="dxa"/>
            <w:tcBorders>
              <w:top w:val="nil"/>
              <w:left w:val="nil"/>
              <w:bottom w:val="nil"/>
              <w:right w:val="nil"/>
            </w:tcBorders>
            <w:shd w:val="clear" w:color="auto" w:fill="auto"/>
            <w:noWrap/>
            <w:vAlign w:val="bottom"/>
            <w:hideMark/>
          </w:tcPr>
          <w:p w14:paraId="635E993E"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3.7555 </w:t>
            </w:r>
          </w:p>
        </w:tc>
        <w:tc>
          <w:tcPr>
            <w:tcW w:w="1720" w:type="dxa"/>
            <w:tcBorders>
              <w:top w:val="nil"/>
              <w:left w:val="nil"/>
              <w:bottom w:val="nil"/>
              <w:right w:val="nil"/>
            </w:tcBorders>
            <w:shd w:val="clear" w:color="auto" w:fill="auto"/>
            <w:noWrap/>
            <w:vAlign w:val="bottom"/>
            <w:hideMark/>
          </w:tcPr>
          <w:p w14:paraId="3F29BE4F"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3F76ADEC"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r w:rsidR="00180890" w:rsidRPr="00180890" w14:paraId="3BF6C677" w14:textId="77777777" w:rsidTr="00180890">
        <w:trPr>
          <w:trHeight w:val="300"/>
        </w:trPr>
        <w:tc>
          <w:tcPr>
            <w:tcW w:w="1100" w:type="dxa"/>
            <w:tcBorders>
              <w:top w:val="nil"/>
              <w:left w:val="nil"/>
              <w:bottom w:val="nil"/>
              <w:right w:val="nil"/>
            </w:tcBorders>
            <w:shd w:val="clear" w:color="auto" w:fill="auto"/>
            <w:noWrap/>
            <w:vAlign w:val="bottom"/>
            <w:hideMark/>
          </w:tcPr>
          <w:p w14:paraId="28222FC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30Y</w:t>
            </w:r>
          </w:p>
        </w:tc>
        <w:tc>
          <w:tcPr>
            <w:tcW w:w="1921" w:type="dxa"/>
            <w:tcBorders>
              <w:top w:val="nil"/>
              <w:left w:val="nil"/>
              <w:bottom w:val="nil"/>
              <w:right w:val="nil"/>
            </w:tcBorders>
            <w:shd w:val="clear" w:color="auto" w:fill="auto"/>
            <w:noWrap/>
            <w:vAlign w:val="bottom"/>
            <w:hideMark/>
          </w:tcPr>
          <w:p w14:paraId="429094FA"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CDSW30 BGN Curncy</w:t>
            </w:r>
          </w:p>
        </w:tc>
        <w:tc>
          <w:tcPr>
            <w:tcW w:w="1921" w:type="dxa"/>
            <w:tcBorders>
              <w:top w:val="nil"/>
              <w:left w:val="nil"/>
              <w:bottom w:val="nil"/>
              <w:right w:val="nil"/>
            </w:tcBorders>
            <w:shd w:val="clear" w:color="auto" w:fill="auto"/>
            <w:noWrap/>
            <w:vAlign w:val="bottom"/>
            <w:hideMark/>
          </w:tcPr>
          <w:p w14:paraId="3FB01BED"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CDSW30 BGN Curncy</w:t>
            </w:r>
          </w:p>
        </w:tc>
        <w:tc>
          <w:tcPr>
            <w:tcW w:w="1720" w:type="dxa"/>
            <w:tcBorders>
              <w:top w:val="nil"/>
              <w:left w:val="nil"/>
              <w:bottom w:val="nil"/>
              <w:right w:val="nil"/>
            </w:tcBorders>
            <w:shd w:val="clear" w:color="auto" w:fill="auto"/>
            <w:noWrap/>
            <w:vAlign w:val="bottom"/>
            <w:hideMark/>
          </w:tcPr>
          <w:p w14:paraId="622C3C85" w14:textId="77777777" w:rsidR="00180890" w:rsidRPr="00180890" w:rsidRDefault="00180890" w:rsidP="00180890">
            <w:pPr>
              <w:spacing w:line="240" w:lineRule="auto"/>
              <w:ind w:firstLine="0"/>
              <w:jc w:val="right"/>
              <w:rPr>
                <w:rFonts w:ascii="Calibri" w:eastAsia="Times New Roman" w:hAnsi="Calibri" w:cs="Calibri"/>
                <w:color w:val="000000"/>
                <w:sz w:val="22"/>
                <w:szCs w:val="22"/>
              </w:rPr>
            </w:pPr>
            <w:r w:rsidRPr="00180890">
              <w:rPr>
                <w:rFonts w:ascii="Calibri" w:eastAsia="Times New Roman" w:hAnsi="Calibri" w:cs="Calibri"/>
                <w:color w:val="000000"/>
                <w:sz w:val="22"/>
                <w:szCs w:val="22"/>
              </w:rPr>
              <w:t xml:space="preserve">3.693 </w:t>
            </w:r>
          </w:p>
        </w:tc>
        <w:tc>
          <w:tcPr>
            <w:tcW w:w="1720" w:type="dxa"/>
            <w:tcBorders>
              <w:top w:val="nil"/>
              <w:left w:val="nil"/>
              <w:bottom w:val="nil"/>
              <w:right w:val="nil"/>
            </w:tcBorders>
            <w:shd w:val="clear" w:color="auto" w:fill="auto"/>
            <w:noWrap/>
            <w:vAlign w:val="bottom"/>
            <w:hideMark/>
          </w:tcPr>
          <w:p w14:paraId="561AA9F5"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BGN</w:t>
            </w:r>
          </w:p>
        </w:tc>
        <w:tc>
          <w:tcPr>
            <w:tcW w:w="1720" w:type="dxa"/>
            <w:tcBorders>
              <w:top w:val="nil"/>
              <w:left w:val="nil"/>
              <w:bottom w:val="nil"/>
              <w:right w:val="nil"/>
            </w:tcBorders>
            <w:shd w:val="clear" w:color="auto" w:fill="auto"/>
            <w:noWrap/>
            <w:vAlign w:val="bottom"/>
            <w:hideMark/>
          </w:tcPr>
          <w:p w14:paraId="57F70E91" w14:textId="77777777" w:rsidR="00180890" w:rsidRPr="00180890" w:rsidRDefault="00180890" w:rsidP="00180890">
            <w:pPr>
              <w:spacing w:line="240" w:lineRule="auto"/>
              <w:ind w:firstLine="0"/>
              <w:jc w:val="left"/>
              <w:rPr>
                <w:rFonts w:ascii="Calibri" w:eastAsia="Times New Roman" w:hAnsi="Calibri" w:cs="Calibri"/>
                <w:color w:val="000000"/>
                <w:sz w:val="22"/>
                <w:szCs w:val="22"/>
              </w:rPr>
            </w:pPr>
            <w:r w:rsidRPr="00180890">
              <w:rPr>
                <w:rFonts w:ascii="Calibri" w:eastAsia="Times New Roman" w:hAnsi="Calibri" w:cs="Calibri"/>
                <w:color w:val="000000"/>
                <w:sz w:val="22"/>
                <w:szCs w:val="22"/>
              </w:rPr>
              <w:t>09/11/13</w:t>
            </w:r>
          </w:p>
        </w:tc>
      </w:tr>
    </w:tbl>
    <w:p w14:paraId="4764BA40" w14:textId="54308011" w:rsidR="008F2992" w:rsidRDefault="008F2992">
      <w:pPr>
        <w:spacing w:line="240" w:lineRule="auto"/>
        <w:ind w:firstLine="0"/>
        <w:jc w:val="left"/>
      </w:pPr>
      <w:r>
        <w:br w:type="page"/>
      </w:r>
    </w:p>
    <w:p w14:paraId="64B9E88B" w14:textId="77777777" w:rsidR="00AE2A76" w:rsidRPr="0004387C" w:rsidRDefault="00AE2A76" w:rsidP="00031822"/>
    <w:p w14:paraId="648FED74" w14:textId="1968A804" w:rsidR="008A79F1" w:rsidRDefault="008A79F1" w:rsidP="00031822">
      <w:pPr>
        <w:pStyle w:val="Caption"/>
        <w:keepNext/>
        <w:jc w:val="center"/>
        <w:rPr>
          <w:noProof/>
          <w:color w:val="000000" w:themeColor="text1"/>
        </w:rPr>
      </w:pPr>
      <w:bookmarkStart w:id="8"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5F746F">
        <w:rPr>
          <w:noProof/>
          <w:color w:val="000000" w:themeColor="text1"/>
        </w:rPr>
        <w:t>4</w:t>
      </w:r>
      <w:r w:rsidRPr="0004387C">
        <w:rPr>
          <w:noProof/>
          <w:color w:val="000000" w:themeColor="text1"/>
        </w:rPr>
        <w:fldChar w:fldCharType="end"/>
      </w:r>
      <w:bookmarkEnd w:id="8"/>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01F7512D" w:rsidR="00C61057" w:rsidRDefault="00C61057">
      <w:pPr>
        <w:spacing w:line="240" w:lineRule="auto"/>
        <w:ind w:firstLine="0"/>
        <w:jc w:val="left"/>
        <w:rPr>
          <w:color w:val="000000" w:themeColor="text1"/>
        </w:rPr>
      </w:pPr>
      <w:r>
        <w:rPr>
          <w:color w:val="000000" w:themeColor="text1"/>
        </w:rPr>
        <w:br w:type="page"/>
      </w:r>
    </w:p>
    <w:p w14:paraId="3E325975" w14:textId="77777777" w:rsidR="005F746F" w:rsidRDefault="005F746F">
      <w:pPr>
        <w:spacing w:line="240" w:lineRule="auto"/>
        <w:ind w:firstLine="0"/>
        <w:jc w:val="left"/>
        <w:rPr>
          <w:color w:val="000000" w:themeColor="text1"/>
        </w:rPr>
      </w:pPr>
    </w:p>
    <w:p w14:paraId="21783889" w14:textId="11FA8A8A" w:rsidR="005F746F" w:rsidRDefault="005F746F" w:rsidP="005F746F">
      <w:pPr>
        <w:pStyle w:val="Caption"/>
        <w:keepNext/>
      </w:pPr>
      <w:bookmarkStart w:id="9" w:name="_Ref160966456"/>
      <w:r>
        <w:t xml:space="preserve">Table </w:t>
      </w:r>
      <w:r>
        <w:fldChar w:fldCharType="begin"/>
      </w:r>
      <w:r>
        <w:instrText xml:space="preserve"> SEQ Table \* ARABIC </w:instrText>
      </w:r>
      <w:r>
        <w:fldChar w:fldCharType="separate"/>
      </w:r>
      <w:r>
        <w:rPr>
          <w:noProof/>
        </w:rPr>
        <w:t>5</w:t>
      </w:r>
      <w:r>
        <w:fldChar w:fldCharType="end"/>
      </w:r>
      <w:bookmarkEnd w:id="9"/>
      <w:r>
        <w:rPr>
          <w:noProof/>
        </w:rPr>
        <w:t xml:space="preserve"> Selected characteristics of control variables</w:t>
      </w:r>
    </w:p>
    <w:tbl>
      <w:tblPr>
        <w:tblW w:w="4892" w:type="dxa"/>
        <w:jc w:val="center"/>
        <w:tblLook w:val="04A0" w:firstRow="1" w:lastRow="0" w:firstColumn="1" w:lastColumn="0" w:noHBand="0" w:noVBand="1"/>
      </w:tblPr>
      <w:tblGrid>
        <w:gridCol w:w="1378"/>
        <w:gridCol w:w="1714"/>
        <w:gridCol w:w="1800"/>
      </w:tblGrid>
      <w:tr w:rsidR="00C61057" w:rsidRPr="00C61057" w14:paraId="0510C27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758E4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EDF7670" w14:textId="51131E91"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Unfiltered Dataset</w:t>
            </w:r>
          </w:p>
        </w:tc>
        <w:tc>
          <w:tcPr>
            <w:tcW w:w="1800" w:type="dxa"/>
            <w:tcBorders>
              <w:top w:val="nil"/>
              <w:left w:val="nil"/>
              <w:bottom w:val="nil"/>
              <w:right w:val="nil"/>
            </w:tcBorders>
            <w:shd w:val="clear" w:color="000000" w:fill="FFFFFF"/>
            <w:noWrap/>
            <w:vAlign w:val="bottom"/>
            <w:hideMark/>
          </w:tcPr>
          <w:p w14:paraId="2DCF4EDA" w14:textId="4939BD0F" w:rsidR="00C61057" w:rsidRPr="00C61057" w:rsidRDefault="005F746F" w:rsidP="00C61057">
            <w:pPr>
              <w:spacing w:line="240" w:lineRule="auto"/>
              <w:ind w:firstLine="0"/>
              <w:jc w:val="left"/>
              <w:rPr>
                <w:rFonts w:ascii="Aptos Narrow" w:eastAsia="Times New Roman" w:hAnsi="Aptos Narrow"/>
                <w:b/>
                <w:bCs/>
                <w:color w:val="000000"/>
                <w:u w:val="single"/>
              </w:rPr>
            </w:pPr>
            <w:r>
              <w:rPr>
                <w:rFonts w:ascii="Aptos Narrow" w:eastAsia="Times New Roman" w:hAnsi="Aptos Narrow"/>
                <w:b/>
                <w:bCs/>
                <w:color w:val="000000"/>
                <w:u w:val="single"/>
              </w:rPr>
              <w:t>Main Dataset</w:t>
            </w:r>
          </w:p>
        </w:tc>
      </w:tr>
      <w:tr w:rsidR="00C61057" w:rsidRPr="00C61057" w14:paraId="4AC6AEE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F00E45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457FCE"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c>
          <w:tcPr>
            <w:tcW w:w="1800" w:type="dxa"/>
            <w:tcBorders>
              <w:top w:val="nil"/>
              <w:left w:val="nil"/>
              <w:bottom w:val="single" w:sz="4" w:space="0" w:color="auto"/>
              <w:right w:val="nil"/>
            </w:tcBorders>
            <w:shd w:val="clear" w:color="000000" w:fill="FFFFFF"/>
            <w:noWrap/>
            <w:vAlign w:val="bottom"/>
            <w:hideMark/>
          </w:tcPr>
          <w:p w14:paraId="5544C85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Day</w:t>
            </w:r>
          </w:p>
        </w:tc>
      </w:tr>
      <w:tr w:rsidR="00C61057" w:rsidRPr="00C61057" w14:paraId="24F4F24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33008E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Monday</w:t>
            </w:r>
          </w:p>
        </w:tc>
        <w:tc>
          <w:tcPr>
            <w:tcW w:w="1714" w:type="dxa"/>
            <w:tcBorders>
              <w:top w:val="nil"/>
              <w:left w:val="nil"/>
              <w:bottom w:val="nil"/>
              <w:right w:val="nil"/>
            </w:tcBorders>
            <w:shd w:val="clear" w:color="000000" w:fill="FFFFFF"/>
            <w:noWrap/>
            <w:vAlign w:val="bottom"/>
            <w:hideMark/>
          </w:tcPr>
          <w:p w14:paraId="24D2D9A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4,246</w:t>
            </w:r>
          </w:p>
        </w:tc>
        <w:tc>
          <w:tcPr>
            <w:tcW w:w="1800" w:type="dxa"/>
            <w:tcBorders>
              <w:top w:val="nil"/>
              <w:left w:val="nil"/>
              <w:bottom w:val="nil"/>
              <w:right w:val="nil"/>
            </w:tcBorders>
            <w:shd w:val="clear" w:color="000000" w:fill="FFFFFF"/>
            <w:noWrap/>
            <w:vAlign w:val="bottom"/>
            <w:hideMark/>
          </w:tcPr>
          <w:p w14:paraId="47F534BC"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4,096</w:t>
            </w:r>
          </w:p>
        </w:tc>
      </w:tr>
      <w:tr w:rsidR="00C61057" w:rsidRPr="00C61057" w14:paraId="46D73D9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400644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Tuesday</w:t>
            </w:r>
          </w:p>
        </w:tc>
        <w:tc>
          <w:tcPr>
            <w:tcW w:w="1714" w:type="dxa"/>
            <w:tcBorders>
              <w:top w:val="nil"/>
              <w:left w:val="nil"/>
              <w:bottom w:val="nil"/>
              <w:right w:val="nil"/>
            </w:tcBorders>
            <w:shd w:val="clear" w:color="000000" w:fill="FFFFFF"/>
            <w:noWrap/>
            <w:vAlign w:val="bottom"/>
            <w:hideMark/>
          </w:tcPr>
          <w:p w14:paraId="7E144F6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5,558</w:t>
            </w:r>
          </w:p>
        </w:tc>
        <w:tc>
          <w:tcPr>
            <w:tcW w:w="1800" w:type="dxa"/>
            <w:tcBorders>
              <w:top w:val="nil"/>
              <w:left w:val="nil"/>
              <w:bottom w:val="nil"/>
              <w:right w:val="nil"/>
            </w:tcBorders>
            <w:shd w:val="clear" w:color="000000" w:fill="FFFFFF"/>
            <w:noWrap/>
            <w:vAlign w:val="bottom"/>
            <w:hideMark/>
          </w:tcPr>
          <w:p w14:paraId="6C384C6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5,372</w:t>
            </w:r>
          </w:p>
        </w:tc>
      </w:tr>
      <w:tr w:rsidR="00C61057" w:rsidRPr="00C61057" w14:paraId="5E458B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A61C828" w14:textId="4CB48A64" w:rsidR="00C61057" w:rsidRPr="00C61057" w:rsidRDefault="00E31AF6"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Wednesday</w:t>
            </w:r>
          </w:p>
        </w:tc>
        <w:tc>
          <w:tcPr>
            <w:tcW w:w="1714" w:type="dxa"/>
            <w:tcBorders>
              <w:top w:val="nil"/>
              <w:left w:val="nil"/>
              <w:bottom w:val="nil"/>
              <w:right w:val="nil"/>
            </w:tcBorders>
            <w:shd w:val="clear" w:color="000000" w:fill="FFFFFF"/>
            <w:noWrap/>
            <w:vAlign w:val="bottom"/>
            <w:hideMark/>
          </w:tcPr>
          <w:p w14:paraId="24487043"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7,020</w:t>
            </w:r>
          </w:p>
        </w:tc>
        <w:tc>
          <w:tcPr>
            <w:tcW w:w="1800" w:type="dxa"/>
            <w:tcBorders>
              <w:top w:val="nil"/>
              <w:left w:val="nil"/>
              <w:bottom w:val="nil"/>
              <w:right w:val="nil"/>
            </w:tcBorders>
            <w:shd w:val="clear" w:color="000000" w:fill="FFFFFF"/>
            <w:noWrap/>
            <w:vAlign w:val="bottom"/>
            <w:hideMark/>
          </w:tcPr>
          <w:p w14:paraId="0A0789F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6,733</w:t>
            </w:r>
          </w:p>
        </w:tc>
      </w:tr>
      <w:tr w:rsidR="00C61057" w:rsidRPr="00C61057" w14:paraId="2622606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D1799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Thursday</w:t>
            </w:r>
          </w:p>
        </w:tc>
        <w:tc>
          <w:tcPr>
            <w:tcW w:w="1714" w:type="dxa"/>
            <w:tcBorders>
              <w:top w:val="nil"/>
              <w:left w:val="nil"/>
              <w:bottom w:val="nil"/>
              <w:right w:val="nil"/>
            </w:tcBorders>
            <w:shd w:val="clear" w:color="000000" w:fill="FFFFFF"/>
            <w:noWrap/>
            <w:vAlign w:val="bottom"/>
            <w:hideMark/>
          </w:tcPr>
          <w:p w14:paraId="7D7674E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6,243</w:t>
            </w:r>
          </w:p>
        </w:tc>
        <w:tc>
          <w:tcPr>
            <w:tcW w:w="1800" w:type="dxa"/>
            <w:tcBorders>
              <w:top w:val="nil"/>
              <w:left w:val="nil"/>
              <w:bottom w:val="nil"/>
              <w:right w:val="nil"/>
            </w:tcBorders>
            <w:shd w:val="clear" w:color="000000" w:fill="FFFFFF"/>
            <w:noWrap/>
            <w:vAlign w:val="bottom"/>
            <w:hideMark/>
          </w:tcPr>
          <w:p w14:paraId="4470601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6,001</w:t>
            </w:r>
          </w:p>
        </w:tc>
      </w:tr>
      <w:tr w:rsidR="00C61057" w:rsidRPr="00C61057" w14:paraId="4C2335D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0FD8AB9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Friday</w:t>
            </w:r>
          </w:p>
        </w:tc>
        <w:tc>
          <w:tcPr>
            <w:tcW w:w="1714" w:type="dxa"/>
            <w:tcBorders>
              <w:top w:val="nil"/>
              <w:left w:val="nil"/>
              <w:bottom w:val="nil"/>
              <w:right w:val="nil"/>
            </w:tcBorders>
            <w:shd w:val="clear" w:color="000000" w:fill="FFFFFF"/>
            <w:noWrap/>
            <w:vAlign w:val="bottom"/>
            <w:hideMark/>
          </w:tcPr>
          <w:p w14:paraId="063C138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5,244</w:t>
            </w:r>
          </w:p>
        </w:tc>
        <w:tc>
          <w:tcPr>
            <w:tcW w:w="1800" w:type="dxa"/>
            <w:tcBorders>
              <w:top w:val="nil"/>
              <w:left w:val="nil"/>
              <w:bottom w:val="nil"/>
              <w:right w:val="nil"/>
            </w:tcBorders>
            <w:shd w:val="clear" w:color="000000" w:fill="FFFFFF"/>
            <w:noWrap/>
            <w:vAlign w:val="bottom"/>
            <w:hideMark/>
          </w:tcPr>
          <w:p w14:paraId="49C6010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5,008</w:t>
            </w:r>
          </w:p>
        </w:tc>
      </w:tr>
      <w:tr w:rsidR="00C61057" w:rsidRPr="00C61057" w14:paraId="27CF05A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D5B5C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AAB550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9E8ECB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232E1BD" w14:textId="77777777" w:rsidTr="005F746F">
        <w:trPr>
          <w:trHeight w:val="680"/>
          <w:jc w:val="center"/>
        </w:trPr>
        <w:tc>
          <w:tcPr>
            <w:tcW w:w="1378" w:type="dxa"/>
            <w:tcBorders>
              <w:top w:val="nil"/>
              <w:left w:val="nil"/>
              <w:bottom w:val="nil"/>
              <w:right w:val="nil"/>
            </w:tcBorders>
            <w:shd w:val="clear" w:color="000000" w:fill="FFFFFF"/>
            <w:noWrap/>
            <w:vAlign w:val="bottom"/>
            <w:hideMark/>
          </w:tcPr>
          <w:p w14:paraId="4C1875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vAlign w:val="bottom"/>
            <w:hideMark/>
          </w:tcPr>
          <w:p w14:paraId="616E80D7"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c>
          <w:tcPr>
            <w:tcW w:w="1800" w:type="dxa"/>
            <w:tcBorders>
              <w:top w:val="nil"/>
              <w:left w:val="nil"/>
              <w:bottom w:val="single" w:sz="4" w:space="0" w:color="auto"/>
              <w:right w:val="nil"/>
            </w:tcBorders>
            <w:shd w:val="clear" w:color="000000" w:fill="FFFFFF"/>
            <w:vAlign w:val="bottom"/>
            <w:hideMark/>
          </w:tcPr>
          <w:p w14:paraId="6751A4F9"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Trading Session</w:t>
            </w:r>
          </w:p>
        </w:tc>
      </w:tr>
      <w:tr w:rsidR="00C61057" w:rsidRPr="00C61057" w14:paraId="65002C5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50ADE1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Morning</w:t>
            </w:r>
          </w:p>
        </w:tc>
        <w:tc>
          <w:tcPr>
            <w:tcW w:w="1714" w:type="dxa"/>
            <w:tcBorders>
              <w:top w:val="nil"/>
              <w:left w:val="nil"/>
              <w:bottom w:val="nil"/>
              <w:right w:val="nil"/>
            </w:tcBorders>
            <w:shd w:val="clear" w:color="000000" w:fill="FFFFFF"/>
            <w:noWrap/>
            <w:vAlign w:val="bottom"/>
            <w:hideMark/>
          </w:tcPr>
          <w:p w14:paraId="7CF7B8D3"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7,419</w:t>
            </w:r>
          </w:p>
        </w:tc>
        <w:tc>
          <w:tcPr>
            <w:tcW w:w="1800" w:type="dxa"/>
            <w:tcBorders>
              <w:top w:val="nil"/>
              <w:left w:val="nil"/>
              <w:bottom w:val="nil"/>
              <w:right w:val="nil"/>
            </w:tcBorders>
            <w:shd w:val="clear" w:color="000000" w:fill="FFFFFF"/>
            <w:noWrap/>
            <w:vAlign w:val="bottom"/>
            <w:hideMark/>
          </w:tcPr>
          <w:p w14:paraId="467A82F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7,193</w:t>
            </w:r>
          </w:p>
        </w:tc>
      </w:tr>
      <w:tr w:rsidR="00C61057" w:rsidRPr="00C61057" w14:paraId="4735FFF7"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2B26FF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Mid-Day</w:t>
            </w:r>
          </w:p>
        </w:tc>
        <w:tc>
          <w:tcPr>
            <w:tcW w:w="1714" w:type="dxa"/>
            <w:tcBorders>
              <w:top w:val="nil"/>
              <w:left w:val="nil"/>
              <w:bottom w:val="nil"/>
              <w:right w:val="nil"/>
            </w:tcBorders>
            <w:shd w:val="clear" w:color="000000" w:fill="FFFFFF"/>
            <w:noWrap/>
            <w:vAlign w:val="bottom"/>
            <w:hideMark/>
          </w:tcPr>
          <w:p w14:paraId="227ED09E"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8,266</w:t>
            </w:r>
          </w:p>
        </w:tc>
        <w:tc>
          <w:tcPr>
            <w:tcW w:w="1800" w:type="dxa"/>
            <w:tcBorders>
              <w:top w:val="nil"/>
              <w:left w:val="nil"/>
              <w:bottom w:val="nil"/>
              <w:right w:val="nil"/>
            </w:tcBorders>
            <w:shd w:val="clear" w:color="000000" w:fill="FFFFFF"/>
            <w:noWrap/>
            <w:vAlign w:val="bottom"/>
            <w:hideMark/>
          </w:tcPr>
          <w:p w14:paraId="76160E78" w14:textId="77777777" w:rsidR="00C61057" w:rsidRPr="00C61057" w:rsidRDefault="00C61057" w:rsidP="00C61057">
            <w:pPr>
              <w:spacing w:line="240" w:lineRule="auto"/>
              <w:ind w:firstLine="0"/>
              <w:jc w:val="right"/>
              <w:rPr>
                <w:rFonts w:ascii="Aptos Narrow" w:eastAsia="Times New Roman" w:hAnsi="Aptos Narrow"/>
                <w:b/>
                <w:bCs/>
                <w:color w:val="000000"/>
              </w:rPr>
            </w:pPr>
            <w:r w:rsidRPr="00C61057">
              <w:rPr>
                <w:rFonts w:ascii="Aptos Narrow" w:eastAsia="Times New Roman" w:hAnsi="Aptos Narrow"/>
                <w:b/>
                <w:bCs/>
                <w:color w:val="000000"/>
              </w:rPr>
              <w:t>7,845</w:t>
            </w:r>
          </w:p>
        </w:tc>
      </w:tr>
      <w:tr w:rsidR="00C61057" w:rsidRPr="00C61057" w14:paraId="1DE600A1"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DA96FA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Afternoon</w:t>
            </w:r>
          </w:p>
        </w:tc>
        <w:tc>
          <w:tcPr>
            <w:tcW w:w="1714" w:type="dxa"/>
            <w:tcBorders>
              <w:top w:val="nil"/>
              <w:left w:val="nil"/>
              <w:bottom w:val="nil"/>
              <w:right w:val="nil"/>
            </w:tcBorders>
            <w:shd w:val="clear" w:color="000000" w:fill="FFFFFF"/>
            <w:noWrap/>
            <w:vAlign w:val="bottom"/>
            <w:hideMark/>
          </w:tcPr>
          <w:p w14:paraId="682C8FF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7,974</w:t>
            </w:r>
          </w:p>
        </w:tc>
        <w:tc>
          <w:tcPr>
            <w:tcW w:w="1800" w:type="dxa"/>
            <w:tcBorders>
              <w:top w:val="nil"/>
              <w:left w:val="nil"/>
              <w:bottom w:val="nil"/>
              <w:right w:val="nil"/>
            </w:tcBorders>
            <w:shd w:val="clear" w:color="000000" w:fill="FFFFFF"/>
            <w:noWrap/>
            <w:vAlign w:val="bottom"/>
            <w:hideMark/>
          </w:tcPr>
          <w:p w14:paraId="109ACE3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7,684</w:t>
            </w:r>
          </w:p>
        </w:tc>
      </w:tr>
      <w:tr w:rsidR="00C61057" w:rsidRPr="00C61057" w14:paraId="5EAE1EC2"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BB2E28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After Hours</w:t>
            </w:r>
          </w:p>
        </w:tc>
        <w:tc>
          <w:tcPr>
            <w:tcW w:w="1714" w:type="dxa"/>
            <w:tcBorders>
              <w:top w:val="nil"/>
              <w:left w:val="nil"/>
              <w:bottom w:val="nil"/>
              <w:right w:val="nil"/>
            </w:tcBorders>
            <w:shd w:val="clear" w:color="000000" w:fill="FFFFFF"/>
            <w:noWrap/>
            <w:vAlign w:val="bottom"/>
            <w:hideMark/>
          </w:tcPr>
          <w:p w14:paraId="38A8235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4,652</w:t>
            </w:r>
          </w:p>
        </w:tc>
        <w:tc>
          <w:tcPr>
            <w:tcW w:w="1800" w:type="dxa"/>
            <w:tcBorders>
              <w:top w:val="nil"/>
              <w:left w:val="nil"/>
              <w:bottom w:val="nil"/>
              <w:right w:val="nil"/>
            </w:tcBorders>
            <w:shd w:val="clear" w:color="000000" w:fill="FFFFFF"/>
            <w:noWrap/>
            <w:vAlign w:val="bottom"/>
            <w:hideMark/>
          </w:tcPr>
          <w:p w14:paraId="255F9399"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4,488</w:t>
            </w:r>
          </w:p>
        </w:tc>
      </w:tr>
      <w:tr w:rsidR="00C61057" w:rsidRPr="00C61057" w14:paraId="3B65D4D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8DEF1E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7BF4488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658F09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4B1651F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CA27F6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0FEDA68"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c>
          <w:tcPr>
            <w:tcW w:w="1800" w:type="dxa"/>
            <w:tcBorders>
              <w:top w:val="nil"/>
              <w:left w:val="nil"/>
              <w:bottom w:val="single" w:sz="4" w:space="0" w:color="auto"/>
              <w:right w:val="nil"/>
            </w:tcBorders>
            <w:shd w:val="clear" w:color="000000" w:fill="FFFFFF"/>
            <w:noWrap/>
            <w:vAlign w:val="bottom"/>
            <w:hideMark/>
          </w:tcPr>
          <w:p w14:paraId="1C0D738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Capped</w:t>
            </w:r>
          </w:p>
        </w:tc>
      </w:tr>
      <w:tr w:rsidR="00C61057" w:rsidRPr="00C61057" w14:paraId="24129D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25372F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Capped</w:t>
            </w:r>
          </w:p>
        </w:tc>
        <w:tc>
          <w:tcPr>
            <w:tcW w:w="1714" w:type="dxa"/>
            <w:tcBorders>
              <w:top w:val="nil"/>
              <w:left w:val="nil"/>
              <w:bottom w:val="nil"/>
              <w:right w:val="nil"/>
            </w:tcBorders>
            <w:shd w:val="clear" w:color="000000" w:fill="FFFFFF"/>
            <w:noWrap/>
            <w:vAlign w:val="bottom"/>
            <w:hideMark/>
          </w:tcPr>
          <w:p w14:paraId="466DEF01"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19,727</w:t>
            </w:r>
          </w:p>
        </w:tc>
        <w:tc>
          <w:tcPr>
            <w:tcW w:w="1800" w:type="dxa"/>
            <w:tcBorders>
              <w:top w:val="nil"/>
              <w:left w:val="nil"/>
              <w:bottom w:val="nil"/>
              <w:right w:val="nil"/>
            </w:tcBorders>
            <w:shd w:val="clear" w:color="000000" w:fill="FFFFFF"/>
            <w:noWrap/>
            <w:vAlign w:val="bottom"/>
            <w:hideMark/>
          </w:tcPr>
          <w:p w14:paraId="0276D69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18,837</w:t>
            </w:r>
          </w:p>
        </w:tc>
      </w:tr>
      <w:tr w:rsidR="00C61057" w:rsidRPr="00C61057" w14:paraId="223A6B5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93A61C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Not Capped</w:t>
            </w:r>
          </w:p>
        </w:tc>
        <w:tc>
          <w:tcPr>
            <w:tcW w:w="1714" w:type="dxa"/>
            <w:tcBorders>
              <w:top w:val="nil"/>
              <w:left w:val="nil"/>
              <w:bottom w:val="nil"/>
              <w:right w:val="nil"/>
            </w:tcBorders>
            <w:shd w:val="clear" w:color="000000" w:fill="FFFFFF"/>
            <w:noWrap/>
            <w:vAlign w:val="bottom"/>
            <w:hideMark/>
          </w:tcPr>
          <w:p w14:paraId="4FC62BB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8,584</w:t>
            </w:r>
          </w:p>
        </w:tc>
        <w:tc>
          <w:tcPr>
            <w:tcW w:w="1800" w:type="dxa"/>
            <w:tcBorders>
              <w:top w:val="nil"/>
              <w:left w:val="nil"/>
              <w:bottom w:val="nil"/>
              <w:right w:val="nil"/>
            </w:tcBorders>
            <w:shd w:val="clear" w:color="000000" w:fill="FFFFFF"/>
            <w:noWrap/>
            <w:vAlign w:val="bottom"/>
            <w:hideMark/>
          </w:tcPr>
          <w:p w14:paraId="0088FC0F"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8,373</w:t>
            </w:r>
          </w:p>
        </w:tc>
      </w:tr>
      <w:tr w:rsidR="00C61057" w:rsidRPr="00C61057" w14:paraId="0485A40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635DD8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4B8043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2BD55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DBF9F6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15F297E8"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16BA6052"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c>
          <w:tcPr>
            <w:tcW w:w="1800" w:type="dxa"/>
            <w:tcBorders>
              <w:top w:val="nil"/>
              <w:left w:val="nil"/>
              <w:bottom w:val="single" w:sz="4" w:space="0" w:color="auto"/>
              <w:right w:val="nil"/>
            </w:tcBorders>
            <w:shd w:val="clear" w:color="000000" w:fill="FFFFFF"/>
            <w:noWrap/>
            <w:vAlign w:val="bottom"/>
            <w:hideMark/>
          </w:tcPr>
          <w:p w14:paraId="070DF6BF"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Tenor</w:t>
            </w:r>
          </w:p>
        </w:tc>
      </w:tr>
      <w:tr w:rsidR="00C61057" w:rsidRPr="00C61057" w14:paraId="63B899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531E1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3EB632D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c>
          <w:tcPr>
            <w:tcW w:w="1800" w:type="dxa"/>
            <w:tcBorders>
              <w:top w:val="nil"/>
              <w:left w:val="nil"/>
              <w:bottom w:val="nil"/>
              <w:right w:val="nil"/>
            </w:tcBorders>
            <w:shd w:val="clear" w:color="000000" w:fill="FFFFFF"/>
            <w:noWrap/>
            <w:vAlign w:val="bottom"/>
            <w:hideMark/>
          </w:tcPr>
          <w:p w14:paraId="6ECA58AB"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2 months</w:t>
            </w:r>
          </w:p>
        </w:tc>
      </w:tr>
      <w:tr w:rsidR="00C61057" w:rsidRPr="00C61057" w14:paraId="141B5099"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BD8186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6C2CF9D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c>
          <w:tcPr>
            <w:tcW w:w="1800" w:type="dxa"/>
            <w:tcBorders>
              <w:top w:val="nil"/>
              <w:left w:val="nil"/>
              <w:bottom w:val="nil"/>
              <w:right w:val="nil"/>
            </w:tcBorders>
            <w:shd w:val="clear" w:color="000000" w:fill="FFFFFF"/>
            <w:noWrap/>
            <w:vAlign w:val="bottom"/>
            <w:hideMark/>
          </w:tcPr>
          <w:p w14:paraId="14797F7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5 years</w:t>
            </w:r>
          </w:p>
        </w:tc>
      </w:tr>
      <w:tr w:rsidR="00C61057" w:rsidRPr="00C61057" w14:paraId="7A252FA3"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6EFADA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63E703F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c>
          <w:tcPr>
            <w:tcW w:w="1800" w:type="dxa"/>
            <w:tcBorders>
              <w:top w:val="nil"/>
              <w:left w:val="nil"/>
              <w:bottom w:val="nil"/>
              <w:right w:val="nil"/>
            </w:tcBorders>
            <w:shd w:val="clear" w:color="000000" w:fill="FFFFFF"/>
            <w:noWrap/>
            <w:vAlign w:val="bottom"/>
            <w:hideMark/>
          </w:tcPr>
          <w:p w14:paraId="308F07A6"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7 years</w:t>
            </w:r>
          </w:p>
        </w:tc>
      </w:tr>
      <w:tr w:rsidR="00C61057" w:rsidRPr="00C61057" w14:paraId="06AB7B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FA1733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6FCE7160"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c>
          <w:tcPr>
            <w:tcW w:w="1800" w:type="dxa"/>
            <w:tcBorders>
              <w:top w:val="nil"/>
              <w:left w:val="nil"/>
              <w:bottom w:val="nil"/>
              <w:right w:val="nil"/>
            </w:tcBorders>
            <w:shd w:val="clear" w:color="000000" w:fill="FFFFFF"/>
            <w:noWrap/>
            <w:vAlign w:val="bottom"/>
            <w:hideMark/>
          </w:tcPr>
          <w:p w14:paraId="5DE07313"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10 years</w:t>
            </w:r>
          </w:p>
        </w:tc>
      </w:tr>
      <w:tr w:rsidR="00C61057" w:rsidRPr="00C61057" w14:paraId="30A8930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BBABC12"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5CDFDFE"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c>
          <w:tcPr>
            <w:tcW w:w="1800" w:type="dxa"/>
            <w:tcBorders>
              <w:top w:val="nil"/>
              <w:left w:val="nil"/>
              <w:bottom w:val="nil"/>
              <w:right w:val="nil"/>
            </w:tcBorders>
            <w:shd w:val="clear" w:color="000000" w:fill="FFFFFF"/>
            <w:noWrap/>
            <w:vAlign w:val="bottom"/>
            <w:hideMark/>
          </w:tcPr>
          <w:p w14:paraId="0A95D211"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43 years</w:t>
            </w:r>
          </w:p>
        </w:tc>
      </w:tr>
      <w:tr w:rsidR="00C61057" w:rsidRPr="00C61057" w14:paraId="16380A2A"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4E1CED2C"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46C3A054"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c>
          <w:tcPr>
            <w:tcW w:w="1800" w:type="dxa"/>
            <w:tcBorders>
              <w:top w:val="nil"/>
              <w:left w:val="nil"/>
              <w:bottom w:val="nil"/>
              <w:right w:val="nil"/>
            </w:tcBorders>
            <w:shd w:val="clear" w:color="000000" w:fill="FFFFFF"/>
            <w:noWrap/>
            <w:vAlign w:val="bottom"/>
            <w:hideMark/>
          </w:tcPr>
          <w:p w14:paraId="59EA8D3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9 years, 9 months</w:t>
            </w:r>
          </w:p>
        </w:tc>
      </w:tr>
      <w:tr w:rsidR="00C61057" w:rsidRPr="00C61057" w14:paraId="3599732E"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EAB3E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nil"/>
              <w:right w:val="nil"/>
            </w:tcBorders>
            <w:shd w:val="clear" w:color="000000" w:fill="FFFFFF"/>
            <w:noWrap/>
            <w:vAlign w:val="bottom"/>
            <w:hideMark/>
          </w:tcPr>
          <w:p w14:paraId="0D04FCDD"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800" w:type="dxa"/>
            <w:tcBorders>
              <w:top w:val="nil"/>
              <w:left w:val="nil"/>
              <w:bottom w:val="nil"/>
              <w:right w:val="nil"/>
            </w:tcBorders>
            <w:shd w:val="clear" w:color="000000" w:fill="FFFFFF"/>
            <w:noWrap/>
            <w:vAlign w:val="bottom"/>
            <w:hideMark/>
          </w:tcPr>
          <w:p w14:paraId="1365707F"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r>
      <w:tr w:rsidR="00C61057" w:rsidRPr="00C61057" w14:paraId="34764D25"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5AE48AA5"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 </w:t>
            </w:r>
          </w:p>
        </w:tc>
        <w:tc>
          <w:tcPr>
            <w:tcW w:w="1714" w:type="dxa"/>
            <w:tcBorders>
              <w:top w:val="nil"/>
              <w:left w:val="nil"/>
              <w:bottom w:val="single" w:sz="4" w:space="0" w:color="auto"/>
              <w:right w:val="nil"/>
            </w:tcBorders>
            <w:shd w:val="clear" w:color="000000" w:fill="FFFFFF"/>
            <w:noWrap/>
            <w:vAlign w:val="bottom"/>
            <w:hideMark/>
          </w:tcPr>
          <w:p w14:paraId="0CA7BB1B"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c>
          <w:tcPr>
            <w:tcW w:w="1800" w:type="dxa"/>
            <w:tcBorders>
              <w:top w:val="nil"/>
              <w:left w:val="nil"/>
              <w:bottom w:val="single" w:sz="4" w:space="0" w:color="auto"/>
              <w:right w:val="nil"/>
            </w:tcBorders>
            <w:shd w:val="clear" w:color="000000" w:fill="FFFFFF"/>
            <w:noWrap/>
            <w:vAlign w:val="bottom"/>
            <w:hideMark/>
          </w:tcPr>
          <w:p w14:paraId="19C1A226" w14:textId="77777777" w:rsidR="00C61057" w:rsidRPr="00C61057" w:rsidRDefault="00C61057" w:rsidP="00C61057">
            <w:pPr>
              <w:spacing w:line="240" w:lineRule="auto"/>
              <w:ind w:firstLine="0"/>
              <w:jc w:val="left"/>
              <w:rPr>
                <w:rFonts w:ascii="Aptos Narrow" w:eastAsia="Times New Roman" w:hAnsi="Aptos Narrow"/>
                <w:b/>
                <w:bCs/>
                <w:color w:val="000000"/>
              </w:rPr>
            </w:pPr>
            <w:r w:rsidRPr="00C61057">
              <w:rPr>
                <w:rFonts w:ascii="Aptos Narrow" w:eastAsia="Times New Roman" w:hAnsi="Aptos Narrow"/>
                <w:b/>
                <w:bCs/>
                <w:color w:val="000000"/>
              </w:rPr>
              <w:t>Notional</w:t>
            </w:r>
          </w:p>
        </w:tc>
      </w:tr>
      <w:tr w:rsidR="00C61057" w:rsidRPr="00C61057" w14:paraId="1F8F93B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97A46E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Min</w:t>
            </w:r>
          </w:p>
        </w:tc>
        <w:tc>
          <w:tcPr>
            <w:tcW w:w="1714" w:type="dxa"/>
            <w:tcBorders>
              <w:top w:val="nil"/>
              <w:left w:val="nil"/>
              <w:bottom w:val="nil"/>
              <w:right w:val="nil"/>
            </w:tcBorders>
            <w:shd w:val="clear" w:color="000000" w:fill="FFFFFF"/>
            <w:noWrap/>
            <w:vAlign w:val="bottom"/>
            <w:hideMark/>
          </w:tcPr>
          <w:p w14:paraId="22FEEA2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c>
          <w:tcPr>
            <w:tcW w:w="1800" w:type="dxa"/>
            <w:tcBorders>
              <w:top w:val="nil"/>
              <w:left w:val="nil"/>
              <w:bottom w:val="nil"/>
              <w:right w:val="nil"/>
            </w:tcBorders>
            <w:shd w:val="clear" w:color="000000" w:fill="FFFFFF"/>
            <w:noWrap/>
            <w:vAlign w:val="bottom"/>
            <w:hideMark/>
          </w:tcPr>
          <w:p w14:paraId="286AAD85"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w:t>
            </w:r>
          </w:p>
        </w:tc>
      </w:tr>
      <w:tr w:rsidR="00C61057" w:rsidRPr="00C61057" w14:paraId="04F7614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6223C45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1st Quartile</w:t>
            </w:r>
          </w:p>
        </w:tc>
        <w:tc>
          <w:tcPr>
            <w:tcW w:w="1714" w:type="dxa"/>
            <w:tcBorders>
              <w:top w:val="nil"/>
              <w:left w:val="nil"/>
              <w:bottom w:val="nil"/>
              <w:right w:val="nil"/>
            </w:tcBorders>
            <w:shd w:val="clear" w:color="000000" w:fill="FFFFFF"/>
            <w:noWrap/>
            <w:vAlign w:val="bottom"/>
            <w:hideMark/>
          </w:tcPr>
          <w:p w14:paraId="113092DB"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15,000,000</w:t>
            </w:r>
          </w:p>
        </w:tc>
        <w:tc>
          <w:tcPr>
            <w:tcW w:w="1800" w:type="dxa"/>
            <w:tcBorders>
              <w:top w:val="nil"/>
              <w:left w:val="nil"/>
              <w:bottom w:val="nil"/>
              <w:right w:val="nil"/>
            </w:tcBorders>
            <w:shd w:val="clear" w:color="000000" w:fill="FFFFFF"/>
            <w:noWrap/>
            <w:vAlign w:val="bottom"/>
            <w:hideMark/>
          </w:tcPr>
          <w:p w14:paraId="0F7E8D1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16,000,000</w:t>
            </w:r>
          </w:p>
        </w:tc>
      </w:tr>
      <w:tr w:rsidR="00C61057" w:rsidRPr="00C61057" w14:paraId="4D4C30D8"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215CBEC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Median</w:t>
            </w:r>
          </w:p>
        </w:tc>
        <w:tc>
          <w:tcPr>
            <w:tcW w:w="1714" w:type="dxa"/>
            <w:tcBorders>
              <w:top w:val="nil"/>
              <w:left w:val="nil"/>
              <w:bottom w:val="nil"/>
              <w:right w:val="nil"/>
            </w:tcBorders>
            <w:shd w:val="clear" w:color="000000" w:fill="FFFFFF"/>
            <w:noWrap/>
            <w:vAlign w:val="bottom"/>
            <w:hideMark/>
          </w:tcPr>
          <w:p w14:paraId="7E0FE980"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c>
          <w:tcPr>
            <w:tcW w:w="1800" w:type="dxa"/>
            <w:tcBorders>
              <w:top w:val="nil"/>
              <w:left w:val="nil"/>
              <w:bottom w:val="nil"/>
              <w:right w:val="nil"/>
            </w:tcBorders>
            <w:shd w:val="clear" w:color="000000" w:fill="FFFFFF"/>
            <w:noWrap/>
            <w:vAlign w:val="bottom"/>
            <w:hideMark/>
          </w:tcPr>
          <w:p w14:paraId="437DD47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50,000,000</w:t>
            </w:r>
          </w:p>
        </w:tc>
      </w:tr>
      <w:tr w:rsidR="00C61057" w:rsidRPr="00C61057" w14:paraId="334B7706"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EFAABFA"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3rd Quartile</w:t>
            </w:r>
          </w:p>
        </w:tc>
        <w:tc>
          <w:tcPr>
            <w:tcW w:w="1714" w:type="dxa"/>
            <w:tcBorders>
              <w:top w:val="nil"/>
              <w:left w:val="nil"/>
              <w:bottom w:val="nil"/>
              <w:right w:val="nil"/>
            </w:tcBorders>
            <w:shd w:val="clear" w:color="000000" w:fill="FFFFFF"/>
            <w:noWrap/>
            <w:vAlign w:val="bottom"/>
            <w:hideMark/>
          </w:tcPr>
          <w:p w14:paraId="71A48A08"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c>
          <w:tcPr>
            <w:tcW w:w="1800" w:type="dxa"/>
            <w:tcBorders>
              <w:top w:val="nil"/>
              <w:left w:val="nil"/>
              <w:bottom w:val="nil"/>
              <w:right w:val="nil"/>
            </w:tcBorders>
            <w:shd w:val="clear" w:color="000000" w:fill="FFFFFF"/>
            <w:noWrap/>
            <w:vAlign w:val="bottom"/>
            <w:hideMark/>
          </w:tcPr>
          <w:p w14:paraId="50504A9E"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100,000,000</w:t>
            </w:r>
          </w:p>
        </w:tc>
      </w:tr>
      <w:tr w:rsidR="00C61057" w:rsidRPr="00C61057" w14:paraId="19FA7044"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71220309"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Max</w:t>
            </w:r>
          </w:p>
        </w:tc>
        <w:tc>
          <w:tcPr>
            <w:tcW w:w="1714" w:type="dxa"/>
            <w:tcBorders>
              <w:top w:val="nil"/>
              <w:left w:val="nil"/>
              <w:bottom w:val="nil"/>
              <w:right w:val="nil"/>
            </w:tcBorders>
            <w:shd w:val="clear" w:color="000000" w:fill="FFFFFF"/>
            <w:noWrap/>
            <w:vAlign w:val="bottom"/>
            <w:hideMark/>
          </w:tcPr>
          <w:p w14:paraId="40DB52A7"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c>
          <w:tcPr>
            <w:tcW w:w="1800" w:type="dxa"/>
            <w:tcBorders>
              <w:top w:val="nil"/>
              <w:left w:val="nil"/>
              <w:bottom w:val="nil"/>
              <w:right w:val="nil"/>
            </w:tcBorders>
            <w:shd w:val="clear" w:color="000000" w:fill="FFFFFF"/>
            <w:noWrap/>
            <w:vAlign w:val="bottom"/>
            <w:hideMark/>
          </w:tcPr>
          <w:p w14:paraId="38FE972D"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260,000,000</w:t>
            </w:r>
          </w:p>
        </w:tc>
      </w:tr>
      <w:tr w:rsidR="00C61057" w:rsidRPr="00C61057" w14:paraId="15A3D97F" w14:textId="77777777" w:rsidTr="005F746F">
        <w:trPr>
          <w:trHeight w:val="320"/>
          <w:jc w:val="center"/>
        </w:trPr>
        <w:tc>
          <w:tcPr>
            <w:tcW w:w="1378" w:type="dxa"/>
            <w:tcBorders>
              <w:top w:val="nil"/>
              <w:left w:val="nil"/>
              <w:bottom w:val="nil"/>
              <w:right w:val="nil"/>
            </w:tcBorders>
            <w:shd w:val="clear" w:color="000000" w:fill="FFFFFF"/>
            <w:noWrap/>
            <w:vAlign w:val="bottom"/>
            <w:hideMark/>
          </w:tcPr>
          <w:p w14:paraId="37B1AF27" w14:textId="77777777" w:rsidR="00C61057" w:rsidRPr="00C61057" w:rsidRDefault="00C61057" w:rsidP="00C61057">
            <w:pPr>
              <w:spacing w:line="240" w:lineRule="auto"/>
              <w:ind w:firstLine="0"/>
              <w:jc w:val="left"/>
              <w:rPr>
                <w:rFonts w:ascii="Aptos Narrow" w:eastAsia="Times New Roman" w:hAnsi="Aptos Narrow"/>
                <w:color w:val="000000"/>
              </w:rPr>
            </w:pPr>
            <w:r w:rsidRPr="00C61057">
              <w:rPr>
                <w:rFonts w:ascii="Aptos Narrow" w:eastAsia="Times New Roman" w:hAnsi="Aptos Narrow"/>
                <w:color w:val="000000"/>
              </w:rPr>
              <w:t>Mean</w:t>
            </w:r>
          </w:p>
        </w:tc>
        <w:tc>
          <w:tcPr>
            <w:tcW w:w="1714" w:type="dxa"/>
            <w:tcBorders>
              <w:top w:val="nil"/>
              <w:left w:val="nil"/>
              <w:bottom w:val="nil"/>
              <w:right w:val="nil"/>
            </w:tcBorders>
            <w:shd w:val="clear" w:color="000000" w:fill="FFFFFF"/>
            <w:noWrap/>
            <w:vAlign w:val="bottom"/>
            <w:hideMark/>
          </w:tcPr>
          <w:p w14:paraId="36994BD4"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55,650,025</w:t>
            </w:r>
          </w:p>
        </w:tc>
        <w:tc>
          <w:tcPr>
            <w:tcW w:w="1800" w:type="dxa"/>
            <w:tcBorders>
              <w:top w:val="nil"/>
              <w:left w:val="nil"/>
              <w:bottom w:val="nil"/>
              <w:right w:val="nil"/>
            </w:tcBorders>
            <w:shd w:val="clear" w:color="000000" w:fill="FFFFFF"/>
            <w:noWrap/>
            <w:vAlign w:val="bottom"/>
            <w:hideMark/>
          </w:tcPr>
          <w:p w14:paraId="31FEC3A2" w14:textId="77777777" w:rsidR="00C61057" w:rsidRPr="00C61057" w:rsidRDefault="00C61057" w:rsidP="00C61057">
            <w:pPr>
              <w:spacing w:line="240" w:lineRule="auto"/>
              <w:ind w:firstLine="0"/>
              <w:jc w:val="right"/>
              <w:rPr>
                <w:rFonts w:ascii="Aptos Narrow" w:eastAsia="Times New Roman" w:hAnsi="Aptos Narrow"/>
                <w:color w:val="000000"/>
              </w:rPr>
            </w:pPr>
            <w:r w:rsidRPr="00C61057">
              <w:rPr>
                <w:rFonts w:ascii="Aptos Narrow" w:eastAsia="Times New Roman" w:hAnsi="Aptos Narrow"/>
                <w:color w:val="000000"/>
              </w:rPr>
              <w:t>56,426,143</w:t>
            </w:r>
          </w:p>
        </w:tc>
      </w:tr>
    </w:tbl>
    <w:p w14:paraId="2ABE662F" w14:textId="50C9F18B" w:rsidR="008335A2" w:rsidRDefault="008335A2" w:rsidP="00655B55">
      <w:pPr>
        <w:ind w:firstLine="0"/>
        <w:rPr>
          <w:color w:val="000000" w:themeColor="text1"/>
        </w:rPr>
      </w:pPr>
    </w:p>
    <w:p w14:paraId="3C87E4A9" w14:textId="2DF31044" w:rsidR="00A96B98" w:rsidRPr="0004387C" w:rsidRDefault="00A96B98" w:rsidP="009C0453">
      <w:pPr>
        <w:pStyle w:val="Heading1"/>
        <w:numPr>
          <w:ilvl w:val="0"/>
          <w:numId w:val="33"/>
        </w:numPr>
      </w:pPr>
      <w:bookmarkStart w:id="10" w:name="_Ref157719497"/>
      <w:r w:rsidRPr="00D024F1">
        <w:lastRenderedPageBreak/>
        <w:t>Results</w:t>
      </w:r>
      <w:bookmarkEnd w:id="10"/>
    </w:p>
    <w:p w14:paraId="6324256F" w14:textId="77777777" w:rsidR="002F3376" w:rsidRPr="0004387C" w:rsidRDefault="002F3376" w:rsidP="00AB12F9">
      <w:pPr>
        <w:pStyle w:val="Heading2"/>
      </w:pPr>
      <w:r w:rsidRPr="00D024F1">
        <w:t>Prices</w:t>
      </w:r>
    </w:p>
    <w:p w14:paraId="59B879B0" w14:textId="38504416" w:rsidR="00417DAA" w:rsidRDefault="00417DAA" w:rsidP="00031822">
      <w:r>
        <w:t xml:space="preserve">For analyzing the impact of </w:t>
      </w:r>
      <w:r w:rsidR="000F28B2">
        <w:t xml:space="preserve">the clearing mandate on prices, I compare the USD LIBOR denominated </w:t>
      </w:r>
      <w:r w:rsidR="0047037D">
        <w:t xml:space="preserve">contracts against the 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5920A8FA" w:rsidR="00A03CBF" w:rsidRDefault="00A03CBF" w:rsidP="00031822">
      <w:r>
        <w:fldChar w:fldCharType="begin"/>
      </w:r>
      <w:r>
        <w:instrText xml:space="preserve"> REF _Ref149507984 \h </w:instrText>
      </w:r>
      <w:r w:rsidR="00031822">
        <w:instrText xml:space="preserve"> \* MERGEFORMAT </w:instrText>
      </w:r>
      <w:r>
        <w:fldChar w:fldCharType="separate"/>
      </w:r>
      <w:r w:rsidR="00655B55">
        <w:t xml:space="preserve">Table </w:t>
      </w:r>
      <w:r w:rsidR="00655B55">
        <w:rPr>
          <w:noProof/>
        </w:rPr>
        <w:t>6</w:t>
      </w:r>
      <w:r>
        <w:fldChar w:fldCharType="end"/>
      </w:r>
      <w:r>
        <w:t xml:space="preserve"> lists the DiD </w:t>
      </w:r>
      <w:r w:rsidR="007C0BF5">
        <w:t xml:space="preserve">results </w:t>
      </w:r>
      <w:r>
        <w:t xml:space="preserve">for </w:t>
      </w:r>
      <w:r w:rsidR="00E106E8">
        <w:t>the swap premium</w:t>
      </w:r>
      <w:r>
        <w:t>.</w:t>
      </w:r>
      <w:r w:rsidR="007C0BF5">
        <w:t xml:space="preserve"> Column 1 shows </w:t>
      </w:r>
      <w:r w:rsidR="00E106E8">
        <w:t xml:space="preserve">a </w:t>
      </w:r>
      <w:r w:rsidR="007C0BF5">
        <w:t xml:space="preserve">basic </w:t>
      </w:r>
      <w:r w:rsidR="00E106E8">
        <w:t xml:space="preserve">model </w:t>
      </w:r>
      <w:r w:rsidR="007C0BF5">
        <w:t>without any controls</w:t>
      </w:r>
      <w:r w:rsidR="00E106E8">
        <w:t xml:space="preserve"> for contract characteristics</w:t>
      </w:r>
      <w:r w:rsidR="007C0BF5">
        <w:t>. The clearing mandate causes a ~1</w:t>
      </w:r>
      <w:r w:rsidR="00E106E8">
        <w:t>4</w:t>
      </w:r>
      <w:r w:rsidR="007C0BF5">
        <w:t xml:space="preserve"> bps rise in premia. As expected, reducing the riskiness of the contract increases its price. Column 2 shows the effects additional controls, such as the </w:t>
      </w:r>
      <w:r w:rsidR="00E106E8">
        <w:t xml:space="preserve">(log) </w:t>
      </w:r>
      <w:r w:rsidR="007C0BF5">
        <w:t>notional value of the contrac</w:t>
      </w:r>
      <w:r w:rsidR="004050F2">
        <w:t xml:space="preserve">t, day and period of trading and whether the notional value was “capped” (i.e. the exact value was not reported to the trade repo). </w:t>
      </w:r>
      <w:r w:rsidR="00E106E8">
        <w:t>In this model, premia rise by ~ 1</w:t>
      </w:r>
      <w:r w:rsidR="00655B55">
        <w:t>3</w:t>
      </w:r>
      <w:r w:rsidR="00E106E8">
        <w:t xml:space="preserve"> bps. Thus</w:t>
      </w:r>
      <w:r w:rsidR="00D23019">
        <w:t>,</w:t>
      </w:r>
      <w:r w:rsidR="00E106E8">
        <w:t xml:space="preserve"> t</w:t>
      </w:r>
      <w:r w:rsidR="004050F2">
        <w:t>he results are robust to such controls.</w:t>
      </w:r>
    </w:p>
    <w:p w14:paraId="55704DC6" w14:textId="7E91AE1C" w:rsidR="00FE7E8B" w:rsidRDefault="00531890" w:rsidP="00FE7E8B">
      <w:r>
        <w:t xml:space="preserve">Using Wednesday as the reference level, I note that there is a 1-3 bps increase in the premium </w:t>
      </w:r>
      <w:r w:rsidR="00537BC1">
        <w:t>depending on the trading day.</w:t>
      </w:r>
      <w:r w:rsidR="00FE7E8B">
        <w:t xml:space="preserve"> There is also a 1.0-1.3 bps decrease in the premium for trading in morning, afternoon or off hours trading sessions (as compared to mid-day). Note that both results contrast with assumptions of “</w:t>
      </w:r>
      <w:r w:rsidR="00655B55">
        <w:t>efficient</w:t>
      </w:r>
      <w:r w:rsidR="00FE7E8B">
        <w:t xml:space="preserve"> markets”, where there should be no arbitrage opportunities by trading during special days or times. A </w:t>
      </w:r>
      <w:r w:rsidR="00E051B0">
        <w:t>one-year</w:t>
      </w:r>
      <w:r w:rsidR="00FE7E8B">
        <w:t xml:space="preserve"> increase in the tenor is associated with a 0.03 bps increase in the premium.</w:t>
      </w:r>
      <w:r w:rsidR="00E051B0">
        <w:t xml:space="preserve"> A one percent increase in the notional value is associated with a 0.77 bps increase in the premium.</w:t>
      </w:r>
      <w:r w:rsidR="00655B55">
        <w:t xml:space="preserve"> Again, these </w:t>
      </w:r>
      <w:r w:rsidR="00B30913">
        <w:t xml:space="preserve">result </w:t>
      </w:r>
      <w:r w:rsidR="00655B55">
        <w:t xml:space="preserve">contrast with expectations from “efficient market” assumptions because arbitrage opportunities exist (for example, a dealer can make a riskless profit by agreeing to receive a fixed rate on a higher-priced a “large” contract and </w:t>
      </w:r>
      <w:r w:rsidR="00B30913">
        <w:t xml:space="preserve">agreeing to pay the fixed-rate for </w:t>
      </w:r>
      <w:r w:rsidR="00655B55">
        <w:t xml:space="preserve">two </w:t>
      </w:r>
      <w:r w:rsidR="00B30913">
        <w:t>lower-priced “</w:t>
      </w:r>
      <w:r w:rsidR="00655B55">
        <w:t>small</w:t>
      </w:r>
      <w:r w:rsidR="00B30913">
        <w:t xml:space="preserve">” </w:t>
      </w:r>
      <w:r w:rsidR="00655B55">
        <w:t>contracts</w:t>
      </w:r>
      <w:r w:rsidR="00B30913">
        <w:t>). However, these differences could be related to liquidity or counterparty risk, or other contract characteristics of larger and longer swaps, which is not observable in our data,</w:t>
      </w:r>
    </w:p>
    <w:p w14:paraId="1F049E33" w14:textId="4A9DCF15" w:rsidR="007C0BF5" w:rsidRDefault="004050F2" w:rsidP="00031822">
      <w:r>
        <w:fldChar w:fldCharType="begin"/>
      </w:r>
      <w:r>
        <w:instrText xml:space="preserve"> REF _Ref149509644 \h </w:instrText>
      </w:r>
      <w:r w:rsidR="00031822">
        <w:instrText xml:space="preserve"> \* MERGEFORMAT </w:instrText>
      </w:r>
      <w:r>
        <w:fldChar w:fldCharType="separate"/>
      </w:r>
      <w:r w:rsidR="00B30913">
        <w:t xml:space="preserve">Table </w:t>
      </w:r>
      <w:r w:rsidR="00B30913">
        <w:rPr>
          <w:noProof/>
        </w:rPr>
        <w:t>7</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w:t>
      </w:r>
      <w:r w:rsidR="0092248B">
        <w:lastRenderedPageBreak/>
        <w:t xml:space="preserve">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r w:rsidR="00AE2A76">
        <w:t>influenced</w:t>
      </w:r>
      <w:r w:rsidR="0092248B">
        <w:t xml:space="preserve"> perceptions of riskiness of IR swaps, but phase 2 and phase 3 results are consistent with expectations.</w:t>
      </w:r>
    </w:p>
    <w:p w14:paraId="5004F607" w14:textId="695F3804" w:rsidR="005B5046" w:rsidRDefault="005B5046">
      <w:pPr>
        <w:spacing w:line="240" w:lineRule="auto"/>
        <w:ind w:firstLine="0"/>
        <w:jc w:val="left"/>
      </w:pPr>
      <w:r>
        <w:br w:type="page"/>
      </w:r>
    </w:p>
    <w:p w14:paraId="1562322B" w14:textId="77777777" w:rsidR="005B5046" w:rsidRDefault="005B5046">
      <w:pPr>
        <w:spacing w:line="240" w:lineRule="auto"/>
        <w:ind w:firstLine="0"/>
        <w:jc w:val="left"/>
      </w:pPr>
    </w:p>
    <w:p w14:paraId="732B5CCE" w14:textId="31A0C3AD" w:rsidR="005B5046" w:rsidRDefault="005B5046" w:rsidP="005B5046">
      <w:pPr>
        <w:pStyle w:val="Caption"/>
        <w:keepNext/>
      </w:pPr>
      <w:bookmarkStart w:id="11" w:name="_Ref160963634"/>
      <w:r>
        <w:t xml:space="preserve">Figure </w:t>
      </w:r>
      <w:r>
        <w:fldChar w:fldCharType="begin"/>
      </w:r>
      <w:r>
        <w:instrText xml:space="preserve"> SEQ Figure \* ARABIC </w:instrText>
      </w:r>
      <w:r>
        <w:fldChar w:fldCharType="separate"/>
      </w:r>
      <w:r w:rsidR="009373A0">
        <w:rPr>
          <w:noProof/>
        </w:rPr>
        <w:t>2</w:t>
      </w:r>
      <w:r>
        <w:fldChar w:fldCharType="end"/>
      </w:r>
      <w:bookmarkEnd w:id="11"/>
      <w:r>
        <w:t>: Bloomberg Reported Swap Rates for USD and CAD denominated interest rate swaps. From left-to-right and top-to-bottom: 2-year swaps during phase 1 (implementation date Mar 11, 2014), phase 2 (implementation date June 10, 2013), and phase 3 (implementation date September 9, 2013); 5-year swaps during phase 1, phase 2 and phase 3; 10-year swaps during phase 1, phase 2 and phase 3</w:t>
      </w:r>
    </w:p>
    <w:tbl>
      <w:tblPr>
        <w:tblW w:w="0" w:type="auto"/>
        <w:tblLook w:val="04A0" w:firstRow="1" w:lastRow="0" w:firstColumn="1" w:lastColumn="0" w:noHBand="0" w:noVBand="1"/>
      </w:tblPr>
      <w:tblGrid>
        <w:gridCol w:w="3116"/>
        <w:gridCol w:w="3117"/>
        <w:gridCol w:w="3117"/>
      </w:tblGrid>
      <w:tr w:rsidR="005B5046" w14:paraId="06634F87" w14:textId="77777777" w:rsidTr="00226A66">
        <w:tc>
          <w:tcPr>
            <w:tcW w:w="3116" w:type="dxa"/>
          </w:tcPr>
          <w:p w14:paraId="61944C16" w14:textId="77777777" w:rsidR="005B5046" w:rsidRDefault="005B5046" w:rsidP="00226A66">
            <w:pPr>
              <w:spacing w:line="240" w:lineRule="auto"/>
              <w:ind w:firstLine="0"/>
              <w:jc w:val="left"/>
            </w:pPr>
            <w:r>
              <w:rPr>
                <w:noProof/>
              </w:rPr>
              <w:drawing>
                <wp:inline distT="0" distB="0" distL="0" distR="0" wp14:anchorId="2820559E" wp14:editId="7B816995">
                  <wp:extent cx="1828800" cy="1090636"/>
                  <wp:effectExtent l="0" t="0" r="0" b="1905"/>
                  <wp:docPr id="13262718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71819" name="Picture 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90636"/>
                          </a:xfrm>
                          <a:prstGeom prst="rect">
                            <a:avLst/>
                          </a:prstGeom>
                        </pic:spPr>
                      </pic:pic>
                    </a:graphicData>
                  </a:graphic>
                </wp:inline>
              </w:drawing>
            </w:r>
          </w:p>
        </w:tc>
        <w:tc>
          <w:tcPr>
            <w:tcW w:w="3117" w:type="dxa"/>
          </w:tcPr>
          <w:p w14:paraId="1137CE92" w14:textId="77777777" w:rsidR="005B5046" w:rsidRDefault="005B5046" w:rsidP="00226A66">
            <w:pPr>
              <w:spacing w:line="240" w:lineRule="auto"/>
              <w:ind w:firstLine="0"/>
              <w:jc w:val="left"/>
            </w:pPr>
            <w:r>
              <w:rPr>
                <w:noProof/>
              </w:rPr>
              <w:drawing>
                <wp:inline distT="0" distB="0" distL="0" distR="0" wp14:anchorId="2EBC7B81" wp14:editId="0FDADFCE">
                  <wp:extent cx="1828800" cy="1089074"/>
                  <wp:effectExtent l="0" t="0" r="0" b="3175"/>
                  <wp:docPr id="1425491387"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91387" name="Picture 3"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4FC8411" w14:textId="77777777" w:rsidR="005B5046" w:rsidRDefault="005B5046" w:rsidP="00226A66">
            <w:pPr>
              <w:spacing w:line="240" w:lineRule="auto"/>
              <w:ind w:firstLine="0"/>
              <w:jc w:val="left"/>
            </w:pPr>
            <w:r>
              <w:rPr>
                <w:noProof/>
              </w:rPr>
              <w:drawing>
                <wp:inline distT="0" distB="0" distL="0" distR="0" wp14:anchorId="5AC89071" wp14:editId="5B5A1824">
                  <wp:extent cx="1828800" cy="1089074"/>
                  <wp:effectExtent l="0" t="0" r="0" b="3175"/>
                  <wp:docPr id="1305100523"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00523" name="Picture 4"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5332A04E" w14:textId="77777777" w:rsidTr="00226A66">
        <w:tc>
          <w:tcPr>
            <w:tcW w:w="3116" w:type="dxa"/>
          </w:tcPr>
          <w:p w14:paraId="2AEEAF3B" w14:textId="77777777" w:rsidR="005B5046" w:rsidRDefault="005B5046" w:rsidP="00226A66">
            <w:pPr>
              <w:spacing w:line="240" w:lineRule="auto"/>
              <w:ind w:firstLine="0"/>
              <w:jc w:val="left"/>
            </w:pPr>
            <w:r>
              <w:rPr>
                <w:noProof/>
              </w:rPr>
              <w:drawing>
                <wp:inline distT="0" distB="0" distL="0" distR="0" wp14:anchorId="2A5CF5CB" wp14:editId="4B4E48FC">
                  <wp:extent cx="1828800" cy="1090637"/>
                  <wp:effectExtent l="0" t="0" r="0" b="1905"/>
                  <wp:docPr id="707880844"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0844" name="Picture 5"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090637"/>
                          </a:xfrm>
                          <a:prstGeom prst="rect">
                            <a:avLst/>
                          </a:prstGeom>
                        </pic:spPr>
                      </pic:pic>
                    </a:graphicData>
                  </a:graphic>
                </wp:inline>
              </w:drawing>
            </w:r>
          </w:p>
        </w:tc>
        <w:tc>
          <w:tcPr>
            <w:tcW w:w="3117" w:type="dxa"/>
          </w:tcPr>
          <w:p w14:paraId="21C54553" w14:textId="77777777" w:rsidR="005B5046" w:rsidRDefault="005B5046" w:rsidP="00226A66">
            <w:pPr>
              <w:spacing w:line="240" w:lineRule="auto"/>
              <w:ind w:firstLine="0"/>
              <w:jc w:val="left"/>
            </w:pPr>
            <w:r>
              <w:rPr>
                <w:noProof/>
              </w:rPr>
              <w:drawing>
                <wp:inline distT="0" distB="0" distL="0" distR="0" wp14:anchorId="1552B607" wp14:editId="211DF327">
                  <wp:extent cx="1828800" cy="1092200"/>
                  <wp:effectExtent l="0" t="0" r="0" b="0"/>
                  <wp:docPr id="1603378031"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8031" name="Picture 6"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801414B" w14:textId="77777777" w:rsidR="005B5046" w:rsidRDefault="005B5046" w:rsidP="00226A66">
            <w:pPr>
              <w:spacing w:line="240" w:lineRule="auto"/>
              <w:ind w:firstLine="0"/>
              <w:jc w:val="left"/>
            </w:pPr>
            <w:r>
              <w:rPr>
                <w:noProof/>
              </w:rPr>
              <w:drawing>
                <wp:inline distT="0" distB="0" distL="0" distR="0" wp14:anchorId="1505D305" wp14:editId="1B7D34F8">
                  <wp:extent cx="1828800" cy="1089074"/>
                  <wp:effectExtent l="0" t="0" r="0" b="3175"/>
                  <wp:docPr id="1767053720"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53720" name="Picture 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r w:rsidR="005B5046" w14:paraId="3B10153F" w14:textId="77777777" w:rsidTr="00226A66">
        <w:tc>
          <w:tcPr>
            <w:tcW w:w="3116" w:type="dxa"/>
          </w:tcPr>
          <w:p w14:paraId="583CA3CE" w14:textId="77777777" w:rsidR="005B5046" w:rsidRDefault="005B5046" w:rsidP="00226A66">
            <w:pPr>
              <w:spacing w:line="240" w:lineRule="auto"/>
              <w:ind w:firstLine="0"/>
              <w:jc w:val="left"/>
            </w:pPr>
            <w:r>
              <w:rPr>
                <w:noProof/>
              </w:rPr>
              <w:drawing>
                <wp:inline distT="0" distB="0" distL="0" distR="0" wp14:anchorId="2D65D2E1" wp14:editId="3657D1D6">
                  <wp:extent cx="1828800" cy="1089074"/>
                  <wp:effectExtent l="0" t="0" r="0" b="3175"/>
                  <wp:docPr id="1928760311"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60311" name="Picture 8"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c>
          <w:tcPr>
            <w:tcW w:w="3117" w:type="dxa"/>
          </w:tcPr>
          <w:p w14:paraId="2964FD04" w14:textId="77777777" w:rsidR="005B5046" w:rsidRDefault="005B5046" w:rsidP="00226A66">
            <w:pPr>
              <w:spacing w:line="240" w:lineRule="auto"/>
              <w:ind w:firstLine="0"/>
              <w:jc w:val="left"/>
            </w:pPr>
            <w:r>
              <w:rPr>
                <w:noProof/>
              </w:rPr>
              <w:drawing>
                <wp:inline distT="0" distB="0" distL="0" distR="0" wp14:anchorId="6219DF40" wp14:editId="1596724B">
                  <wp:extent cx="1828800" cy="1092200"/>
                  <wp:effectExtent l="0" t="0" r="0" b="0"/>
                  <wp:docPr id="166600858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08585" name="Picture 9"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092200"/>
                          </a:xfrm>
                          <a:prstGeom prst="rect">
                            <a:avLst/>
                          </a:prstGeom>
                        </pic:spPr>
                      </pic:pic>
                    </a:graphicData>
                  </a:graphic>
                </wp:inline>
              </w:drawing>
            </w:r>
          </w:p>
        </w:tc>
        <w:tc>
          <w:tcPr>
            <w:tcW w:w="3117" w:type="dxa"/>
          </w:tcPr>
          <w:p w14:paraId="224B3A80" w14:textId="77777777" w:rsidR="005B5046" w:rsidRDefault="005B5046" w:rsidP="00226A66">
            <w:pPr>
              <w:spacing w:line="240" w:lineRule="auto"/>
              <w:ind w:firstLine="0"/>
              <w:jc w:val="left"/>
            </w:pPr>
            <w:r>
              <w:rPr>
                <w:noProof/>
              </w:rPr>
              <w:drawing>
                <wp:inline distT="0" distB="0" distL="0" distR="0" wp14:anchorId="47AB6B22" wp14:editId="1639C08F">
                  <wp:extent cx="1828800" cy="1089074"/>
                  <wp:effectExtent l="0" t="0" r="0" b="3175"/>
                  <wp:docPr id="469097377"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97377" name="Picture 10"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089074"/>
                          </a:xfrm>
                          <a:prstGeom prst="rect">
                            <a:avLst/>
                          </a:prstGeom>
                        </pic:spPr>
                      </pic:pic>
                    </a:graphicData>
                  </a:graphic>
                </wp:inline>
              </w:drawing>
            </w:r>
          </w:p>
        </w:tc>
      </w:tr>
    </w:tbl>
    <w:p w14:paraId="730BD612" w14:textId="77777777" w:rsidR="005B5046" w:rsidRDefault="005B5046" w:rsidP="005B5046">
      <w:pPr>
        <w:spacing w:line="240" w:lineRule="auto"/>
        <w:ind w:firstLine="0"/>
        <w:jc w:val="left"/>
      </w:pPr>
    </w:p>
    <w:p w14:paraId="04F4EA9E" w14:textId="66B6FF04" w:rsidR="005B5046" w:rsidRDefault="005B5046">
      <w:pPr>
        <w:spacing w:line="240" w:lineRule="auto"/>
        <w:ind w:firstLine="0"/>
        <w:jc w:val="left"/>
      </w:pPr>
      <w:r>
        <w:br w:type="page"/>
      </w:r>
    </w:p>
    <w:p w14:paraId="283A7C55" w14:textId="77777777" w:rsidR="005B5046" w:rsidRDefault="005B5046" w:rsidP="00031822"/>
    <w:p w14:paraId="0DECA66E" w14:textId="093C878D" w:rsidR="00A03CBF" w:rsidRDefault="00A03CBF" w:rsidP="00031822">
      <w:pPr>
        <w:pStyle w:val="Caption"/>
        <w:keepNext/>
      </w:pPr>
      <w:bookmarkStart w:id="12" w:name="_Ref149507984"/>
      <w:r>
        <w:t xml:space="preserve">Table </w:t>
      </w:r>
      <w:r>
        <w:fldChar w:fldCharType="begin"/>
      </w:r>
      <w:r>
        <w:instrText xml:space="preserve"> SEQ Table \* ARABIC </w:instrText>
      </w:r>
      <w:r>
        <w:fldChar w:fldCharType="separate"/>
      </w:r>
      <w:r w:rsidR="005F746F">
        <w:rPr>
          <w:noProof/>
        </w:rPr>
        <w:t>6</w:t>
      </w:r>
      <w:r>
        <w:rPr>
          <w:noProof/>
        </w:rPr>
        <w:fldChar w:fldCharType="end"/>
      </w:r>
      <w:bookmarkEnd w:id="12"/>
      <w:r>
        <w:rPr>
          <w:noProof/>
        </w:rPr>
        <w:t xml:space="preserve"> Difference-in-Difference Result</w:t>
      </w:r>
    </w:p>
    <w:p w14:paraId="1FF6B0DE" w14:textId="77777777" w:rsidR="00E106E8" w:rsidRPr="00B254A1" w:rsidRDefault="00E106E8" w:rsidP="00B254A1">
      <w:pPr>
        <w:pStyle w:val="PlainText"/>
        <w:rPr>
          <w:rFonts w:ascii="Courier New" w:hAnsi="Courier New" w:cs="Courier New"/>
        </w:rPr>
      </w:pPr>
    </w:p>
    <w:p w14:paraId="55EC049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Difference-in-Differences Regression Results</w:t>
      </w:r>
    </w:p>
    <w:p w14:paraId="5A793427" w14:textId="3FFE2751"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6D29C7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Dependent variable: Difference             </w:t>
      </w:r>
    </w:p>
    <w:p w14:paraId="08C8D148" w14:textId="14372113"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w:t>
      </w:r>
    </w:p>
    <w:p w14:paraId="1B11610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Basic Model               Advanced Model       </w:t>
      </w:r>
    </w:p>
    <w:p w14:paraId="04C4AB15"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(1)                         (2)            </w:t>
      </w:r>
    </w:p>
    <w:p w14:paraId="07E3EE11" w14:textId="21FC96CB"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4E30C6C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-0.8889*                     -0.7681          </w:t>
      </w:r>
    </w:p>
    <w:p w14:paraId="4047DBB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(0.4917)                    (0.4900)          </w:t>
      </w:r>
    </w:p>
    <w:p w14:paraId="1FC530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Period                      -13.6369***                 -13.2957***        </w:t>
      </w:r>
    </w:p>
    <w:p w14:paraId="6AF3FE4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(0.6641)                    (0.6610)          </w:t>
      </w:r>
    </w:p>
    <w:p w14:paraId="2D6F748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 * Period                                           0.0362***         </w:t>
      </w:r>
    </w:p>
    <w:p w14:paraId="27D69E3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(0.0086)          </w:t>
      </w:r>
    </w:p>
    <w:p w14:paraId="6F7F58E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Maturity                                                 0.7756***         </w:t>
      </w:r>
    </w:p>
    <w:p w14:paraId="03834C8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(0.0671)          </w:t>
      </w:r>
    </w:p>
    <w:p w14:paraId="5F1A7A3A" w14:textId="61FDE94C" w:rsidR="00E106E8" w:rsidRPr="00B254A1" w:rsidRDefault="00E106E8" w:rsidP="00B254A1">
      <w:pPr>
        <w:pStyle w:val="PlainText"/>
        <w:rPr>
          <w:rFonts w:ascii="Courier New" w:hAnsi="Courier New" w:cs="Courier New"/>
        </w:rPr>
      </w:pPr>
      <w:r>
        <w:rPr>
          <w:rFonts w:ascii="Courier New" w:hAnsi="Courier New" w:cs="Courier New"/>
        </w:rPr>
        <w:t xml:space="preserve">Log </w:t>
      </w:r>
      <w:r w:rsidRPr="00B254A1">
        <w:rPr>
          <w:rFonts w:ascii="Courier New" w:hAnsi="Courier New" w:cs="Courier New"/>
        </w:rPr>
        <w:t xml:space="preserve">Not.                                                -0.9316***         </w:t>
      </w:r>
    </w:p>
    <w:p w14:paraId="15CFF7F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(0.1849)          </w:t>
      </w:r>
    </w:p>
    <w:p w14:paraId="666859A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Capped                                                  -1.0236***         </w:t>
      </w:r>
    </w:p>
    <w:p w14:paraId="4C4357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(0.1843)          </w:t>
      </w:r>
    </w:p>
    <w:p w14:paraId="4E7AAD5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SEF                                                     -1.2370***         </w:t>
      </w:r>
    </w:p>
    <w:p w14:paraId="53591C2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(0.1814)          </w:t>
      </w:r>
    </w:p>
    <w:p w14:paraId="1C98EDF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Trade Hour                                              -1.2909***         </w:t>
      </w:r>
    </w:p>
    <w:p w14:paraId="31ECE2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(0.2125)          </w:t>
      </w:r>
    </w:p>
    <w:p w14:paraId="67C40CC2"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Name`Monday                                         1.5676***         </w:t>
      </w:r>
    </w:p>
    <w:p w14:paraId="672A57F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(0.2244)          </w:t>
      </w:r>
    </w:p>
    <w:p w14:paraId="5E7DE211"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Name`Tuesday                                        2.3950***         </w:t>
      </w:r>
    </w:p>
    <w:p w14:paraId="1E56949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(0.2070)          </w:t>
      </w:r>
    </w:p>
    <w:p w14:paraId="7A90678F"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Name`Thursday                                       2.7670***         </w:t>
      </w:r>
    </w:p>
    <w:p w14:paraId="10E1C3F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(0.2005)          </w:t>
      </w:r>
    </w:p>
    <w:p w14:paraId="402703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`Day Name`Friday                                         0.9568***         </w:t>
      </w:r>
    </w:p>
    <w:p w14:paraId="33BBC870"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(0.2124)          </w:t>
      </w:r>
    </w:p>
    <w:p w14:paraId="460547FB"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Group1:Period1              14.2183***                  13.4110***         </w:t>
      </w:r>
    </w:p>
    <w:p w14:paraId="53A7331C"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(0.6833)                    (0.6839)          </w:t>
      </w:r>
    </w:p>
    <w:p w14:paraId="5060AB96"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Constant                      -0.2415                   -14.1719***        </w:t>
      </w:r>
    </w:p>
    <w:p w14:paraId="27A38158"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                             (0.4718)                    (1.2406)          </w:t>
      </w:r>
    </w:p>
    <w:p w14:paraId="46A5DD5E" w14:textId="7231A8C2"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642A352A"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Observations                  27,210                      27,210           </w:t>
      </w:r>
    </w:p>
    <w:p w14:paraId="42467A2E"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R2                            0.0283                      0.0444           </w:t>
      </w:r>
    </w:p>
    <w:p w14:paraId="24C9FC19"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Adjusted R2                   0.0282                      0.0440           </w:t>
      </w:r>
    </w:p>
    <w:p w14:paraId="73D9063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 xml:space="preserve">Residual Std. Error    11.3530 (df = 27206)        11.2605 (df = 27196)    </w:t>
      </w:r>
    </w:p>
    <w:p w14:paraId="67CFB86D"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F Statistic         264.3342*** (df = 3; 27206) 97.2956*** (df = 13; 27196)</w:t>
      </w:r>
    </w:p>
    <w:p w14:paraId="26E32F00" w14:textId="76241176" w:rsidR="00E106E8" w:rsidRPr="00B254A1" w:rsidRDefault="00E106E8" w:rsidP="00B254A1">
      <w:pPr>
        <w:pStyle w:val="PlainText"/>
        <w:rPr>
          <w:rFonts w:ascii="Courier New" w:hAnsi="Courier New" w:cs="Courier New"/>
        </w:rPr>
      </w:pPr>
      <w:r w:rsidRPr="00B254A1">
        <w:rPr>
          <w:rFonts w:ascii="Courier New" w:hAnsi="Courier New" w:cs="Courier New"/>
        </w:rPr>
        <w:t>==========================================================================</w:t>
      </w:r>
    </w:p>
    <w:p w14:paraId="748EE113" w14:textId="77777777" w:rsidR="00E106E8" w:rsidRPr="00B254A1" w:rsidRDefault="00E106E8" w:rsidP="00B254A1">
      <w:pPr>
        <w:pStyle w:val="PlainText"/>
        <w:rPr>
          <w:rFonts w:ascii="Courier New" w:hAnsi="Courier New" w:cs="Courier New"/>
        </w:rPr>
      </w:pPr>
      <w:r w:rsidRPr="00B254A1">
        <w:rPr>
          <w:rFonts w:ascii="Courier New" w:hAnsi="Courier New" w:cs="Courier New"/>
        </w:rPr>
        <w:t>Note:                                           *p&lt;0.1; **p&lt;0.05; ***p&lt;0.01</w:t>
      </w:r>
    </w:p>
    <w:p w14:paraId="285D7A15" w14:textId="77777777" w:rsidR="00E106E8" w:rsidRPr="00B254A1" w:rsidRDefault="00E106E8" w:rsidP="00B254A1">
      <w:pPr>
        <w:pStyle w:val="PlainText"/>
        <w:rPr>
          <w:rFonts w:ascii="Courier New" w:hAnsi="Courier New" w:cs="Courier New"/>
        </w:rPr>
      </w:pPr>
    </w:p>
    <w:p w14:paraId="5179D58C" w14:textId="77777777" w:rsidR="00A03CBF" w:rsidRDefault="00A03CBF" w:rsidP="00031822">
      <w:pPr>
        <w:jc w:val="center"/>
      </w:pPr>
    </w:p>
    <w:p w14:paraId="5B61C362" w14:textId="62235C74" w:rsidR="004050F2" w:rsidRDefault="004050F2" w:rsidP="00031822">
      <w:pPr>
        <w:pStyle w:val="Caption"/>
        <w:keepNext/>
      </w:pPr>
      <w:bookmarkStart w:id="13" w:name="_Ref149509644"/>
      <w:r>
        <w:lastRenderedPageBreak/>
        <w:t xml:space="preserve">Table </w:t>
      </w:r>
      <w:r>
        <w:fldChar w:fldCharType="begin"/>
      </w:r>
      <w:r>
        <w:instrText xml:space="preserve"> SEQ Table \* ARABIC </w:instrText>
      </w:r>
      <w:r>
        <w:fldChar w:fldCharType="separate"/>
      </w:r>
      <w:r w:rsidR="005F746F">
        <w:rPr>
          <w:noProof/>
        </w:rPr>
        <w:t>7</w:t>
      </w:r>
      <w:r>
        <w:rPr>
          <w:noProof/>
        </w:rPr>
        <w:fldChar w:fldCharType="end"/>
      </w:r>
      <w:bookmarkEnd w:id="13"/>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Default="00A96B98" w:rsidP="009C0453">
      <w:pPr>
        <w:pStyle w:val="Heading1"/>
        <w:numPr>
          <w:ilvl w:val="0"/>
          <w:numId w:val="33"/>
        </w:numPr>
      </w:pPr>
      <w:bookmarkStart w:id="14" w:name="_Ref157719507"/>
      <w:r>
        <w:t>Conclusion</w:t>
      </w:r>
      <w:bookmarkEnd w:id="14"/>
    </w:p>
    <w:p w14:paraId="04B82C4A" w14:textId="3D7E79AC" w:rsidR="00AE2A76" w:rsidRDefault="00AE2A76" w:rsidP="00AE2A76">
      <w:r>
        <w:t>Conclusion goes here</w:t>
      </w:r>
    </w:p>
    <w:p w14:paraId="2F054196" w14:textId="77777777" w:rsidR="00B9115F" w:rsidRDefault="00B9115F" w:rsidP="00AE2A76"/>
    <w:p w14:paraId="013C1347" w14:textId="78BC429D" w:rsidR="00B9115F" w:rsidRDefault="00B9115F">
      <w:pPr>
        <w:spacing w:line="240" w:lineRule="auto"/>
        <w:ind w:firstLine="0"/>
        <w:jc w:val="left"/>
      </w:pPr>
      <w:r>
        <w:br w:type="page"/>
      </w:r>
    </w:p>
    <w:p w14:paraId="288E32A1" w14:textId="77777777" w:rsidR="00307F66" w:rsidRPr="00307F66" w:rsidRDefault="00B9115F" w:rsidP="00307F66">
      <w:pPr>
        <w:pStyle w:val="Bibliography"/>
      </w:pPr>
      <w:r>
        <w:lastRenderedPageBreak/>
        <w:fldChar w:fldCharType="begin"/>
      </w:r>
      <w:r>
        <w:instrText xml:space="preserve"> ADDIN ZOTERO_BIBL {"uncited":[],"omitted":[],"custom":[]} CSL_BIBLIOGRAPHY </w:instrText>
      </w:r>
      <w:r>
        <w:fldChar w:fldCharType="separate"/>
      </w:r>
      <w:r w:rsidR="00307F66" w:rsidRPr="00307F66">
        <w:t xml:space="preserve">Allen, Franklin, and Douglas Gale. 2000. “Financial Contagion.” </w:t>
      </w:r>
      <w:r w:rsidR="00307F66" w:rsidRPr="00307F66">
        <w:rPr>
          <w:i/>
          <w:iCs/>
        </w:rPr>
        <w:t>Journal of Political Economy</w:t>
      </w:r>
      <w:r w:rsidR="00307F66" w:rsidRPr="00307F66">
        <w:t xml:space="preserve"> 108 (1): 1–33. https://doi.org/10.1086/262109.</w:t>
      </w:r>
    </w:p>
    <w:p w14:paraId="723904DB" w14:textId="77777777" w:rsidR="00307F66" w:rsidRPr="00307F66" w:rsidRDefault="00307F66" w:rsidP="00307F66">
      <w:pPr>
        <w:pStyle w:val="Bibliography"/>
      </w:pPr>
      <w:r w:rsidRPr="00307F66">
        <w:t>Allen, Franklin, and Douglas M. Gale. 2007. “An Introduction to Financial Crises.” SSRN Scholarly Paper. Rochester, NY. https://doi.org/10.2139/ssrn.1008311.</w:t>
      </w:r>
    </w:p>
    <w:p w14:paraId="107C3282" w14:textId="77777777" w:rsidR="00307F66" w:rsidRPr="00307F66" w:rsidRDefault="00307F66" w:rsidP="00307F66">
      <w:pPr>
        <w:pStyle w:val="Bibliography"/>
      </w:pPr>
      <w:r w:rsidRPr="00307F66">
        <w:t xml:space="preserve">Azad, A. S. M. Sohel, Victor Fang, and Chi-Hsiou Hung. 2012. “Linking the Interest Rate Swap Markets to the Macroeconomic Risk: The UK and Us Evidence.” </w:t>
      </w:r>
      <w:r w:rsidRPr="00307F66">
        <w:rPr>
          <w:i/>
          <w:iCs/>
        </w:rPr>
        <w:t>International Review of Financial Analysis</w:t>
      </w:r>
      <w:r w:rsidRPr="00307F66">
        <w:t xml:space="preserve"> 22 (April): 38–47. https://doi.org/10.1016/j.irfa.2012.03.001.</w:t>
      </w:r>
    </w:p>
    <w:p w14:paraId="07AA5CE7" w14:textId="77777777" w:rsidR="00307F66" w:rsidRPr="00307F66" w:rsidRDefault="00307F66" w:rsidP="00307F66">
      <w:pPr>
        <w:pStyle w:val="Bibliography"/>
      </w:pPr>
      <w:r w:rsidRPr="00307F66">
        <w:t xml:space="preserve">Benos, Evangelos, Richard Payne, and Michalis Vasios. 2020. “Centralized Trading, Transparency, and Interest Rate Swap Market Liquidity: Evidence from the Implementation of the Dodd–Frank Act.” </w:t>
      </w:r>
      <w:r w:rsidRPr="00307F66">
        <w:rPr>
          <w:i/>
          <w:iCs/>
        </w:rPr>
        <w:t>Journal of Financial and Quantitative Analysis</w:t>
      </w:r>
      <w:r w:rsidRPr="00307F66">
        <w:t xml:space="preserve"> 55 (1): 159–92. https://doi.org/10.1017/S0022109018001527.</w:t>
      </w:r>
    </w:p>
    <w:p w14:paraId="2DBABBD2" w14:textId="77777777" w:rsidR="00307F66" w:rsidRPr="00307F66" w:rsidRDefault="00307F66" w:rsidP="00307F66">
      <w:pPr>
        <w:pStyle w:val="Bibliography"/>
      </w:pPr>
      <w:r w:rsidRPr="00307F66">
        <w:t xml:space="preserve">Bernstein, Asaf, Eric Hughson, and Marc Weidenmier. 2019. “Counterparty Risk and the Establishment of the New York Stock Exchange Clearinghouse.” </w:t>
      </w:r>
      <w:r w:rsidRPr="00307F66">
        <w:rPr>
          <w:i/>
          <w:iCs/>
        </w:rPr>
        <w:t>Journal of Political Economy</w:t>
      </w:r>
      <w:r w:rsidRPr="00307F66">
        <w:t xml:space="preserve"> 127 (2): 689–729. https://doi.org/10.1086/701033.</w:t>
      </w:r>
    </w:p>
    <w:p w14:paraId="6FC44014" w14:textId="77777777" w:rsidR="00307F66" w:rsidRPr="00307F66" w:rsidRDefault="00307F66" w:rsidP="00307F66">
      <w:pPr>
        <w:pStyle w:val="Bibliography"/>
      </w:pPr>
      <w:r w:rsidRPr="00307F66">
        <w:t xml:space="preserve">Biais, Bruno. 1993. “Price Formation and Equilibrium Liquidity in Fragmented and Centralized Markets.” </w:t>
      </w:r>
      <w:r w:rsidRPr="00307F66">
        <w:rPr>
          <w:i/>
          <w:iCs/>
        </w:rPr>
        <w:t>The Journal of Finance</w:t>
      </w:r>
      <w:r w:rsidRPr="00307F66">
        <w:t xml:space="preserve"> 48 (1): 157–85. https://doi.org/10.1111/j.1540-6261.1993.tb04705.x.</w:t>
      </w:r>
    </w:p>
    <w:p w14:paraId="56DB2278" w14:textId="77777777" w:rsidR="00307F66" w:rsidRPr="00307F66" w:rsidRDefault="00307F66" w:rsidP="00307F66">
      <w:pPr>
        <w:pStyle w:val="Bibliography"/>
      </w:pPr>
      <w:r w:rsidRPr="00307F66">
        <w:t xml:space="preserve">Bicksler, James, and Andrew H. Chen. 1986. “An Economic Analysis of Interest Rate Swaps.” </w:t>
      </w:r>
      <w:r w:rsidRPr="00307F66">
        <w:rPr>
          <w:i/>
          <w:iCs/>
        </w:rPr>
        <w:t>The Journal of Finance</w:t>
      </w:r>
      <w:r w:rsidRPr="00307F66">
        <w:t xml:space="preserve"> 41 (3): 645–55. https://doi.org/10.2307/2328495.</w:t>
      </w:r>
    </w:p>
    <w:p w14:paraId="2FC64251" w14:textId="77777777" w:rsidR="00307F66" w:rsidRPr="00307F66" w:rsidRDefault="00307F66" w:rsidP="00307F66">
      <w:pPr>
        <w:pStyle w:val="Bibliography"/>
      </w:pPr>
      <w:r w:rsidRPr="00307F66">
        <w:t>Bolandnazar, Mohammadreza. 2020. “The Market Structure of Dealer-to-Client Interest Rate Swaps.” SSRN Scholarly Paper 3752367. Rochester, NY: Social Science Research Network. https://doi.org/10.2139/ssrn.3752367.</w:t>
      </w:r>
    </w:p>
    <w:p w14:paraId="63EAE667" w14:textId="77777777" w:rsidR="00307F66" w:rsidRPr="00307F66" w:rsidRDefault="00307F66" w:rsidP="00307F66">
      <w:pPr>
        <w:pStyle w:val="Bibliography"/>
      </w:pPr>
      <w:r w:rsidRPr="00307F66">
        <w:t>Boudiaf, Ismael Alexander, Immo Frieden, and Martin Scheicher. 2024. “The Market Liquidity of Interest Rate Swaps.” SSRN Scholarly Paper. Rochester, NY. https://doi.org/10.2139/ssrn.4745740.</w:t>
      </w:r>
    </w:p>
    <w:p w14:paraId="4595FA79" w14:textId="77777777" w:rsidR="00307F66" w:rsidRPr="00307F66" w:rsidRDefault="00307F66" w:rsidP="00307F66">
      <w:pPr>
        <w:pStyle w:val="Bibliography"/>
      </w:pPr>
      <w:r w:rsidRPr="00307F66">
        <w:t xml:space="preserve">Jackson, Matthew O., and Agathe Pernoud. 2021. “Systemic Risk in Financial Networks: A Survey.” </w:t>
      </w:r>
      <w:r w:rsidRPr="00307F66">
        <w:rPr>
          <w:i/>
          <w:iCs/>
        </w:rPr>
        <w:t>Annual Review of Economics</w:t>
      </w:r>
      <w:r w:rsidRPr="00307F66">
        <w:t xml:space="preserve"> 13 (1): 171–202. https://doi.org/10.1146/annurev-economics-083120-111540.</w:t>
      </w:r>
    </w:p>
    <w:p w14:paraId="25B6D3DE" w14:textId="77777777" w:rsidR="00307F66" w:rsidRPr="00307F66" w:rsidRDefault="00307F66" w:rsidP="00307F66">
      <w:pPr>
        <w:pStyle w:val="Bibliography"/>
      </w:pPr>
      <w:r w:rsidRPr="00307F66">
        <w:t xml:space="preserve">Kleist, Karsten von, and C. Mallo. 2011. “OTC Derivatives Market Activity in the Second Half of 2010.” </w:t>
      </w:r>
      <w:r w:rsidRPr="00307F66">
        <w:rPr>
          <w:i/>
          <w:iCs/>
        </w:rPr>
        <w:t>Bank for International Settlements, Monetary and Economic Department, May</w:t>
      </w:r>
      <w:r w:rsidRPr="00307F66">
        <w:t>.</w:t>
      </w:r>
    </w:p>
    <w:p w14:paraId="71EAB24E" w14:textId="77777777" w:rsidR="00307F66" w:rsidRPr="00307F66" w:rsidRDefault="00307F66" w:rsidP="00307F66">
      <w:pPr>
        <w:pStyle w:val="Bibliography"/>
      </w:pPr>
      <w:r w:rsidRPr="00307F66">
        <w:t xml:space="preserve">Liu, Jun, Francis A. Longstaff, and Ravit E. Mandell. 2006. “The Market Price of Risk in Interest Rate Swaps: The Roles of Default and Liquidity Risks.” </w:t>
      </w:r>
      <w:r w:rsidRPr="00307F66">
        <w:rPr>
          <w:i/>
          <w:iCs/>
        </w:rPr>
        <w:t>The Journal of Business</w:t>
      </w:r>
      <w:r w:rsidRPr="00307F66">
        <w:t xml:space="preserve"> 79 (5): 2337–59. https://doi.org/10.1086/505237.</w:t>
      </w:r>
    </w:p>
    <w:p w14:paraId="53C73F30" w14:textId="77777777" w:rsidR="00307F66" w:rsidRPr="00307F66" w:rsidRDefault="00307F66" w:rsidP="00307F66">
      <w:pPr>
        <w:pStyle w:val="Bibliography"/>
      </w:pPr>
      <w:r w:rsidRPr="00307F66">
        <w:t xml:space="preserve">Loon, Yee Cheng, and Zhaodong Ken Zhong. 2014. “The Impact of Central Clearing on Counterparty Risk, Liquidity, and Trading: Evidence from the Credit Default Swap Market.” </w:t>
      </w:r>
      <w:r w:rsidRPr="00307F66">
        <w:rPr>
          <w:i/>
          <w:iCs/>
        </w:rPr>
        <w:t>Journal of Financial Economics</w:t>
      </w:r>
      <w:r w:rsidRPr="00307F66">
        <w:t xml:space="preserve"> 112 (1): 91–115. https://doi.org/10.1016/j.jfineco.2013.12.001.</w:t>
      </w:r>
    </w:p>
    <w:p w14:paraId="1DD00129" w14:textId="77777777" w:rsidR="00307F66" w:rsidRPr="00307F66" w:rsidRDefault="00307F66" w:rsidP="00307F66">
      <w:pPr>
        <w:pStyle w:val="Bibliography"/>
      </w:pPr>
      <w:r w:rsidRPr="00307F66">
        <w:t xml:space="preserve">Minton, Bernadette A. 1997. “An Empirical Examination of Basic Valuation Models for Plain Vanilla U.S. Interest Rate Swaps.” </w:t>
      </w:r>
      <w:r w:rsidRPr="00307F66">
        <w:rPr>
          <w:i/>
          <w:iCs/>
        </w:rPr>
        <w:t>Journal of Financial Economics</w:t>
      </w:r>
      <w:r w:rsidRPr="00307F66">
        <w:t xml:space="preserve"> 44 (2): 251–77. https://doi.org/10.1016/S0304-405X(97)00005-6.</w:t>
      </w:r>
    </w:p>
    <w:p w14:paraId="4FC94AE0" w14:textId="77777777" w:rsidR="00307F66" w:rsidRPr="00307F66" w:rsidRDefault="00307F66" w:rsidP="00307F66">
      <w:pPr>
        <w:pStyle w:val="Bibliography"/>
      </w:pPr>
      <w:r w:rsidRPr="00307F66">
        <w:t xml:space="preserve">Rochet, Jean-Charles, and Jean Tirole. 1996. “Interbank Lending and Systemic Risk.” </w:t>
      </w:r>
      <w:r w:rsidRPr="00307F66">
        <w:rPr>
          <w:i/>
          <w:iCs/>
        </w:rPr>
        <w:t>Journal of Money, Credit and Banking</w:t>
      </w:r>
      <w:r w:rsidRPr="00307F66">
        <w:t xml:space="preserve"> 28 (4): 733–62. https://doi.org/10.2307/2077918.</w:t>
      </w:r>
    </w:p>
    <w:p w14:paraId="784A4A10" w14:textId="77777777" w:rsidR="00307F66" w:rsidRPr="00307F66" w:rsidRDefault="00307F66" w:rsidP="00307F66">
      <w:pPr>
        <w:pStyle w:val="Bibliography"/>
      </w:pPr>
      <w:r w:rsidRPr="00307F66">
        <w:t>Skarr, Doug, and Kristin Szakaly-Moore. 2007. “Understanding Interest Rate Swap Math &amp; Pricing.” California Debt and Investment Advisory Commission. https://www.treasurer.ca.gov/cdiac/publications/math.pdf.</w:t>
      </w:r>
    </w:p>
    <w:p w14:paraId="55084E15" w14:textId="77777777" w:rsidR="00307F66" w:rsidRPr="00307F66" w:rsidRDefault="00307F66" w:rsidP="00307F66">
      <w:pPr>
        <w:pStyle w:val="Bibliography"/>
      </w:pPr>
      <w:r w:rsidRPr="00307F66">
        <w:lastRenderedPageBreak/>
        <w:t xml:space="preserve">Smith, Clifford W., Charles W. Smithson, and Lee Macdonald Wakeman. 1988. “The Market for Interest Rate Swaps.” </w:t>
      </w:r>
      <w:r w:rsidRPr="00307F66">
        <w:rPr>
          <w:i/>
          <w:iCs/>
        </w:rPr>
        <w:t>Financial Management</w:t>
      </w:r>
      <w:r w:rsidRPr="00307F66">
        <w:t xml:space="preserve"> 17 (4): 34–44. https://doi.org/10.2307/3665765.</w:t>
      </w:r>
    </w:p>
    <w:p w14:paraId="3AA868A6" w14:textId="77777777" w:rsidR="00307F66" w:rsidRPr="00307F66" w:rsidRDefault="00307F66" w:rsidP="00307F66">
      <w:pPr>
        <w:pStyle w:val="Bibliography"/>
      </w:pPr>
      <w:r w:rsidRPr="00307F66">
        <w:t xml:space="preserve">Sun, Tong-sheng, Suresh Sundaresan, and Ching Wang. 1993. “Interest Rate Swaps: An Empirical Investigation.” </w:t>
      </w:r>
      <w:r w:rsidRPr="00307F66">
        <w:rPr>
          <w:i/>
          <w:iCs/>
        </w:rPr>
        <w:t>Journal of Financial Economics</w:t>
      </w:r>
      <w:r w:rsidRPr="00307F66">
        <w:t xml:space="preserve"> 34 (1): 77–99. https://doi.org/10.1016/0304-405X(93)90041-9.</w:t>
      </w:r>
    </w:p>
    <w:p w14:paraId="6954673C" w14:textId="5C74DADA" w:rsidR="00B9115F" w:rsidRPr="00AE2A76" w:rsidRDefault="00B9115F" w:rsidP="00AE2A76">
      <w:r>
        <w:fldChar w:fldCharType="end"/>
      </w:r>
    </w:p>
    <w:sectPr w:rsidR="00B9115F" w:rsidRPr="00AE2A76">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379DD" w14:textId="77777777" w:rsidR="00B316CE" w:rsidRDefault="00B316CE" w:rsidP="00633D5C">
      <w:r>
        <w:separator/>
      </w:r>
    </w:p>
  </w:endnote>
  <w:endnote w:type="continuationSeparator" w:id="0">
    <w:p w14:paraId="5E77F67F" w14:textId="77777777" w:rsidR="00B316CE" w:rsidRDefault="00B316CE" w:rsidP="00633D5C">
      <w:r>
        <w:continuationSeparator/>
      </w:r>
    </w:p>
  </w:endnote>
  <w:endnote w:type="continuationNotice" w:id="1">
    <w:p w14:paraId="7C36DABC" w14:textId="77777777" w:rsidR="00B316CE" w:rsidRDefault="00B316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TimesLTStd-Roman">
    <w:altName w:val="Times New Roman"/>
    <w:panose1 w:val="00000000000000000000"/>
    <w:charset w:val="4D"/>
    <w:family w:val="auto"/>
    <w:notTrueType/>
    <w:pitch w:val="default"/>
    <w:sig w:usb0="00000003" w:usb1="00000000" w:usb2="00000000" w:usb3="00000000" w:csb0="00000001" w:csb1="00000000"/>
  </w:font>
  <w:font w:name="TimesLTStd-Italic">
    <w:altName w:val="Times New Roman"/>
    <w:panose1 w:val="00000000000000000000"/>
    <w:charset w:val="4D"/>
    <w:family w:val="auto"/>
    <w:notTrueType/>
    <w:pitch w:val="default"/>
    <w:sig w:usb0="00000003" w:usb1="00000000" w:usb2="00000000" w:usb3="00000000" w:csb0="00000001" w:csb1="00000000"/>
  </w:font>
  <w:font w:name="Lucida Grande">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87B14" w14:textId="77777777" w:rsidR="00B316CE" w:rsidRDefault="00B316CE" w:rsidP="00633D5C">
      <w:r>
        <w:separator/>
      </w:r>
    </w:p>
  </w:footnote>
  <w:footnote w:type="continuationSeparator" w:id="0">
    <w:p w14:paraId="053F0202" w14:textId="77777777" w:rsidR="00B316CE" w:rsidRDefault="00B316CE" w:rsidP="00633D5C">
      <w:r>
        <w:continuationSeparator/>
      </w:r>
    </w:p>
  </w:footnote>
  <w:footnote w:type="continuationNotice" w:id="1">
    <w:p w14:paraId="7F415D3B" w14:textId="77777777" w:rsidR="00B316CE" w:rsidRDefault="00B316C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C76FB"/>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756DE"/>
    <w:rsid w:val="00180890"/>
    <w:rsid w:val="00184052"/>
    <w:rsid w:val="00191190"/>
    <w:rsid w:val="00191C9A"/>
    <w:rsid w:val="00194EB9"/>
    <w:rsid w:val="001A25AE"/>
    <w:rsid w:val="001A7F55"/>
    <w:rsid w:val="001B775F"/>
    <w:rsid w:val="001C1D1C"/>
    <w:rsid w:val="001C24F9"/>
    <w:rsid w:val="001C74A9"/>
    <w:rsid w:val="001D3062"/>
    <w:rsid w:val="001D57E1"/>
    <w:rsid w:val="001F206A"/>
    <w:rsid w:val="001F4D2E"/>
    <w:rsid w:val="001F7299"/>
    <w:rsid w:val="00200D6D"/>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086E"/>
    <w:rsid w:val="00284488"/>
    <w:rsid w:val="002853F0"/>
    <w:rsid w:val="00286E2A"/>
    <w:rsid w:val="002870B8"/>
    <w:rsid w:val="00290667"/>
    <w:rsid w:val="00290E18"/>
    <w:rsid w:val="00293578"/>
    <w:rsid w:val="002938B2"/>
    <w:rsid w:val="002B03E9"/>
    <w:rsid w:val="002B63F1"/>
    <w:rsid w:val="002C58F6"/>
    <w:rsid w:val="002C6EB0"/>
    <w:rsid w:val="002C726E"/>
    <w:rsid w:val="002D4411"/>
    <w:rsid w:val="002D4CD7"/>
    <w:rsid w:val="002E0CE1"/>
    <w:rsid w:val="002F3376"/>
    <w:rsid w:val="002F4ED0"/>
    <w:rsid w:val="002F6C5B"/>
    <w:rsid w:val="00301A1C"/>
    <w:rsid w:val="00305FCA"/>
    <w:rsid w:val="00307F66"/>
    <w:rsid w:val="0031486E"/>
    <w:rsid w:val="00320206"/>
    <w:rsid w:val="0032163A"/>
    <w:rsid w:val="003314C1"/>
    <w:rsid w:val="00336313"/>
    <w:rsid w:val="0034098A"/>
    <w:rsid w:val="00343A08"/>
    <w:rsid w:val="003520EC"/>
    <w:rsid w:val="00357E12"/>
    <w:rsid w:val="00362ED7"/>
    <w:rsid w:val="00366CA0"/>
    <w:rsid w:val="00377D40"/>
    <w:rsid w:val="00380D21"/>
    <w:rsid w:val="00381A4D"/>
    <w:rsid w:val="0038485E"/>
    <w:rsid w:val="00387B98"/>
    <w:rsid w:val="0039332A"/>
    <w:rsid w:val="003936A2"/>
    <w:rsid w:val="0039392E"/>
    <w:rsid w:val="0039580A"/>
    <w:rsid w:val="003B1DFC"/>
    <w:rsid w:val="003C3888"/>
    <w:rsid w:val="003E0920"/>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7A6"/>
    <w:rsid w:val="00482903"/>
    <w:rsid w:val="00487EF1"/>
    <w:rsid w:val="00492449"/>
    <w:rsid w:val="004A2BFC"/>
    <w:rsid w:val="004C093C"/>
    <w:rsid w:val="004C1AD0"/>
    <w:rsid w:val="004D2D2D"/>
    <w:rsid w:val="004D458D"/>
    <w:rsid w:val="004E5AEE"/>
    <w:rsid w:val="004F0BE2"/>
    <w:rsid w:val="004F43A3"/>
    <w:rsid w:val="00502B0A"/>
    <w:rsid w:val="00506DDF"/>
    <w:rsid w:val="00525BB3"/>
    <w:rsid w:val="00531890"/>
    <w:rsid w:val="005356E2"/>
    <w:rsid w:val="005364E5"/>
    <w:rsid w:val="00537BC1"/>
    <w:rsid w:val="00540C73"/>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A7F47"/>
    <w:rsid w:val="005B5046"/>
    <w:rsid w:val="005C11C0"/>
    <w:rsid w:val="005D0AA8"/>
    <w:rsid w:val="005D43C4"/>
    <w:rsid w:val="005E0C46"/>
    <w:rsid w:val="005F14CA"/>
    <w:rsid w:val="005F327C"/>
    <w:rsid w:val="005F6B4A"/>
    <w:rsid w:val="005F746F"/>
    <w:rsid w:val="0060706F"/>
    <w:rsid w:val="00607456"/>
    <w:rsid w:val="00622956"/>
    <w:rsid w:val="00625ECF"/>
    <w:rsid w:val="00627579"/>
    <w:rsid w:val="00633D5C"/>
    <w:rsid w:val="0063560A"/>
    <w:rsid w:val="0063608A"/>
    <w:rsid w:val="00644114"/>
    <w:rsid w:val="006450BA"/>
    <w:rsid w:val="00655B55"/>
    <w:rsid w:val="00671C67"/>
    <w:rsid w:val="006722D1"/>
    <w:rsid w:val="006738CB"/>
    <w:rsid w:val="00674BB7"/>
    <w:rsid w:val="006875A1"/>
    <w:rsid w:val="006922D3"/>
    <w:rsid w:val="0069541B"/>
    <w:rsid w:val="006A345A"/>
    <w:rsid w:val="006B6124"/>
    <w:rsid w:val="006C0D52"/>
    <w:rsid w:val="006C1963"/>
    <w:rsid w:val="006C395A"/>
    <w:rsid w:val="006D47F1"/>
    <w:rsid w:val="006E06F9"/>
    <w:rsid w:val="006E44BE"/>
    <w:rsid w:val="006F1F0C"/>
    <w:rsid w:val="00700348"/>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0E82"/>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F"/>
    <w:rsid w:val="008D5647"/>
    <w:rsid w:val="008E3043"/>
    <w:rsid w:val="008E38DA"/>
    <w:rsid w:val="008E6500"/>
    <w:rsid w:val="008F2992"/>
    <w:rsid w:val="008F79E0"/>
    <w:rsid w:val="008F7BF3"/>
    <w:rsid w:val="00905428"/>
    <w:rsid w:val="00914E91"/>
    <w:rsid w:val="009150D9"/>
    <w:rsid w:val="0092248B"/>
    <w:rsid w:val="00935B7D"/>
    <w:rsid w:val="00935E65"/>
    <w:rsid w:val="00936FB0"/>
    <w:rsid w:val="009373A0"/>
    <w:rsid w:val="00941B60"/>
    <w:rsid w:val="0095406B"/>
    <w:rsid w:val="009561B4"/>
    <w:rsid w:val="00956D41"/>
    <w:rsid w:val="00962018"/>
    <w:rsid w:val="00965D68"/>
    <w:rsid w:val="00974463"/>
    <w:rsid w:val="00981EFF"/>
    <w:rsid w:val="009862A1"/>
    <w:rsid w:val="00991610"/>
    <w:rsid w:val="009A69FA"/>
    <w:rsid w:val="009A7D6A"/>
    <w:rsid w:val="009B3B11"/>
    <w:rsid w:val="009C0453"/>
    <w:rsid w:val="009C1462"/>
    <w:rsid w:val="009C4761"/>
    <w:rsid w:val="009C4BAC"/>
    <w:rsid w:val="009C7A56"/>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46F"/>
    <w:rsid w:val="00AB38FA"/>
    <w:rsid w:val="00AB5DFD"/>
    <w:rsid w:val="00AB7061"/>
    <w:rsid w:val="00AC06CC"/>
    <w:rsid w:val="00AE15AA"/>
    <w:rsid w:val="00AE2A76"/>
    <w:rsid w:val="00AE5664"/>
    <w:rsid w:val="00AE5AFF"/>
    <w:rsid w:val="00AF1FA3"/>
    <w:rsid w:val="00AF63FA"/>
    <w:rsid w:val="00B0289A"/>
    <w:rsid w:val="00B1262B"/>
    <w:rsid w:val="00B13BAB"/>
    <w:rsid w:val="00B15828"/>
    <w:rsid w:val="00B30913"/>
    <w:rsid w:val="00B316CE"/>
    <w:rsid w:val="00B3359E"/>
    <w:rsid w:val="00B44C24"/>
    <w:rsid w:val="00B54FB7"/>
    <w:rsid w:val="00B75FC5"/>
    <w:rsid w:val="00B83199"/>
    <w:rsid w:val="00B837CA"/>
    <w:rsid w:val="00B86FA9"/>
    <w:rsid w:val="00B9115F"/>
    <w:rsid w:val="00B91280"/>
    <w:rsid w:val="00B92576"/>
    <w:rsid w:val="00B92B7B"/>
    <w:rsid w:val="00B93079"/>
    <w:rsid w:val="00B9520A"/>
    <w:rsid w:val="00BA0B5F"/>
    <w:rsid w:val="00BA0BB3"/>
    <w:rsid w:val="00BA5601"/>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4B5B"/>
    <w:rsid w:val="00C57E03"/>
    <w:rsid w:val="00C61057"/>
    <w:rsid w:val="00C63A02"/>
    <w:rsid w:val="00C64F72"/>
    <w:rsid w:val="00C651D2"/>
    <w:rsid w:val="00C70DD5"/>
    <w:rsid w:val="00C74168"/>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23019"/>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02657"/>
    <w:rsid w:val="00E051B0"/>
    <w:rsid w:val="00E106E8"/>
    <w:rsid w:val="00E31AF6"/>
    <w:rsid w:val="00E402EC"/>
    <w:rsid w:val="00E41AF8"/>
    <w:rsid w:val="00E460D7"/>
    <w:rsid w:val="00E52B02"/>
    <w:rsid w:val="00E5597A"/>
    <w:rsid w:val="00E56F5E"/>
    <w:rsid w:val="00E6619F"/>
    <w:rsid w:val="00E66D23"/>
    <w:rsid w:val="00E670C0"/>
    <w:rsid w:val="00E70534"/>
    <w:rsid w:val="00E819EF"/>
    <w:rsid w:val="00E84521"/>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25F8"/>
    <w:rsid w:val="00F040B1"/>
    <w:rsid w:val="00F050F7"/>
    <w:rsid w:val="00F15E32"/>
    <w:rsid w:val="00F27E22"/>
    <w:rsid w:val="00F31111"/>
    <w:rsid w:val="00F458EF"/>
    <w:rsid w:val="00F57F30"/>
    <w:rsid w:val="00F6394F"/>
    <w:rsid w:val="00F71C54"/>
    <w:rsid w:val="00F872C2"/>
    <w:rsid w:val="00FB01B7"/>
    <w:rsid w:val="00FB04CE"/>
    <w:rsid w:val="00FC644E"/>
    <w:rsid w:val="00FD4074"/>
    <w:rsid w:val="00FD62E9"/>
    <w:rsid w:val="00FD79B0"/>
    <w:rsid w:val="00FD7E4A"/>
    <w:rsid w:val="00FE7E8B"/>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DD5"/>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C70DD5"/>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C70DD5"/>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C70DD5"/>
    <w:pPr>
      <w:spacing w:before="260"/>
      <w:ind w:firstLine="0"/>
      <w:outlineLvl w:val="2"/>
    </w:pPr>
    <w:rPr>
      <w:rFonts w:eastAsia="Times New Roman"/>
      <w:bCs/>
    </w:rPr>
  </w:style>
  <w:style w:type="paragraph" w:styleId="Heading4">
    <w:name w:val="heading 4"/>
    <w:basedOn w:val="Normal"/>
    <w:next w:val="Normal"/>
    <w:link w:val="Heading4Char"/>
    <w:qFormat/>
    <w:rsid w:val="00C70DD5"/>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C70DD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C70DD5"/>
  </w:style>
  <w:style w:type="character" w:customStyle="1" w:styleId="Heading2Char">
    <w:name w:val="Heading 2 Char"/>
    <w:basedOn w:val="DefaultParagraphFont"/>
    <w:link w:val="Heading2"/>
    <w:rsid w:val="00C70DD5"/>
    <w:rPr>
      <w:rFonts w:ascii="Times New Roman" w:eastAsia="Times New Roman" w:hAnsi="Times New Roman"/>
      <w:bCs/>
      <w:i/>
      <w:color w:val="000000"/>
      <w:sz w:val="24"/>
      <w:szCs w:val="26"/>
      <w:lang w:bidi="ar-SA"/>
    </w:rPr>
  </w:style>
  <w:style w:type="paragraph" w:styleId="Title">
    <w:name w:val="Title"/>
    <w:next w:val="Author"/>
    <w:link w:val="TitleChar"/>
    <w:qFormat/>
    <w:rsid w:val="00C70DD5"/>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C70DD5"/>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C70DD5"/>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C70DD5"/>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C70DD5"/>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C70DD5"/>
    <w:pPr>
      <w:spacing w:line="180" w:lineRule="atLeast"/>
    </w:pPr>
    <w:rPr>
      <w:sz w:val="16"/>
    </w:rPr>
  </w:style>
  <w:style w:type="character" w:customStyle="1" w:styleId="FootnoteTextChar">
    <w:name w:val="Footnote Text Char"/>
    <w:basedOn w:val="DefaultParagraphFont"/>
    <w:link w:val="FootnoteText"/>
    <w:semiHidden/>
    <w:rsid w:val="00C70DD5"/>
    <w:rPr>
      <w:rFonts w:ascii="Times New Roman" w:eastAsia="Calisto MT" w:hAnsi="Times New Roman"/>
      <w:sz w:val="16"/>
      <w:szCs w:val="24"/>
      <w:lang w:bidi="ar-SA"/>
    </w:rPr>
  </w:style>
  <w:style w:type="character" w:styleId="FootnoteReference">
    <w:name w:val="footnote reference"/>
    <w:basedOn w:val="DefaultParagraphFont"/>
    <w:semiHidden/>
    <w:rsid w:val="00C70DD5"/>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C70DD5"/>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C70DD5"/>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C70DD5"/>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C70DD5"/>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C70DD5"/>
    <w:pPr>
      <w:ind w:firstLine="0"/>
    </w:pPr>
  </w:style>
  <w:style w:type="paragraph" w:customStyle="1" w:styleId="Contact">
    <w:name w:val="Contact"/>
    <w:next w:val="Normal"/>
    <w:rsid w:val="00C70DD5"/>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C70DD5"/>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C70DD5"/>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C70DD5"/>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C70DD5"/>
    <w:pPr>
      <w:spacing w:after="120"/>
      <w:ind w:left="720" w:right="720" w:firstLine="0"/>
      <w:jc w:val="right"/>
    </w:pPr>
  </w:style>
  <w:style w:type="paragraph" w:customStyle="1" w:styleId="FigureTitle">
    <w:name w:val="Figure Title"/>
    <w:next w:val="Normal"/>
    <w:rsid w:val="00C70DD5"/>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C70DD5"/>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C70DD5"/>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C70DD5"/>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C70DD5"/>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C70DD5"/>
    <w:pPr>
      <w:numPr>
        <w:numId w:val="27"/>
      </w:numPr>
      <w:contextualSpacing/>
    </w:pPr>
  </w:style>
  <w:style w:type="paragraph" w:styleId="ListNumber">
    <w:name w:val="List Number"/>
    <w:basedOn w:val="Normal"/>
    <w:next w:val="Normal"/>
    <w:rsid w:val="00C70DD5"/>
    <w:pPr>
      <w:numPr>
        <w:numId w:val="28"/>
      </w:numPr>
      <w:tabs>
        <w:tab w:val="clear" w:pos="1195"/>
      </w:tabs>
      <w:spacing w:after="260"/>
      <w:ind w:left="1555" w:hanging="720"/>
    </w:pPr>
  </w:style>
  <w:style w:type="paragraph" w:customStyle="1" w:styleId="FigurePlaceholder">
    <w:name w:val="Figure Placeholder"/>
    <w:basedOn w:val="Normal"/>
    <w:next w:val="Normal"/>
    <w:qFormat/>
    <w:rsid w:val="00C70DD5"/>
    <w:pPr>
      <w:spacing w:before="260" w:after="260"/>
      <w:jc w:val="center"/>
    </w:pPr>
  </w:style>
  <w:style w:type="character" w:customStyle="1" w:styleId="TableFootLetter">
    <w:name w:val="Table FootLetter"/>
    <w:basedOn w:val="DefaultParagraphFont"/>
    <w:rsid w:val="00C70DD5"/>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C70DD5"/>
  </w:style>
  <w:style w:type="paragraph" w:customStyle="1" w:styleId="TablePlaceholder">
    <w:name w:val="Table Placeholder"/>
    <w:basedOn w:val="FigurePlaceholder"/>
    <w:next w:val="NoParagraphStyle"/>
    <w:qFormat/>
    <w:rsid w:val="00C70DD5"/>
  </w:style>
  <w:style w:type="paragraph" w:styleId="DocumentMap">
    <w:name w:val="Document Map"/>
    <w:basedOn w:val="Normal"/>
    <w:link w:val="DocumentMapChar"/>
    <w:uiPriority w:val="99"/>
    <w:semiHidden/>
    <w:rsid w:val="00C70DD5"/>
    <w:rPr>
      <w:rFonts w:ascii="Lucida Grande" w:hAnsi="Lucida Grande"/>
    </w:rPr>
  </w:style>
  <w:style w:type="character" w:customStyle="1" w:styleId="DocumentMapChar">
    <w:name w:val="Document Map Char"/>
    <w:basedOn w:val="DefaultParagraphFont"/>
    <w:link w:val="DocumentMap"/>
    <w:uiPriority w:val="99"/>
    <w:semiHidden/>
    <w:rsid w:val="00C70DD5"/>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C70DD5"/>
    <w:rPr>
      <w:sz w:val="18"/>
      <w:szCs w:val="18"/>
    </w:rPr>
  </w:style>
  <w:style w:type="paragraph" w:styleId="CommentText">
    <w:name w:val="annotation text"/>
    <w:basedOn w:val="Normal"/>
    <w:link w:val="CommentTextChar"/>
    <w:uiPriority w:val="99"/>
    <w:semiHidden/>
    <w:rsid w:val="00C70DD5"/>
  </w:style>
  <w:style w:type="character" w:customStyle="1" w:styleId="CommentTextChar">
    <w:name w:val="Comment Text Char"/>
    <w:basedOn w:val="DefaultParagraphFont"/>
    <w:link w:val="CommentText"/>
    <w:uiPriority w:val="99"/>
    <w:semiHidden/>
    <w:rsid w:val="00C70DD5"/>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C70DD5"/>
    <w:rPr>
      <w:b/>
      <w:bCs/>
      <w:sz w:val="20"/>
      <w:szCs w:val="20"/>
    </w:rPr>
  </w:style>
  <w:style w:type="character" w:customStyle="1" w:styleId="CommentSubjectChar">
    <w:name w:val="Comment Subject Char"/>
    <w:basedOn w:val="CommentTextChar"/>
    <w:link w:val="CommentSubject"/>
    <w:uiPriority w:val="99"/>
    <w:semiHidden/>
    <w:rsid w:val="00C70DD5"/>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C70DD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0DD5"/>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 w:type="paragraph" w:styleId="Bibliography">
    <w:name w:val="Bibliography"/>
    <w:basedOn w:val="Normal"/>
    <w:next w:val="Normal"/>
    <w:uiPriority w:val="37"/>
    <w:unhideWhenUsed/>
    <w:rsid w:val="00B9115F"/>
    <w:pPr>
      <w:spacing w:line="240" w:lineRule="auto"/>
      <w:ind w:left="720" w:hanging="720"/>
    </w:pPr>
  </w:style>
  <w:style w:type="paragraph" w:styleId="PlainText">
    <w:name w:val="Plain Text"/>
    <w:basedOn w:val="Normal"/>
    <w:link w:val="PlainTextChar"/>
    <w:uiPriority w:val="99"/>
    <w:unhideWhenUsed/>
    <w:rsid w:val="00E106E8"/>
    <w:pPr>
      <w:spacing w:line="240" w:lineRule="auto"/>
      <w:ind w:firstLine="0"/>
      <w:jc w:val="left"/>
    </w:pPr>
    <w:rPr>
      <w:rFonts w:ascii="Consolas" w:eastAsiaTheme="minorHAnsi" w:hAnsi="Consolas" w:cs="Consolas"/>
      <w:kern w:val="2"/>
      <w:sz w:val="21"/>
      <w:szCs w:val="21"/>
      <w14:ligatures w14:val="standardContextual"/>
    </w:rPr>
  </w:style>
  <w:style w:type="character" w:customStyle="1" w:styleId="PlainTextChar">
    <w:name w:val="Plain Text Char"/>
    <w:basedOn w:val="DefaultParagraphFont"/>
    <w:link w:val="PlainText"/>
    <w:uiPriority w:val="99"/>
    <w:rsid w:val="00E106E8"/>
    <w:rPr>
      <w:rFonts w:ascii="Consolas" w:eastAsiaTheme="minorHAnsi" w:hAnsi="Consolas" w:cs="Consolas"/>
      <w:kern w:val="2"/>
      <w:sz w:val="21"/>
      <w:szCs w:val="21"/>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0078">
      <w:bodyDiv w:val="1"/>
      <w:marLeft w:val="0"/>
      <w:marRight w:val="0"/>
      <w:marTop w:val="0"/>
      <w:marBottom w:val="0"/>
      <w:divBdr>
        <w:top w:val="none" w:sz="0" w:space="0" w:color="auto"/>
        <w:left w:val="none" w:sz="0" w:space="0" w:color="auto"/>
        <w:bottom w:val="none" w:sz="0" w:space="0" w:color="auto"/>
        <w:right w:val="none" w:sz="0" w:space="0" w:color="auto"/>
      </w:divBdr>
    </w:div>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79644828">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41124970">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Template>
  <TotalTime>3829</TotalTime>
  <Pages>37</Pages>
  <Words>14643</Words>
  <Characters>83468</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66</cp:revision>
  <dcterms:created xsi:type="dcterms:W3CDTF">2023-12-09T16:13:00Z</dcterms:created>
  <dcterms:modified xsi:type="dcterms:W3CDTF">2024-03-13T03:54:00Z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id="ODRR1i2h"/&gt;&lt;style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