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0D52249C"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61D0E131"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78BDBFA7" w:rsidR="008D1C73" w:rsidRDefault="00161437" w:rsidP="008D1C73">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5364E5">
        <w:instrText xml:space="preserve"> ADDIN ZOTERO_ITEM CSL_CITATION {"citationID":"Vd9kFWHG","properties":{"formattedCitation":"(von Kleist and Mallo 2011)","plainCitation":"(von Kleist and Mallo 2011)","noteIndex":0},"citationItems":[{"id":961,"uris":["http://zotero.org/users/1226582/items/MIV8DAGL"],"itemData":{"id":961,"type":"article-journal","container-title":"Bank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For 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FB01B7">
        <w:t>3</w:t>
      </w:r>
      <w:r w:rsidR="00FB01B7">
        <w:fldChar w:fldCharType="end"/>
      </w:r>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w:t>
      </w:r>
      <w:r w:rsidR="00AF63FA">
        <w:lastRenderedPageBreak/>
        <w:t xml:space="preserve">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proofErr w:type="gramStart"/>
      <w:r w:rsidR="007721E7">
        <w:t>legs, and</w:t>
      </w:r>
      <w:proofErr w:type="gramEnd"/>
      <w:r w:rsidR="007721E7">
        <w:t xml:space="preserve"> used the modified following </w:t>
      </w:r>
      <w:r w:rsidR="00DF452F">
        <w:t xml:space="preserve">day-count convention. </w:t>
      </w:r>
      <w:r w:rsidR="00440E83">
        <w:t xml:space="preserve">Both Canadian and US dollar denominated contracts used the ISDA master-agreement, which specifies settlement, termination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p>
    <w:p w14:paraId="16126F61" w14:textId="5642F431" w:rsidR="007E1203" w:rsidRDefault="00B91280" w:rsidP="00D459AC">
      <w:r>
        <w:rPr>
          <w:u w:val="double"/>
        </w:rPr>
        <w:t xml:space="preserve">The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5364E5">
        <w:instrText xml:space="preserve"> ADDIN ZOTERO_ITEM CSL_CITATION {"citationID":"LQftIycA","properties":{"formattedCitation":"(Bolandnazar 2020)","plainCitation":"(Bolandnazar 2020)","noteIndex":0},"citationItems":[{"id":772,"uris":["http://zotero.org/users/1226582/items/2G8VDPE5"],"itemData":{"id":772,"type":"report","abstract":"Following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5A43006" w:rsidR="002F6C5B" w:rsidRDefault="00377D40" w:rsidP="00B15828">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r w:rsidR="002F6C5B">
        <w:t xml:space="preserve">In case the risk position of the counterparty </w:t>
      </w:r>
      <w:r w:rsidR="002F6C5B">
        <w:lastRenderedPageBreak/>
        <w:t xml:space="preserve">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Since clearing members can lose their contribution to the default fund in case of the failure of a counterparty, c</w:t>
      </w:r>
      <w:r w:rsidR="00B837CA" w:rsidRPr="00377D40">
        <w:t xml:space="preserve">learing </w:t>
      </w:r>
      <w:r w:rsidR="00B837CA">
        <w:t>mutualizes counterparty risk among the members of the clearinghouse</w:t>
      </w:r>
      <w:r w:rsidR="00B837CA" w:rsidRPr="00377D40">
        <w:t>.</w:t>
      </w:r>
    </w:p>
    <w:p w14:paraId="58435568" w14:textId="5D6CDEA7"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00377D40" w:rsidRPr="00377D40">
        <w:t>.</w:t>
      </w:r>
      <w:r w:rsidR="00B837CA">
        <w:t xml:space="preserve"> Since the clearinghouse can observe the 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6B9D5BA2"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proofErr w:type="gramStart"/>
      <w:r w:rsidR="002F4ED0">
        <w:t>made:</w:t>
      </w:r>
      <w:proofErr w:type="gramEnd"/>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5F9B403" w14:textId="77777777" w:rsidR="00BF72AE" w:rsidRDefault="00BF72AE" w:rsidP="00B15828"/>
    <w:p w14:paraId="56438D5D" w14:textId="5BD8F09A" w:rsidR="00BF72AE" w:rsidRDefault="00BF72AE" w:rsidP="00BF72AE">
      <w:pPr>
        <w:pStyle w:val="Caption"/>
      </w:pPr>
      <w:r>
        <w:lastRenderedPageBreak/>
        <w:t xml:space="preserve">Figure </w:t>
      </w:r>
      <w:r>
        <w:fldChar w:fldCharType="begin"/>
      </w:r>
      <w:r>
        <w:instrText xml:space="preserve"> SEQ Figure \* ARABIC </w:instrText>
      </w:r>
      <w:r>
        <w:fldChar w:fldCharType="separate"/>
      </w:r>
      <w:r>
        <w:rPr>
          <w:noProof/>
        </w:rPr>
        <w:t>1</w:t>
      </w:r>
      <w:r>
        <w:fldChar w:fldCharType="end"/>
      </w:r>
      <w:r>
        <w:rPr>
          <w:noProof/>
        </w:rPr>
        <w:t xml:space="preserve"> (a) Example </w:t>
      </w:r>
      <w:r w:rsidR="007B359F">
        <w:rPr>
          <w:noProof/>
        </w:rPr>
        <w:t xml:space="preserve">of </w:t>
      </w:r>
      <w:r>
        <w:rPr>
          <w:noProof/>
        </w:rPr>
        <w:t xml:space="preserve">obligations </w:t>
      </w:r>
      <w:r w:rsidR="007B359F">
        <w:rPr>
          <w:noProof/>
        </w:rPr>
        <w:t xml:space="preserve">between three firms </w:t>
      </w:r>
      <w:r>
        <w:rPr>
          <w:noProof/>
        </w:rPr>
        <w:t>and (b) payments under bilateral netting and (c) payments under multilateral netting</w:t>
      </w:r>
    </w:p>
    <w:p w14:paraId="5E06E831" w14:textId="75CE52A0" w:rsidR="00BF72AE" w:rsidRDefault="00BF72AE" w:rsidP="00BF72AE">
      <w:pPr>
        <w:keepNext/>
      </w:pPr>
      <w:r>
        <w:rPr>
          <w:noProof/>
        </w:rPr>
        <w:drawing>
          <wp:inline distT="0" distB="0" distL="0" distR="0" wp14:anchorId="12F71951" wp14:editId="4E7287AD">
            <wp:extent cx="2126608" cy="1371600"/>
            <wp:effectExtent l="0" t="0" r="0" b="0"/>
            <wp:docPr id="1069911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1508" name="Graphic 106991150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26608" cy="1371600"/>
                    </a:xfrm>
                    <a:prstGeom prst="rect">
                      <a:avLst/>
                    </a:prstGeom>
                  </pic:spPr>
                </pic:pic>
              </a:graphicData>
            </a:graphic>
          </wp:inline>
        </w:drawing>
      </w:r>
      <w:r>
        <w:t>(a)</w:t>
      </w:r>
    </w:p>
    <w:p w14:paraId="5F22AD6D" w14:textId="68E3C0ED" w:rsidR="00BF72AE" w:rsidRDefault="00BF72AE" w:rsidP="00B15828">
      <w:r>
        <w:rPr>
          <w:noProof/>
        </w:rPr>
        <w:drawing>
          <wp:inline distT="0" distB="0" distL="0" distR="0" wp14:anchorId="5AB50C35" wp14:editId="16861224">
            <wp:extent cx="2126609" cy="1371600"/>
            <wp:effectExtent l="0" t="0" r="0" b="0"/>
            <wp:docPr id="19629181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816" name="Graphic 19629181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r>
        <w:t>(b)</w:t>
      </w:r>
      <w:r>
        <w:rPr>
          <w:noProof/>
        </w:rPr>
        <w:drawing>
          <wp:inline distT="0" distB="0" distL="0" distR="0" wp14:anchorId="171157A5" wp14:editId="3A06856C">
            <wp:extent cx="2126609" cy="1371600"/>
            <wp:effectExtent l="0" t="0" r="0" b="0"/>
            <wp:docPr id="6480018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1834" name="Graphic 64800183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(c)</w:t>
      </w:r>
    </w:p>
    <w:p w14:paraId="2389E1F1" w14:textId="77777777" w:rsidR="00265F4A" w:rsidRDefault="00265F4A" w:rsidP="00B15828"/>
    <w:p w14:paraId="507E50F0" w14:textId="77777777" w:rsidR="00265F4A" w:rsidRDefault="00265F4A"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lastRenderedPageBreak/>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0F0A7268"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043A819B"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DB74D5">
        <w:rPr>
          <w:noProof/>
        </w:rPr>
        <w:t>2</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proofErr w:type="gramStart"/>
            <w:r w:rsidR="00F6394F">
              <w:t>r</w:t>
            </w:r>
            <w:r>
              <w:t>equirements</w:t>
            </w:r>
            <w:proofErr w:type="gramEnd"/>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lastRenderedPageBreak/>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1ED3B7D4"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77DBE13F"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DB74D5">
        <w:rPr>
          <w:noProof/>
        </w:rPr>
        <w:t>3</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522857B3" w14:textId="77777777"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p w14:paraId="410C141C" w14:textId="77777777"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F3D0F54" w14:textId="166D961C"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3B4014C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w:t>
            </w:r>
            <w:r w:rsidR="00C538FA">
              <w:t>s</w:t>
            </w:r>
            <w:r>
              <w:t xml:space="preserve"> in 2012</w:t>
            </w:r>
            <w:r w:rsidR="0010299E">
              <w:t xml:space="preserve"> </w:t>
            </w:r>
            <w:r w:rsidR="00C538FA">
              <w:t xml:space="preserve">and </w:t>
            </w:r>
            <w:r w:rsidR="0010299E">
              <w:t>requir</w:t>
            </w:r>
            <w:r w:rsidR="00C538FA">
              <w:t>es</w:t>
            </w:r>
            <w:r w:rsidR="0010299E">
              <w:t xml:space="preserve"> clearing of </w:t>
            </w:r>
            <w:r w:rsidR="00C538FA">
              <w:t xml:space="preserve">certain </w:t>
            </w:r>
            <w:r w:rsidR="0010299E">
              <w:t>IR swaps contracts.</w:t>
            </w:r>
            <w:r w:rsidR="00781E75">
              <w:t xml:space="preserve"> Regulations come into effect in March 2013.</w:t>
            </w:r>
          </w:p>
          <w:p w14:paraId="72AD16C6" w14:textId="77777777"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r w:rsidR="007B359F">
              <w:t>.</w:t>
            </w:r>
          </w:p>
          <w:p w14:paraId="78EA7F82" w14:textId="4EDADA6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Additional currencies and classes of swaps are added to the </w:t>
            </w:r>
            <w:r w:rsidR="00C538FA">
              <w:t xml:space="preserve">EU </w:t>
            </w:r>
            <w:r>
              <w:t>clearing requirement</w:t>
            </w:r>
            <w:r w:rsidR="00C538FA">
              <w:t>s</w:t>
            </w:r>
            <w:r>
              <w:t xml:space="preserve"> in 2016.</w:t>
            </w:r>
          </w:p>
          <w:p w14:paraId="25F2959D" w14:textId="76496933"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lastRenderedPageBreak/>
              <w:t>Switzerland established a clearing mandate for Switzerland based swaps in 2017.</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lastRenderedPageBreak/>
              <w:t>Asia</w:t>
            </w:r>
          </w:p>
        </w:tc>
        <w:tc>
          <w:tcPr>
            <w:tcW w:w="3629" w:type="pct"/>
          </w:tcPr>
          <w:p w14:paraId="663D319C" w14:textId="051BA8D2"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J</w:t>
            </w:r>
            <w:r w:rsidR="00C538FA">
              <w:t xml:space="preserve">apan </w:t>
            </w:r>
            <w:r>
              <w:t>F</w:t>
            </w:r>
            <w:r w:rsidR="00C538FA">
              <w:t xml:space="preserve">inancial </w:t>
            </w:r>
            <w:r>
              <w:t>S</w:t>
            </w:r>
            <w:r w:rsidR="00C538FA">
              <w:t xml:space="preserve">tability </w:t>
            </w:r>
            <w:r>
              <w:t>A</w:t>
            </w:r>
            <w:r w:rsidR="00C538FA">
              <w:t>uthority (JFSA)</w:t>
            </w:r>
            <w:r>
              <w:t xml:space="preserve"> </w:t>
            </w:r>
            <w:r w:rsidR="001655FC">
              <w:t>requires yen denominated IR swaps referencing LIBOR to be cleared by end of 2012.</w:t>
            </w:r>
          </w:p>
          <w:p w14:paraId="431C6759" w14:textId="28EB60F9"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S</w:t>
            </w:r>
            <w:r w:rsidR="00C538FA">
              <w:t xml:space="preserve">ecurities and </w:t>
            </w:r>
            <w:r w:rsidR="0010299E">
              <w:t>F</w:t>
            </w:r>
            <w:r w:rsidR="00C538FA">
              <w:t xml:space="preserve">utures </w:t>
            </w:r>
            <w:r w:rsidR="0010299E">
              <w:t>C</w:t>
            </w:r>
            <w:r w:rsidR="00C538FA">
              <w:t>ommission (SFC)</w:t>
            </w:r>
            <w:r w:rsidR="0010299E">
              <w:t xml:space="preserve">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6B56DA9C" w14:textId="427D3FF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64D4E2CE" w14:textId="029A171E"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w:t>
            </w:r>
            <w:r w:rsidR="007B359F">
              <w:t xml:space="preserve">onetary Authority of </w:t>
            </w:r>
            <w:r>
              <w:t>S</w:t>
            </w:r>
            <w:r w:rsidR="007B359F">
              <w:t>ingapore (MAS)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p w14:paraId="0C969C89" w14:textId="0E1FBB4E"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lastRenderedPageBreak/>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24694107" w:rsidR="0034098A" w:rsidRDefault="0027378C" w:rsidP="002F4ED0">
      <w:r>
        <w:t xml:space="preserve">Floating rate payments are unknown in advance but are usually </w:t>
      </w:r>
      <w:proofErr w:type="spellStart"/>
      <w:r w:rsidR="00C538FA">
        <w:t>forecasrted</w:t>
      </w:r>
      <w:proofErr w:type="spellEnd"/>
      <w:r>
        <w:t xml:space="preserve">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5D8EAEDD">
            <wp:extent cx="4168197" cy="141528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rotWithShape="1">
                    <a:blip r:embed="rId14"/>
                    <a:srcRect b="14474"/>
                    <a:stretch/>
                  </pic:blipFill>
                  <pic:spPr bwMode="auto">
                    <a:xfrm>
                      <a:off x="0" y="0"/>
                      <a:ext cx="4209672" cy="1429364"/>
                    </a:xfrm>
                    <a:prstGeom prst="rect">
                      <a:avLst/>
                    </a:prstGeom>
                    <a:ln>
                      <a:noFill/>
                    </a:ln>
                    <a:extLst>
                      <a:ext uri="{53640926-AAD7-44D8-BBD7-CCE9431645EC}">
                        <a14:shadowObscured xmlns:a14="http://schemas.microsoft.com/office/drawing/2010/main"/>
                      </a:ext>
                    </a:extLst>
                  </pic:spPr>
                </pic:pic>
              </a:graphicData>
            </a:graphic>
          </wp:inline>
        </w:drawing>
      </w:r>
    </w:p>
    <w:p w14:paraId="66A49EA7" w14:textId="45DC8717"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C</w:t>
      </w:r>
      <w:r w:rsidR="0027378C">
        <w:t xml:space="preserve">ustomers </w:t>
      </w:r>
      <w:r w:rsidR="005A7F47">
        <w:t xml:space="preserve">can </w:t>
      </w:r>
      <w:r w:rsidR="0027378C">
        <w:t xml:space="preserve">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 xml:space="preserve">amongst themselves. However, bilateral </w:t>
      </w:r>
      <w:r w:rsidR="0027378C">
        <w:lastRenderedPageBreak/>
        <w:t>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6177876D"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5A7F47">
        <w:t>one’s</w:t>
      </w:r>
      <w:r w:rsidR="00C223E8">
        <w:t xml:space="preserve"> </w:t>
      </w:r>
      <w:r w:rsidR="0027378C">
        <w:t xml:space="preserve">counterparty </w:t>
      </w:r>
      <w:r>
        <w:t>defaults,</w:t>
      </w:r>
      <w:r w:rsidR="00AB7061">
        <w:t xml:space="preserve"> </w:t>
      </w:r>
      <w:r w:rsidR="005A7F47">
        <w:t xml:space="preserve">one </w:t>
      </w:r>
      <w:r w:rsidR="00C223E8">
        <w:t xml:space="preserve">no longer </w:t>
      </w:r>
      <w:proofErr w:type="gramStart"/>
      <w:r w:rsidR="005A7F47">
        <w:t xml:space="preserve">has </w:t>
      </w:r>
      <w:r w:rsidR="00876F18">
        <w:t>to</w:t>
      </w:r>
      <w:proofErr w:type="gramEnd"/>
      <w:r w:rsidR="00876F18">
        <w:t xml:space="preserve"> make </w:t>
      </w:r>
      <w:r w:rsidR="005A7F47">
        <w:t xml:space="preserve">his/her </w:t>
      </w:r>
      <w:r w:rsidR="00876F18">
        <w:t>obligated payments</w:t>
      </w:r>
      <w:r w:rsidR="00C223E8">
        <w:t xml:space="preserve"> </w:t>
      </w:r>
      <w:r w:rsidR="005A7F47">
        <w:t>to the other party either</w:t>
      </w:r>
      <w:r w:rsidR="00876F18">
        <w:t>, which would increase the value of the cont</w:t>
      </w:r>
      <w:r w:rsidR="00C223E8">
        <w:t>r</w:t>
      </w:r>
      <w:r w:rsidR="00876F18">
        <w:t xml:space="preserve">act, called </w:t>
      </w:r>
      <w:r w:rsidR="008F7BF3">
        <w:t xml:space="preserve">the </w:t>
      </w:r>
      <w:r w:rsidR="00876F18">
        <w:t>Debit Value Adjustment [DBA]).</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lastRenderedPageBreak/>
        <w:drawing>
          <wp:inline distT="0" distB="0" distL="0" distR="0" wp14:anchorId="3E745CB0" wp14:editId="63449F93">
            <wp:extent cx="5192178" cy="1980229"/>
            <wp:effectExtent l="0" t="0" r="2540" b="127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rotWithShape="1">
                    <a:blip r:embed="rId15"/>
                    <a:srcRect b="13376"/>
                    <a:stretch/>
                  </pic:blipFill>
                  <pic:spPr bwMode="auto">
                    <a:xfrm>
                      <a:off x="0" y="0"/>
                      <a:ext cx="5282130" cy="2014536"/>
                    </a:xfrm>
                    <a:prstGeom prst="rect">
                      <a:avLst/>
                    </a:prstGeom>
                    <a:ln>
                      <a:noFill/>
                    </a:ln>
                    <a:extLst>
                      <a:ext uri="{53640926-AAD7-44D8-BBD7-CCE9431645EC}">
                        <a14:shadowObscured xmlns:a14="http://schemas.microsoft.com/office/drawing/2010/main"/>
                      </a:ext>
                    </a:extLst>
                  </pic:spPr>
                </pic:pic>
              </a:graphicData>
            </a:graphic>
          </wp:inline>
        </w:drawing>
      </w:r>
    </w:p>
    <w:p w14:paraId="075F445A" w14:textId="419357CF" w:rsidR="00AA5AFB" w:rsidRDefault="00AA5AFB" w:rsidP="00AA5AFB">
      <w:r>
        <w:t xml:space="preserve">If </w:t>
      </w:r>
      <w:r w:rsidR="0034098A">
        <w:t>clearinghouses can</w:t>
      </w:r>
      <w:r>
        <w:t xml:space="preserve"> </w:t>
      </w:r>
      <w:r w:rsidR="0034098A">
        <w:t xml:space="preserve">reduce or eliminate counterparty risk, swaps values should be closer to the risk-free case rather than the case with counterparty risk. </w:t>
      </w:r>
      <w:r w:rsidR="00046423">
        <w:t>However, e</w:t>
      </w:r>
      <w:r w:rsidR="0034098A">
        <w:t>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378A5137"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A3DCD22"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29F443F4" w:rsidR="004F43A3" w:rsidRDefault="004F43A3" w:rsidP="00031822">
      <w:r>
        <w:lastRenderedPageBreak/>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253DCC9"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3FF36892"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FF6CFF"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1D05692D"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3A0A475"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1A4F0AB4"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w:t>
      </w:r>
      <w:r w:rsidR="004F43A3">
        <w:lastRenderedPageBreak/>
        <w:t xml:space="preserve">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3C18494F"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32CDAE2F"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172347E" w:rsidR="004F43A3" w:rsidRDefault="004F43A3" w:rsidP="00031822">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lastRenderedPageBreak/>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551FD82C"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w:t>
      </w:r>
      <w:r w:rsidR="008B5A3B">
        <w:t xml:space="preserve">observed </w:t>
      </w:r>
      <w:r>
        <w:t>fixed rate</w:t>
      </w:r>
      <w:r w:rsidR="008B5A3B">
        <w:t xml:space="preserve"> on an actual contract</w:t>
      </w:r>
      <w:r>
        <w:t xml:space="preserv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r w:rsidR="00B75FC5">
        <w:t>denominated</w:t>
      </w:r>
      <w:r w:rsidR="006D47F1">
        <w:t xml:space="preserve"> swaps acting as the control group, </w:t>
      </w:r>
      <w:r>
        <w:t xml:space="preserve">which allows </w:t>
      </w:r>
      <w:r w:rsidR="00625ECF">
        <w:t>me</w:t>
      </w:r>
      <w:r>
        <w:t xml:space="preserve"> to </w:t>
      </w:r>
      <w:r w:rsidR="008B5A3B">
        <w:t xml:space="preserve">plausibly </w:t>
      </w:r>
      <w:r>
        <w:t>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1C55AA08"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w:t>
      </w:r>
      <w:r>
        <w:lastRenderedPageBreak/>
        <w:t xml:space="preserve">groups and conducting placebo tests. Additionally, </w:t>
      </w:r>
      <w:r w:rsidR="00625ECF">
        <w:t>I</w:t>
      </w:r>
      <w:r>
        <w:t xml:space="preserve"> perform several robustness checks, such as using alternative control groups, and</w:t>
      </w:r>
      <w:r w:rsidR="004A2BFC">
        <w:t xml:space="preserve"> placebo </w:t>
      </w:r>
      <w:proofErr w:type="spellStart"/>
      <w:r w:rsidR="004A2BFC">
        <w:t>DiD</w:t>
      </w:r>
      <w:proofErr w:type="spellEnd"/>
      <w:r>
        <w:t>.</w:t>
      </w:r>
    </w:p>
    <w:p w14:paraId="05F862AB" w14:textId="75CDFCE9" w:rsidR="00CF1F18" w:rsidRDefault="00CF1F18" w:rsidP="00AB12F9">
      <w:pPr>
        <w:pStyle w:val="Heading2"/>
      </w:pPr>
      <w:r>
        <w:t>Liquidity</w:t>
      </w:r>
    </w:p>
    <w:p w14:paraId="2E09D527" w14:textId="5528C0C6" w:rsidR="00CF1F18" w:rsidRDefault="008B5A3B" w:rsidP="00031822">
      <w:r>
        <w:t>Identification strategy goes here.</w:t>
      </w:r>
    </w:p>
    <w:p w14:paraId="6BB52863" w14:textId="760D00C0" w:rsidR="005A5A35" w:rsidRDefault="005A5A35" w:rsidP="00AB12F9">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234C9367"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t>
      </w:r>
      <w:r w:rsidR="008C6991">
        <w:t xml:space="preserve">including commodity pool operators, banks and other financial institutions, </w:t>
      </w:r>
      <w:r w:rsidRPr="00935E65">
        <w:t>while Phase 3 covered all remaining entities</w:t>
      </w:r>
      <w:r w:rsidR="00544B00">
        <w:t xml:space="preserve"> (</w:t>
      </w:r>
      <w:r w:rsidRPr="00935E65">
        <w:t>unless exempted</w:t>
      </w:r>
      <w:r w:rsidR="00544B00">
        <w:t>)</w:t>
      </w:r>
      <w:r w:rsidRPr="00935E65">
        <w:t xml:space="preserve">. </w:t>
      </w:r>
      <w:r w:rsidR="008B5A3B">
        <w:t xml:space="preserve">The CFTC defined contract specifications for swaps that must be cleared. These specifications included </w:t>
      </w:r>
      <w:r w:rsidR="008B5A3B">
        <w:t>the currency (USD, GBP, EUR, JPY)</w:t>
      </w:r>
      <w:r w:rsidR="008B5A3B">
        <w:t xml:space="preserve">,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w:t>
      </w:r>
      <w:r w:rsidR="00EF7BA6">
        <w:t xml:space="preserve">including no dual currencies, no conditional notional amount and no optionality. </w:t>
      </w:r>
      <w:r w:rsidRPr="00935E65">
        <w:t xml:space="preserve">The IR swaps covered by the mandate were the largest </w:t>
      </w:r>
      <w:r w:rsidR="004A2BFC">
        <w:t>categories</w:t>
      </w:r>
      <w:r w:rsidRPr="00935E65">
        <w:t xml:space="preserve"> by volume.</w:t>
      </w:r>
    </w:p>
    <w:p w14:paraId="038FAF33" w14:textId="06AFD936"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r w:rsidR="008C6991" w:rsidRPr="0004387C">
        <w:t>ten-day</w:t>
      </w:r>
      <w:r w:rsidR="009F7AFA">
        <w:t xml:space="preserve"> </w:t>
      </w:r>
      <w:r w:rsidR="005356E2" w:rsidRPr="0004387C">
        <w:t xml:space="preserve">trading </w:t>
      </w:r>
      <w:r w:rsidR="009F7AFA">
        <w:t xml:space="preserve">window </w:t>
      </w:r>
      <w:r w:rsidR="005356E2" w:rsidRPr="0004387C">
        <w:t>before (Feb 25 – Mar 8</w:t>
      </w:r>
      <w:r w:rsidR="00D024F1">
        <w:t>, May 27 – Jun 7</w:t>
      </w:r>
      <w:r w:rsidR="008C6991">
        <w:t xml:space="preserve"> </w:t>
      </w:r>
      <w:r w:rsidR="00D024F1">
        <w:t>and Aug 26 – Sep 6</w:t>
      </w:r>
      <w:r w:rsidR="005356E2" w:rsidRPr="0004387C">
        <w:t>) and after (Mar 11 – Mar 22</w:t>
      </w:r>
      <w:r w:rsidR="00D024F1">
        <w:t>, Jun 10 – Jun</w:t>
      </w:r>
      <w:r w:rsidR="008C6991">
        <w:t xml:space="preserve"> </w:t>
      </w:r>
      <w:r w:rsidR="00D024F1">
        <w:t>21</w:t>
      </w:r>
      <w:r w:rsidR="008C6991">
        <w:t xml:space="preserve"> </w:t>
      </w:r>
      <w:r w:rsidR="00D024F1">
        <w:t xml:space="preserve">and Sep 9 </w:t>
      </w:r>
      <w:r w:rsidR="008C6991">
        <w:t xml:space="preserve">– </w:t>
      </w:r>
      <w:r w:rsidR="00D024F1">
        <w:t>Sep 20</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71DAE32C" w14:textId="77777777" w:rsidR="009F7AFA" w:rsidRDefault="005356E2" w:rsidP="00031822">
      <w:r w:rsidRPr="0004387C">
        <w:lastRenderedPageBreak/>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w:t>
      </w:r>
      <w:r w:rsidR="009F7AFA">
        <w:t xml:space="preserve">(curve __) </w:t>
      </w:r>
      <w:r w:rsidRPr="0004387C">
        <w:t>for each trading day from Bloomberg. For CAD denominated swaps, I obtain the Canadian yield curve from the Bloomberg Terminal.</w:t>
      </w:r>
    </w:p>
    <w:p w14:paraId="3A40E47D" w14:textId="389258D6" w:rsidR="008A79F1" w:rsidRPr="0004387C" w:rsidRDefault="005356E2" w:rsidP="00031822">
      <w:r w:rsidRPr="0004387C">
        <w:t xml:space="preserve">I use the </w:t>
      </w:r>
      <w:proofErr w:type="spellStart"/>
      <w:r w:rsidRPr="0004387C">
        <w:t>QuantLib</w:t>
      </w:r>
      <w:proofErr w:type="spellEnd"/>
      <w:r w:rsidRPr="0004387C">
        <w:t xml:space="preserve">-python library to construct </w:t>
      </w:r>
      <w:r w:rsidR="009F7AFA">
        <w:t xml:space="preserve">the forward </w:t>
      </w:r>
      <w:r w:rsidRPr="0004387C">
        <w:t>curve.</w:t>
      </w:r>
      <w:r w:rsidR="009F7AFA">
        <w:t xml:space="preserve"> For the USD swaps curve, the short-end (3M or less) of the curve is anchored by LIBOR rates</w:t>
      </w:r>
      <w:r w:rsidR="00AA454A">
        <w:t>;</w:t>
      </w:r>
      <w:r w:rsidR="009F7AFA">
        <w:t xml:space="preserve"> </w:t>
      </w:r>
      <w:r w:rsidR="00286E2A">
        <w:t xml:space="preserve">the </w:t>
      </w:r>
      <w:r w:rsidR="009F7AFA">
        <w:t>medium</w:t>
      </w:r>
      <w:r w:rsidR="00286E2A">
        <w:t xml:space="preserve">-end </w:t>
      </w:r>
      <w:r w:rsidR="009F7AFA">
        <w:t>(6M – 18M)</w:t>
      </w:r>
      <w:r w:rsidR="00AA454A">
        <w:t xml:space="preserve"> of </w:t>
      </w:r>
      <w:r w:rsidR="00286E2A">
        <w:t xml:space="preserve">the curve is anchored by Eurodollar </w:t>
      </w:r>
      <w:r w:rsidR="00AA454A">
        <w:t>f</w:t>
      </w:r>
      <w:r w:rsidR="00286E2A">
        <w:t>utures</w:t>
      </w:r>
      <w:r w:rsidR="00AA454A">
        <w:t xml:space="preserve">; and the </w:t>
      </w:r>
      <w:r w:rsidR="00286E2A">
        <w:t xml:space="preserve">long-end (24M onward) </w:t>
      </w:r>
      <w:r w:rsidR="00AA454A">
        <w:t xml:space="preserve">of </w:t>
      </w:r>
      <w:r w:rsidR="00286E2A">
        <w:t>the curve is anchored by US swap rates. Values between the anchor points need to be interpolated. I use piecewise linear interpolation.</w:t>
      </w:r>
    </w:p>
    <w:p w14:paraId="668A5947" w14:textId="1B00ECC0" w:rsidR="008A79F1" w:rsidRDefault="00FF211F" w:rsidP="00031822">
      <w:r w:rsidRPr="0004387C">
        <w:t xml:space="preserve">The data elements </w:t>
      </w:r>
      <w:r w:rsidR="000A7FDC">
        <w:t xml:space="preserve">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1C9EAEA7" w14:textId="763F5F40" w:rsidR="008335A2" w:rsidRDefault="00AA454A" w:rsidP="00506DDF">
      <w:r>
        <w:t xml:space="preserve">There are several limitations to the DTCC SDR dataset. Firstly, the dataset does not identify the counterparties. The identity of the counterparty (and more importantly, its </w:t>
      </w:r>
      <w:r w:rsidR="000A7FDC">
        <w:t>creditworthiness</w:t>
      </w:r>
      <w:r>
        <w:t>)</w:t>
      </w:r>
      <w:r w:rsidR="000A7FDC">
        <w:t xml:space="preserve"> </w:t>
      </w:r>
      <w:r w:rsidR="00841768">
        <w:t xml:space="preserve">could </w:t>
      </w:r>
      <w:r w:rsidR="000A7FDC">
        <w:t xml:space="preserve">have a significant impact on the </w:t>
      </w:r>
      <w:r w:rsidR="00841768">
        <w:t xml:space="preserve">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w:t>
      </w:r>
      <w:r w:rsidR="00506DDF">
        <w:t xml:space="preserve">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w:t>
      </w:r>
    </w:p>
    <w:p w14:paraId="09B924F9" w14:textId="77777777" w:rsidR="008335A2" w:rsidRDefault="008335A2" w:rsidP="00031822"/>
    <w:p w14:paraId="483511C6" w14:textId="77777777" w:rsidR="008335A2" w:rsidRDefault="008335A2" w:rsidP="00031822"/>
    <w:p w14:paraId="7240383E" w14:textId="77777777" w:rsidR="008335A2" w:rsidRDefault="008335A2" w:rsidP="00031822"/>
    <w:p w14:paraId="3D9655CF" w14:textId="77777777" w:rsidR="008335A2" w:rsidRPr="0004387C" w:rsidRDefault="008335A2" w:rsidP="00031822"/>
    <w:p w14:paraId="648FED74" w14:textId="6C90DEE5" w:rsidR="008A79F1" w:rsidRDefault="008A79F1" w:rsidP="00031822">
      <w:pPr>
        <w:pStyle w:val="Caption"/>
        <w:keepNext/>
        <w:jc w:val="center"/>
        <w:rPr>
          <w:noProof/>
          <w:color w:val="000000" w:themeColor="text1"/>
        </w:rPr>
      </w:pPr>
      <w:bookmarkStart w:id="7" w:name="_Ref92820171"/>
      <w:r w:rsidRPr="0004387C">
        <w:rPr>
          <w:color w:val="000000" w:themeColor="text1"/>
        </w:rPr>
        <w:lastRenderedPageBreak/>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DB74D5">
        <w:rPr>
          <w:noProof/>
          <w:color w:val="000000" w:themeColor="text1"/>
        </w:rPr>
        <w:t>4</w:t>
      </w:r>
      <w:r w:rsidRPr="0004387C">
        <w:rPr>
          <w:noProof/>
          <w:color w:val="000000" w:themeColor="text1"/>
        </w:rPr>
        <w:fldChar w:fldCharType="end"/>
      </w:r>
      <w:bookmarkEnd w:id="7"/>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lastRenderedPageBreak/>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lastRenderedPageBreak/>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7F1A57BC" w:rsidR="00A96B98" w:rsidRPr="0004387C" w:rsidRDefault="0006794D" w:rsidP="00031822">
      <w:pPr>
        <w:rPr>
          <w:color w:val="000000" w:themeColor="text1"/>
        </w:rPr>
      </w:pPr>
      <w:r>
        <w:rPr>
          <w:color w:val="000000" w:themeColor="text1"/>
        </w:rPr>
        <w:lastRenderedPageBreak/>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8" w:name="_Ref157719497"/>
      <w:r w:rsidRPr="00D024F1">
        <w:t>Results</w:t>
      </w:r>
      <w:bookmarkEnd w:id="8"/>
    </w:p>
    <w:p w14:paraId="6324256F" w14:textId="77777777" w:rsidR="002F3376" w:rsidRPr="0004387C" w:rsidRDefault="002F3376" w:rsidP="00AB12F9">
      <w:pPr>
        <w:pStyle w:val="Heading2"/>
      </w:pPr>
      <w:r w:rsidRPr="00D024F1">
        <w:t>Prices</w:t>
      </w:r>
    </w:p>
    <w:p w14:paraId="59B879B0" w14:textId="6782984C"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40D4D5CA"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DiD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228C6563"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w:t>
      </w:r>
      <w:r w:rsidR="0092248B">
        <w:lastRenderedPageBreak/>
        <w:t xml:space="preserve">have </w:t>
      </w:r>
      <w:proofErr w:type="gramStart"/>
      <w:r w:rsidR="0092248B">
        <w:t>had an effect on</w:t>
      </w:r>
      <w:proofErr w:type="gramEnd"/>
      <w:r w:rsidR="0092248B">
        <w:t xml:space="preserve"> perceptions of riskiness of IR swaps, but phase 2 and phase 3 results are consistent with expectations.</w:t>
      </w:r>
    </w:p>
    <w:p w14:paraId="0DECA66E" w14:textId="39EFE786" w:rsidR="00A03CBF" w:rsidRDefault="00A03CBF" w:rsidP="00031822">
      <w:pPr>
        <w:pStyle w:val="Caption"/>
        <w:keepNext/>
      </w:pPr>
      <w:bookmarkStart w:id="9" w:name="_Ref149507984"/>
      <w:r>
        <w:t xml:space="preserve">Table </w:t>
      </w:r>
      <w:r>
        <w:fldChar w:fldCharType="begin"/>
      </w:r>
      <w:r>
        <w:instrText xml:space="preserve"> SEQ Table \* ARABIC </w:instrText>
      </w:r>
      <w:r>
        <w:fldChar w:fldCharType="separate"/>
      </w:r>
      <w:r w:rsidR="00DB74D5">
        <w:rPr>
          <w:noProof/>
        </w:rPr>
        <w:t>5</w:t>
      </w:r>
      <w:r>
        <w:rPr>
          <w:noProof/>
        </w:rPr>
        <w:fldChar w:fldCharType="end"/>
      </w:r>
      <w:bookmarkEnd w:id="9"/>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73E08939" w:rsidR="004050F2" w:rsidRDefault="004050F2" w:rsidP="00031822">
      <w:pPr>
        <w:pStyle w:val="Caption"/>
        <w:keepNext/>
      </w:pPr>
      <w:bookmarkStart w:id="10" w:name="_Ref149509644"/>
      <w:r>
        <w:lastRenderedPageBreak/>
        <w:t xml:space="preserve">Table </w:t>
      </w:r>
      <w:r>
        <w:fldChar w:fldCharType="begin"/>
      </w:r>
      <w:r>
        <w:instrText xml:space="preserve"> SEQ Table \* ARABIC </w:instrText>
      </w:r>
      <w:r>
        <w:fldChar w:fldCharType="separate"/>
      </w:r>
      <w:r w:rsidR="00DB74D5">
        <w:rPr>
          <w:noProof/>
        </w:rPr>
        <w:t>6</w:t>
      </w:r>
      <w:r>
        <w:rPr>
          <w:noProof/>
        </w:rPr>
        <w:fldChar w:fldCharType="end"/>
      </w:r>
      <w:bookmarkEnd w:id="10"/>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9C0453">
      <w:pPr>
        <w:pStyle w:val="Heading1"/>
        <w:numPr>
          <w:ilvl w:val="0"/>
          <w:numId w:val="33"/>
        </w:numPr>
      </w:pPr>
      <w:bookmarkStart w:id="11" w:name="_Ref157719507"/>
      <w:r>
        <w:t>Conclusion</w:t>
      </w:r>
      <w:bookmarkEnd w:id="11"/>
    </w:p>
    <w:sectPr w:rsidR="00A96B98" w:rsidRPr="00A96B98">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81D41" w14:textId="77777777" w:rsidR="006C1963" w:rsidRDefault="006C1963" w:rsidP="00633D5C">
      <w:r>
        <w:separator/>
      </w:r>
    </w:p>
  </w:endnote>
  <w:endnote w:type="continuationSeparator" w:id="0">
    <w:p w14:paraId="6903CA80" w14:textId="77777777" w:rsidR="006C1963" w:rsidRDefault="006C1963" w:rsidP="00633D5C">
      <w:r>
        <w:continuationSeparator/>
      </w:r>
    </w:p>
  </w:endnote>
  <w:endnote w:type="continuationNotice" w:id="1">
    <w:p w14:paraId="2E7E0C77" w14:textId="77777777" w:rsidR="006C1963" w:rsidRDefault="006C1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7D01" w14:textId="77777777" w:rsidR="006C1963" w:rsidRDefault="006C1963" w:rsidP="00633D5C">
      <w:r>
        <w:separator/>
      </w:r>
    </w:p>
  </w:footnote>
  <w:footnote w:type="continuationSeparator" w:id="0">
    <w:p w14:paraId="0CA1A170" w14:textId="77777777" w:rsidR="006C1963" w:rsidRDefault="006C1963" w:rsidP="00633D5C">
      <w:r>
        <w:continuationSeparator/>
      </w:r>
    </w:p>
  </w:footnote>
  <w:footnote w:type="continuationNotice" w:id="1">
    <w:p w14:paraId="324919B1" w14:textId="77777777" w:rsidR="006C1963" w:rsidRDefault="006C19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8"/>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46423"/>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A7FDC"/>
    <w:rsid w:val="000B5142"/>
    <w:rsid w:val="000B7B5D"/>
    <w:rsid w:val="000C07B7"/>
    <w:rsid w:val="000C5086"/>
    <w:rsid w:val="000C584E"/>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B775F"/>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4488"/>
    <w:rsid w:val="002853F0"/>
    <w:rsid w:val="00286E2A"/>
    <w:rsid w:val="00290667"/>
    <w:rsid w:val="00290E18"/>
    <w:rsid w:val="00293578"/>
    <w:rsid w:val="002938B2"/>
    <w:rsid w:val="002B03E9"/>
    <w:rsid w:val="002B63F1"/>
    <w:rsid w:val="002C58F6"/>
    <w:rsid w:val="002C726E"/>
    <w:rsid w:val="002D4411"/>
    <w:rsid w:val="002D4CD7"/>
    <w:rsid w:val="002E0CE1"/>
    <w:rsid w:val="002F3376"/>
    <w:rsid w:val="002F4ED0"/>
    <w:rsid w:val="002F6C5B"/>
    <w:rsid w:val="00301A1C"/>
    <w:rsid w:val="00305FCA"/>
    <w:rsid w:val="0031486E"/>
    <w:rsid w:val="00320206"/>
    <w:rsid w:val="003314C1"/>
    <w:rsid w:val="00336313"/>
    <w:rsid w:val="0034098A"/>
    <w:rsid w:val="00343A08"/>
    <w:rsid w:val="003520EC"/>
    <w:rsid w:val="00357E12"/>
    <w:rsid w:val="00362ED7"/>
    <w:rsid w:val="00366CA0"/>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903"/>
    <w:rsid w:val="00487EF1"/>
    <w:rsid w:val="004A2BFC"/>
    <w:rsid w:val="004C093C"/>
    <w:rsid w:val="004C1AD0"/>
    <w:rsid w:val="004D2D2D"/>
    <w:rsid w:val="004D458D"/>
    <w:rsid w:val="004E5AEE"/>
    <w:rsid w:val="004F0BE2"/>
    <w:rsid w:val="004F43A3"/>
    <w:rsid w:val="00502B0A"/>
    <w:rsid w:val="00506DDF"/>
    <w:rsid w:val="00525BB3"/>
    <w:rsid w:val="005356E2"/>
    <w:rsid w:val="005364E5"/>
    <w:rsid w:val="00540C73"/>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A7F47"/>
    <w:rsid w:val="005C11C0"/>
    <w:rsid w:val="005D43C4"/>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1C67"/>
    <w:rsid w:val="006722D1"/>
    <w:rsid w:val="006738CB"/>
    <w:rsid w:val="00674BB7"/>
    <w:rsid w:val="006875A1"/>
    <w:rsid w:val="0069541B"/>
    <w:rsid w:val="006A345A"/>
    <w:rsid w:val="006B6124"/>
    <w:rsid w:val="006C0D52"/>
    <w:rsid w:val="006C1963"/>
    <w:rsid w:val="006C395A"/>
    <w:rsid w:val="006D47F1"/>
    <w:rsid w:val="006E06F9"/>
    <w:rsid w:val="006E44BE"/>
    <w:rsid w:val="006F1F0C"/>
    <w:rsid w:val="00700348"/>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B359F"/>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1AC5"/>
    <w:rsid w:val="00827924"/>
    <w:rsid w:val="008335A2"/>
    <w:rsid w:val="00834DE5"/>
    <w:rsid w:val="00836236"/>
    <w:rsid w:val="00841768"/>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5A3B"/>
    <w:rsid w:val="008B7733"/>
    <w:rsid w:val="008C2ACA"/>
    <w:rsid w:val="008C32AF"/>
    <w:rsid w:val="008C6991"/>
    <w:rsid w:val="008C6CD4"/>
    <w:rsid w:val="008D1C73"/>
    <w:rsid w:val="008D236F"/>
    <w:rsid w:val="008E3043"/>
    <w:rsid w:val="008E38DA"/>
    <w:rsid w:val="008E6500"/>
    <w:rsid w:val="008F79E0"/>
    <w:rsid w:val="008F7BF3"/>
    <w:rsid w:val="00905428"/>
    <w:rsid w:val="00914E91"/>
    <w:rsid w:val="009150D9"/>
    <w:rsid w:val="0092248B"/>
    <w:rsid w:val="00935B7D"/>
    <w:rsid w:val="00935E65"/>
    <w:rsid w:val="00936FB0"/>
    <w:rsid w:val="00941B60"/>
    <w:rsid w:val="0095406B"/>
    <w:rsid w:val="009561B4"/>
    <w:rsid w:val="00956D41"/>
    <w:rsid w:val="00962018"/>
    <w:rsid w:val="00974463"/>
    <w:rsid w:val="00981EFF"/>
    <w:rsid w:val="00991610"/>
    <w:rsid w:val="009A69FA"/>
    <w:rsid w:val="009A7D6A"/>
    <w:rsid w:val="009B3B11"/>
    <w:rsid w:val="009C0453"/>
    <w:rsid w:val="009C1462"/>
    <w:rsid w:val="009C4761"/>
    <w:rsid w:val="009C7A56"/>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54A"/>
    <w:rsid w:val="00AA4B78"/>
    <w:rsid w:val="00AA5AFB"/>
    <w:rsid w:val="00AA717C"/>
    <w:rsid w:val="00AB12F9"/>
    <w:rsid w:val="00AB38FA"/>
    <w:rsid w:val="00AB7061"/>
    <w:rsid w:val="00AC06CC"/>
    <w:rsid w:val="00AE15AA"/>
    <w:rsid w:val="00AE5664"/>
    <w:rsid w:val="00AE5AFF"/>
    <w:rsid w:val="00AF1FA3"/>
    <w:rsid w:val="00AF63FA"/>
    <w:rsid w:val="00B0289A"/>
    <w:rsid w:val="00B1262B"/>
    <w:rsid w:val="00B13BAB"/>
    <w:rsid w:val="00B15828"/>
    <w:rsid w:val="00B3359E"/>
    <w:rsid w:val="00B44C24"/>
    <w:rsid w:val="00B54FB7"/>
    <w:rsid w:val="00B75FC5"/>
    <w:rsid w:val="00B83199"/>
    <w:rsid w:val="00B837CA"/>
    <w:rsid w:val="00B86FA9"/>
    <w:rsid w:val="00B91280"/>
    <w:rsid w:val="00B92576"/>
    <w:rsid w:val="00B92B7B"/>
    <w:rsid w:val="00B9520A"/>
    <w:rsid w:val="00BA0B5F"/>
    <w:rsid w:val="00BA0BB3"/>
    <w:rsid w:val="00BA72D6"/>
    <w:rsid w:val="00BB0ACE"/>
    <w:rsid w:val="00BB66F3"/>
    <w:rsid w:val="00BC008A"/>
    <w:rsid w:val="00BC5B75"/>
    <w:rsid w:val="00BD12A4"/>
    <w:rsid w:val="00BD52BB"/>
    <w:rsid w:val="00BE1A00"/>
    <w:rsid w:val="00BF5982"/>
    <w:rsid w:val="00BF6365"/>
    <w:rsid w:val="00BF72AE"/>
    <w:rsid w:val="00C06844"/>
    <w:rsid w:val="00C106ED"/>
    <w:rsid w:val="00C142C4"/>
    <w:rsid w:val="00C16C25"/>
    <w:rsid w:val="00C20541"/>
    <w:rsid w:val="00C223E8"/>
    <w:rsid w:val="00C2255E"/>
    <w:rsid w:val="00C3286E"/>
    <w:rsid w:val="00C32ED2"/>
    <w:rsid w:val="00C363CC"/>
    <w:rsid w:val="00C45CCE"/>
    <w:rsid w:val="00C519BF"/>
    <w:rsid w:val="00C527DB"/>
    <w:rsid w:val="00C538FA"/>
    <w:rsid w:val="00C57E03"/>
    <w:rsid w:val="00C63A02"/>
    <w:rsid w:val="00C64F72"/>
    <w:rsid w:val="00C651D2"/>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EF7BA6"/>
    <w:rsid w:val="00F040B1"/>
    <w:rsid w:val="00F15E32"/>
    <w:rsid w:val="00F27E22"/>
    <w:rsid w:val="00F458EF"/>
    <w:rsid w:val="00F57F30"/>
    <w:rsid w:val="00F6394F"/>
    <w:rsid w:val="00F71C54"/>
    <w:rsid w:val="00F872C2"/>
    <w:rsid w:val="00FB01B7"/>
    <w:rsid w:val="00FB04CE"/>
    <w:rsid w:val="00FC644E"/>
    <w:rsid w:val="00FD4074"/>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2AE"/>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BF72AE"/>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BF72AE"/>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BF72AE"/>
    <w:pPr>
      <w:spacing w:before="260"/>
      <w:ind w:firstLine="0"/>
      <w:outlineLvl w:val="2"/>
    </w:pPr>
    <w:rPr>
      <w:rFonts w:eastAsia="Times New Roman"/>
      <w:bCs/>
    </w:rPr>
  </w:style>
  <w:style w:type="paragraph" w:styleId="Heading4">
    <w:name w:val="heading 4"/>
    <w:basedOn w:val="Normal"/>
    <w:next w:val="Normal"/>
    <w:link w:val="Heading4Char"/>
    <w:qFormat/>
    <w:rsid w:val="00BF72AE"/>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BF72A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BF72AE"/>
  </w:style>
  <w:style w:type="character" w:customStyle="1" w:styleId="Heading2Char">
    <w:name w:val="Heading 2 Char"/>
    <w:basedOn w:val="DefaultParagraphFont"/>
    <w:link w:val="Heading2"/>
    <w:rsid w:val="00BF72AE"/>
    <w:rPr>
      <w:rFonts w:ascii="Times New Roman" w:eastAsia="Times New Roman" w:hAnsi="Times New Roman"/>
      <w:bCs/>
      <w:i/>
      <w:color w:val="000000"/>
      <w:sz w:val="24"/>
      <w:szCs w:val="26"/>
      <w:lang w:bidi="ar-SA"/>
    </w:rPr>
  </w:style>
  <w:style w:type="paragraph" w:styleId="Title">
    <w:name w:val="Title"/>
    <w:next w:val="Author"/>
    <w:link w:val="TitleChar"/>
    <w:qFormat/>
    <w:rsid w:val="00BF72AE"/>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BF72AE"/>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BF72AE"/>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BF72AE"/>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BF72AE"/>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BF72AE"/>
    <w:pPr>
      <w:spacing w:line="180" w:lineRule="atLeast"/>
    </w:pPr>
    <w:rPr>
      <w:sz w:val="16"/>
    </w:rPr>
  </w:style>
  <w:style w:type="character" w:customStyle="1" w:styleId="FootnoteTextChar">
    <w:name w:val="Footnote Text Char"/>
    <w:basedOn w:val="DefaultParagraphFont"/>
    <w:link w:val="FootnoteText"/>
    <w:semiHidden/>
    <w:rsid w:val="00BF72AE"/>
    <w:rPr>
      <w:rFonts w:ascii="Times New Roman" w:eastAsia="Calisto MT" w:hAnsi="Times New Roman"/>
      <w:sz w:val="16"/>
      <w:szCs w:val="24"/>
      <w:lang w:bidi="ar-SA"/>
    </w:rPr>
  </w:style>
  <w:style w:type="character" w:styleId="FootnoteReference">
    <w:name w:val="footnote reference"/>
    <w:basedOn w:val="DefaultParagraphFont"/>
    <w:semiHidden/>
    <w:rsid w:val="00BF72AE"/>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BF72AE"/>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BF72AE"/>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BF72AE"/>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BF72AE"/>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BF72AE"/>
    <w:pPr>
      <w:ind w:firstLine="0"/>
    </w:pPr>
  </w:style>
  <w:style w:type="paragraph" w:customStyle="1" w:styleId="Contact">
    <w:name w:val="Contact"/>
    <w:next w:val="Normal"/>
    <w:rsid w:val="00BF72AE"/>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BF72AE"/>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BF72AE"/>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BF72AE"/>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BF72AE"/>
    <w:pPr>
      <w:spacing w:after="120"/>
      <w:ind w:left="720" w:right="720" w:firstLine="0"/>
      <w:jc w:val="right"/>
    </w:pPr>
  </w:style>
  <w:style w:type="paragraph" w:customStyle="1" w:styleId="FigureTitle">
    <w:name w:val="Figure Title"/>
    <w:next w:val="Normal"/>
    <w:rsid w:val="00BF72AE"/>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BF72AE"/>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BF72AE"/>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BF72AE"/>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BF72AE"/>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BF72AE"/>
    <w:pPr>
      <w:numPr>
        <w:numId w:val="27"/>
      </w:numPr>
      <w:contextualSpacing/>
    </w:pPr>
  </w:style>
  <w:style w:type="paragraph" w:styleId="ListNumber">
    <w:name w:val="List Number"/>
    <w:basedOn w:val="Normal"/>
    <w:next w:val="Normal"/>
    <w:rsid w:val="00BF72AE"/>
    <w:pPr>
      <w:numPr>
        <w:numId w:val="28"/>
      </w:numPr>
      <w:tabs>
        <w:tab w:val="clear" w:pos="1195"/>
      </w:tabs>
      <w:spacing w:after="260"/>
      <w:ind w:left="1555" w:hanging="720"/>
    </w:pPr>
  </w:style>
  <w:style w:type="paragraph" w:customStyle="1" w:styleId="FigurePlaceholder">
    <w:name w:val="Figure Placeholder"/>
    <w:basedOn w:val="Normal"/>
    <w:next w:val="Normal"/>
    <w:qFormat/>
    <w:rsid w:val="00BF72AE"/>
    <w:pPr>
      <w:spacing w:before="260" w:after="260"/>
      <w:jc w:val="center"/>
    </w:pPr>
  </w:style>
  <w:style w:type="character" w:customStyle="1" w:styleId="TableFootLetter">
    <w:name w:val="Table FootLetter"/>
    <w:basedOn w:val="DefaultParagraphFont"/>
    <w:rsid w:val="00BF72AE"/>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BF72AE"/>
  </w:style>
  <w:style w:type="paragraph" w:customStyle="1" w:styleId="TablePlaceholder">
    <w:name w:val="Table Placeholder"/>
    <w:basedOn w:val="FigurePlaceholder"/>
    <w:next w:val="NoParagraphStyle"/>
    <w:qFormat/>
    <w:rsid w:val="00BF72AE"/>
  </w:style>
  <w:style w:type="paragraph" w:styleId="DocumentMap">
    <w:name w:val="Document Map"/>
    <w:basedOn w:val="Normal"/>
    <w:link w:val="DocumentMapChar"/>
    <w:uiPriority w:val="99"/>
    <w:semiHidden/>
    <w:rsid w:val="00BF72AE"/>
    <w:rPr>
      <w:rFonts w:ascii="Lucida Grande" w:hAnsi="Lucida Grande"/>
    </w:rPr>
  </w:style>
  <w:style w:type="character" w:customStyle="1" w:styleId="DocumentMapChar">
    <w:name w:val="Document Map Char"/>
    <w:basedOn w:val="DefaultParagraphFont"/>
    <w:link w:val="DocumentMap"/>
    <w:uiPriority w:val="99"/>
    <w:semiHidden/>
    <w:rsid w:val="00BF72AE"/>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BF72AE"/>
    <w:rPr>
      <w:sz w:val="18"/>
      <w:szCs w:val="18"/>
    </w:rPr>
  </w:style>
  <w:style w:type="paragraph" w:styleId="CommentText">
    <w:name w:val="annotation text"/>
    <w:basedOn w:val="Normal"/>
    <w:link w:val="CommentTextChar"/>
    <w:uiPriority w:val="99"/>
    <w:semiHidden/>
    <w:rsid w:val="00BF72AE"/>
  </w:style>
  <w:style w:type="character" w:customStyle="1" w:styleId="CommentTextChar">
    <w:name w:val="Comment Text Char"/>
    <w:basedOn w:val="DefaultParagraphFont"/>
    <w:link w:val="CommentText"/>
    <w:uiPriority w:val="99"/>
    <w:semiHidden/>
    <w:rsid w:val="00BF72AE"/>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BF72AE"/>
    <w:rPr>
      <w:b/>
      <w:bCs/>
      <w:sz w:val="20"/>
      <w:szCs w:val="20"/>
    </w:rPr>
  </w:style>
  <w:style w:type="character" w:customStyle="1" w:styleId="CommentSubjectChar">
    <w:name w:val="Comment Subject Char"/>
    <w:basedOn w:val="CommentTextChar"/>
    <w:link w:val="CommentSubject"/>
    <w:uiPriority w:val="99"/>
    <w:semiHidden/>
    <w:rsid w:val="00BF72AE"/>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BF72A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F72AE"/>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3511</TotalTime>
  <Pages>1</Pages>
  <Words>6618</Words>
  <Characters>37728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54</cp:revision>
  <dcterms:created xsi:type="dcterms:W3CDTF">2023-12-09T16:13:00Z</dcterms:created>
  <dcterms:modified xsi:type="dcterms:W3CDTF">2024-02-26T16:24:00Z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id="XcmiNkSc"/&gt;&lt;style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