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67AC8D6"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49F1C679"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identifies the causal impact of the regulation on pricing, </w:t>
      </w:r>
      <w:r w:rsidR="00A81AE5">
        <w:t xml:space="preserve">liquidity and </w:t>
      </w:r>
      <w:r w:rsidRPr="000A41CF">
        <w:t>price volatility in the IR swaps market.</w:t>
      </w:r>
    </w:p>
    <w:p w14:paraId="76BA511D" w14:textId="2860945B"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develops the theory of pricing, price volatility and liquidity for interest rate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240BBDA4"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w:t>
      </w:r>
      <w:r w:rsidR="00DE61E9">
        <w:t xml:space="preserve"> </w:t>
      </w:r>
      <w:r w:rsidRPr="005A0C96">
        <w:t>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w:t>
      </w:r>
      <w:r w:rsidR="0095406B">
        <w:t>LIBOR</w:t>
      </w:r>
      <w:r w:rsidR="0095406B">
        <w:t xml:space="preserve">,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such as variable rate notes,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126F61" w14:textId="0C59CCE9" w:rsidR="007E1203" w:rsidRDefault="00161437" w:rsidP="00E70534">
      <w:r w:rsidRPr="00161437">
        <w:t>IR swaps are usually bespoke contracts, customizable to individual needs. As the largest over-the-counter swaps market, it accounted for $500 trillion of the $650 trillion global OTC swaps market in 2010 (BIS, 2011). Contracts are available in multiple currencies, with specific market conventions for each.</w:t>
      </w:r>
      <w:r w:rsidR="00E70534">
        <w:t xml:space="preserve">  </w:t>
      </w:r>
      <w:r w:rsidR="007E6044" w:rsidRPr="007E6044">
        <w:t xml:space="preserve">The market is dealer-dominated, with dealer-customer and dealer-dealer trades accounting for 80% of notional value. Very few transactions occur </w:t>
      </w:r>
      <w:r w:rsidR="009561B4">
        <w:t>customer to customer</w:t>
      </w:r>
      <w:r w:rsidR="007E6044" w:rsidRPr="007E6044">
        <w:t xml:space="preserve">. </w:t>
      </w:r>
      <w:proofErr w:type="spellStart"/>
      <w:r w:rsidR="007E6044" w:rsidRPr="007E6044">
        <w:t>Bolandnazar</w:t>
      </w:r>
      <w:proofErr w:type="spellEnd"/>
      <w:r w:rsidR="007E6044" w:rsidRPr="007E6044">
        <w:t xml:space="preserve"> (2020) found that 50% of trades (by notional value) are executed by the largest seven dealers, indicating market concentration among a few dealers. This concentration can impact pricing due to the market power of large dealers and affect market stability, as the failure of a large dealer or its counterparties can easily propagate through the system.</w:t>
      </w:r>
    </w:p>
    <w:p w14:paraId="4CDB6FA5" w14:textId="1A2BA8EC" w:rsidR="00DC42EB" w:rsidRDefault="00DC42EB" w:rsidP="00AB12F9">
      <w:pPr>
        <w:pStyle w:val="Heading2"/>
      </w:pPr>
      <w:r>
        <w:lastRenderedPageBreak/>
        <w:t>Central Clearing</w:t>
      </w:r>
    </w:p>
    <w:p w14:paraId="0F4926E4" w14:textId="43084735" w:rsidR="0057724B" w:rsidRDefault="00377D40" w:rsidP="00031822">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Pr="00377D40">
        <w:t>Clearinghouses</w:t>
      </w:r>
      <w:r w:rsidR="007475B0">
        <w:t xml:space="preserve"> are</w:t>
      </w:r>
      <w:r w:rsidRPr="00377D40">
        <w:t xml:space="preserve"> large financial institutions </w:t>
      </w:r>
      <w:r w:rsidR="00C106ED">
        <w:t>that</w:t>
      </w:r>
      <w:r w:rsidR="007475B0">
        <w:t xml:space="preserve"> are supposed to exercise </w:t>
      </w:r>
      <w:r w:rsidRPr="00377D40">
        <w:t>prudent risk control measures</w:t>
      </w:r>
      <w:r w:rsidR="001C74A9">
        <w:t>,</w:t>
      </w:r>
      <w:r w:rsidR="007475B0">
        <w:t xml:space="preserve"> </w:t>
      </w:r>
      <w:r w:rsidR="00C106ED">
        <w:t xml:space="preserve">thereby </w:t>
      </w:r>
      <w:r w:rsidR="001C74A9">
        <w:t>lowering</w:t>
      </w:r>
      <w:r w:rsidR="00C758C6">
        <w:t xml:space="preserve"> risks</w:t>
      </w:r>
      <w:r w:rsidR="001C74A9">
        <w:t xml:space="preserve"> and mitigating consequences</w:t>
      </w:r>
      <w:r w:rsidR="00C758C6">
        <w:t xml:space="preserve"> if one party defaults</w:t>
      </w:r>
      <w:r w:rsidR="00C106ED">
        <w:t xml:space="preserve"> on their contractual obligations (counterparty risk)</w:t>
      </w:r>
      <w:r w:rsidRPr="00377D40">
        <w:t>. Clearing transforms trading by mutualizing counterparty risk, enabling netting to reduce collateral demand, and potentially reducing volatility caused by bank runs.</w:t>
      </w:r>
    </w:p>
    <w:p w14:paraId="0465A065" w14:textId="6C157EBB" w:rsidR="0057724B" w:rsidRDefault="0025043C" w:rsidP="00031822">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p>
    <w:p w14:paraId="3D23A101" w14:textId="4277121F" w:rsidR="00DC42EB" w:rsidRDefault="00B92576" w:rsidP="00031822">
      <w:r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78A0E963" w:rsidR="00BF6365" w:rsidRDefault="0086750E" w:rsidP="00031822">
      <w:r w:rsidRPr="0086750E">
        <w:t xml:space="preserve">Following the financial crisis, Congress passed the DFA to enhance the US financial system's reliability. Since </w:t>
      </w:r>
      <w:proofErr w:type="gramStart"/>
      <w:r w:rsidR="00C519BF">
        <w:t>over-the-counter</w:t>
      </w:r>
      <w:proofErr w:type="gramEnd"/>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w:t>
      </w:r>
      <w:r w:rsidRPr="0086750E">
        <w:lastRenderedPageBreak/>
        <w:t>characteristics, and mandating confidential trade data reporting to swaps data repositories and regulators.</w:t>
      </w:r>
    </w:p>
    <w:p w14:paraId="384F3128" w14:textId="5A00BB6A"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381A4D">
        <w:t xml:space="preserve">,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1F4FDEDF"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4050F2">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5DEA85A5"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The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while the Bank of England 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424910BC"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4050F2">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4F3D0F54" w14:textId="267C561C"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2929F1F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passed in 2012</w:t>
            </w:r>
            <w:r w:rsidR="0010299E">
              <w:t xml:space="preserve"> requiring clearing of IR swaps contracts.</w:t>
            </w:r>
            <w:r w:rsidR="00781E75">
              <w:t xml:space="preserve">  Regulations come into effect in March 2013.</w:t>
            </w:r>
          </w:p>
          <w:p w14:paraId="25F2959D" w14:textId="6CAFA258"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684126DA"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JFSA </w:t>
            </w:r>
            <w:r w:rsidR="001655FC">
              <w:t>requires yen denominated IR swaps referencing LIBOR to be cleared by end of 2012.</w:t>
            </w:r>
          </w:p>
          <w:p w14:paraId="431C6759" w14:textId="602ED0DF"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 xml:space="preserve">SFC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0201350B"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lastRenderedPageBreak/>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53BA6994" w14:textId="35BB564B" w:rsidR="0027378C" w:rsidRDefault="0027378C" w:rsidP="0010299E">
      <w:r>
        <w:t xml:space="preserve">Floating rate payments are unknown in advance but are usually determined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assumed payments,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2FBA13D4" w14:textId="77777777" w:rsidR="0034098A" w:rsidRDefault="0034098A" w:rsidP="0010299E"/>
    <w:p w14:paraId="31712FFA" w14:textId="34461CD4" w:rsidR="0027378C" w:rsidRDefault="0027378C" w:rsidP="0034098A">
      <w:pPr>
        <w:pStyle w:val="Heading3"/>
      </w:pPr>
      <w:r>
        <w:lastRenderedPageBreak/>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00CCB97A"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 xml:space="preserve"> C</w:t>
      </w:r>
      <w:r w:rsidR="0027378C">
        <w:t xml:space="preserve">ustomers might 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68AC16EF" w14:textId="77777777" w:rsidR="00AB7061" w:rsidRDefault="0027378C" w:rsidP="00031822">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p>
    <w:p w14:paraId="54674BC0" w14:textId="2E64B623" w:rsidR="0027378C" w:rsidRDefault="0027378C" w:rsidP="00031822">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5AC8A803"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f a</w:t>
      </w:r>
      <w:r w:rsidR="0027378C">
        <w:t xml:space="preserve"> counterparty </w:t>
      </w:r>
      <w:r>
        <w:t>defaults,</w:t>
      </w:r>
      <w:r w:rsidR="00AB7061">
        <w:t xml:space="preserve"> </w:t>
      </w:r>
      <w:r w:rsidR="00876F18">
        <w:t>this means that the party also does not have to make its obligated payments, which would increase the value of the contact, called a Debit Value Adjustment [DBA]).</w:t>
      </w:r>
    </w:p>
    <w:p w14:paraId="474B1A55" w14:textId="77777777" w:rsidR="0027378C" w:rsidRDefault="0027378C" w:rsidP="0034098A">
      <w:pPr>
        <w:pStyle w:val="Heading3"/>
      </w:pPr>
      <w:r>
        <w:lastRenderedPageBreak/>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075F445A" w14:textId="6C42BE0B" w:rsidR="00AA5AFB" w:rsidRDefault="00AA5AFB" w:rsidP="00AA5AFB">
      <w:r>
        <w:t xml:space="preserve">If </w:t>
      </w:r>
      <w:r w:rsidR="0034098A">
        <w:t>clearinghouses can</w:t>
      </w:r>
      <w:r>
        <w:t xml:space="preserve"> </w:t>
      </w:r>
      <w:r w:rsidR="0034098A">
        <w:t>reduce or eliminate counterparty risk, swaps values should be closer to the risk-free case rather than the case with counterparty risk.  Even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454EFC3A"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w:t>
      </w:r>
      <w:r>
        <w:lastRenderedPageBreak/>
        <w:t xml:space="preserve">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7BB3AFB"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0085EDFD"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4546F3ED"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25F6AD85"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4EC83E9B"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531BB510"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218A799"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0B1B5422"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77777777" w:rsidR="004F43A3" w:rsidRDefault="004F43A3" w:rsidP="00031822">
      <w:pPr>
        <w:rPr>
          <w:rFonts w:eastAsiaTheme="minorEastAsia"/>
        </w:rPr>
      </w:pPr>
      <w:r>
        <w:lastRenderedPageBreak/>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514BB9A0"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 xml:space="preserve">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w:t>
      </w:r>
      <w:r>
        <w:lastRenderedPageBreak/>
        <w:t>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364FD215" w:rsidR="00EF140B" w:rsidRDefault="00EF140B" w:rsidP="00031822">
      <w:r>
        <w:t xml:space="preserve">I investigate the impact of the central clearing mandate on the interest rate swap prices by comparing the premium (the difference between the </w:t>
      </w:r>
      <w:r w:rsidR="008335A2">
        <w:t xml:space="preserve">counterparty riskless rate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actual quoted fixed rate) on USD denominated swaps versus CAD denominated swaps before and after the mandate. To achieve this, </w:t>
      </w:r>
      <w:r w:rsidR="00625ECF">
        <w:t>I</w:t>
      </w:r>
      <w:r>
        <w:t xml:space="preserve"> employ a difference-in-differences (</w:t>
      </w:r>
      <w:proofErr w:type="spellStart"/>
      <w:r>
        <w:t>DiD</w:t>
      </w:r>
      <w:proofErr w:type="spellEnd"/>
      <w:r>
        <w:t xml:space="preserve">) identification strategy, which allows </w:t>
      </w:r>
      <w:r w:rsidR="00625ECF">
        <w:t>me</w:t>
      </w:r>
      <w:r>
        <w:t xml:space="preserve"> to isolate the causal effect of the mandate on the swap premiums by exploiting the variation in the timing of the policy implementation.</w:t>
      </w:r>
    </w:p>
    <w:p w14:paraId="6300DB0E" w14:textId="4790EC31" w:rsidR="00EF140B" w:rsidRDefault="00625ECF" w:rsidP="008335A2">
      <w:r>
        <w:t xml:space="preserve">I </w:t>
      </w:r>
      <w:r w:rsidR="00EF140B">
        <w:t xml:space="preserve">begin by selecting a sample of interest rate swaps denominated in both USD and CAD with similar characteristics, such as contract maturity, </w:t>
      </w:r>
      <w:r w:rsidR="008335A2">
        <w:t xml:space="preserve">trade date and time, and notional value </w:t>
      </w:r>
      <w:r w:rsidR="00EF140B">
        <w:t xml:space="preserve">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lastRenderedPageBreak/>
        <w:t>I</w:t>
      </w:r>
      <w:r w:rsidR="00EF140B">
        <w:t xml:space="preserve"> can 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AB12F9">
      <w:pPr>
        <w:pStyle w:val="Heading2"/>
      </w:pPr>
      <w:r>
        <w:t>Liquidity</w:t>
      </w:r>
    </w:p>
    <w:p w14:paraId="2E09D527" w14:textId="239CD6BD" w:rsidR="00CF1F18" w:rsidRDefault="00CF1F18" w:rsidP="00031822">
      <w:r>
        <w:t>Identification of liquidity strategy goes here.</w:t>
      </w:r>
    </w:p>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31C3F567" w:rsidR="008A79F1" w:rsidRDefault="00935E65" w:rsidP="00031822">
      <w:r w:rsidRPr="00935E65">
        <w:t>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60FC76D5" w:rsidR="008A79F1" w:rsidRPr="0004387C" w:rsidRDefault="0004387C" w:rsidP="00031822">
      <w:r>
        <w:lastRenderedPageBreak/>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xml:space="preserve">, May 27, 2013 – June 7, </w:t>
      </w:r>
      <w:proofErr w:type="gramStart"/>
      <w:r w:rsidR="00D024F1">
        <w:t>2013</w:t>
      </w:r>
      <w:proofErr w:type="gramEnd"/>
      <w:r w:rsidR="00D024F1">
        <w:t xml:space="preserve">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3A40E47D" w14:textId="653F310C" w:rsidR="008A79F1" w:rsidRPr="0004387C"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558F66C1" w14:textId="77777777" w:rsidR="008335A2" w:rsidRDefault="008335A2" w:rsidP="00031822"/>
    <w:p w14:paraId="512538F6" w14:textId="77777777" w:rsidR="008335A2" w:rsidRDefault="008335A2" w:rsidP="00031822"/>
    <w:p w14:paraId="2A90FFC1" w14:textId="77777777" w:rsidR="008335A2" w:rsidRDefault="008335A2" w:rsidP="00031822"/>
    <w:p w14:paraId="13786EB5" w14:textId="77777777" w:rsidR="008335A2" w:rsidRDefault="008335A2" w:rsidP="00031822"/>
    <w:p w14:paraId="1918BE11" w14:textId="77777777" w:rsidR="008335A2" w:rsidRDefault="008335A2" w:rsidP="00031822"/>
    <w:p w14:paraId="1C9EAEA7" w14:textId="77777777" w:rsidR="008335A2" w:rsidRDefault="008335A2" w:rsidP="00031822"/>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77B55771" w:rsidR="008A79F1" w:rsidRDefault="008A79F1" w:rsidP="00031822">
      <w:pPr>
        <w:pStyle w:val="Caption"/>
        <w:keepNext/>
        <w:jc w:val="center"/>
        <w:rPr>
          <w:noProof/>
          <w:color w:val="000000" w:themeColor="text1"/>
        </w:rPr>
      </w:pPr>
      <w:bookmarkStart w:id="7" w:name="_Ref92820171"/>
      <w:r w:rsidRPr="0004387C">
        <w:rPr>
          <w:color w:val="000000" w:themeColor="text1"/>
        </w:rPr>
        <w:lastRenderedPageBreak/>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lastRenderedPageBreak/>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lastRenderedPageBreak/>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1836806D" w:rsidR="00A96B98" w:rsidRPr="0004387C" w:rsidRDefault="0006794D" w:rsidP="00031822">
      <w:pPr>
        <w:rPr>
          <w:color w:val="000000" w:themeColor="text1"/>
        </w:rPr>
      </w:pPr>
      <w:r>
        <w:rPr>
          <w:color w:val="000000" w:themeColor="text1"/>
        </w:rPr>
        <w:lastRenderedPageBreak/>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t>Results</w:t>
      </w:r>
      <w:bookmarkEnd w:id="8"/>
    </w:p>
    <w:p w14:paraId="6324256F" w14:textId="77777777" w:rsidR="002F3376" w:rsidRPr="0004387C" w:rsidRDefault="002F3376" w:rsidP="00AB12F9">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w:t>
      </w:r>
      <w:r w:rsidR="0092248B">
        <w:lastRenderedPageBreak/>
        <w:t xml:space="preserve">have </w:t>
      </w:r>
      <w:proofErr w:type="gramStart"/>
      <w:r w:rsidR="0092248B">
        <w:t>had an effect on</w:t>
      </w:r>
      <w:proofErr w:type="gramEnd"/>
      <w:r w:rsidR="0092248B">
        <w:t xml:space="preserve"> perceptions of riskiness of IR swaps, but phase 2 and phase 3 results are consistent with expectations.</w:t>
      </w:r>
    </w:p>
    <w:p w14:paraId="0DECA66E" w14:textId="5424B9A7" w:rsidR="00A03CBF" w:rsidRDefault="00A03CBF" w:rsidP="00031822">
      <w:pPr>
        <w:pStyle w:val="Caption"/>
        <w:keepNext/>
      </w:pPr>
      <w:bookmarkStart w:id="9" w:name="_Ref149507984"/>
      <w:r>
        <w:t xml:space="preserve">Table </w:t>
      </w:r>
      <w:r>
        <w:fldChar w:fldCharType="begin"/>
      </w:r>
      <w:r>
        <w:instrText xml:space="preserve"> SEQ Table \* ARABIC </w:instrText>
      </w:r>
      <w:r>
        <w:fldChar w:fldCharType="separate"/>
      </w:r>
      <w:r w:rsidR="004050F2">
        <w:rPr>
          <w:noProof/>
        </w:rPr>
        <w:t>4</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Pr>
          <w:noProof/>
        </w:rPr>
        <w:t>5</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11" w:name="_Ref157719507"/>
      <w:r>
        <w:t>Conclusion</w:t>
      </w:r>
      <w:bookmarkEnd w:id="11"/>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21C58" w14:textId="77777777" w:rsidR="008E6500" w:rsidRDefault="008E6500" w:rsidP="00633D5C">
      <w:r>
        <w:separator/>
      </w:r>
    </w:p>
  </w:endnote>
  <w:endnote w:type="continuationSeparator" w:id="0">
    <w:p w14:paraId="7239561D" w14:textId="77777777" w:rsidR="008E6500" w:rsidRDefault="008E6500" w:rsidP="00633D5C">
      <w:r>
        <w:continuationSeparator/>
      </w:r>
    </w:p>
  </w:endnote>
  <w:endnote w:type="continuationNotice" w:id="1">
    <w:p w14:paraId="30C0C591" w14:textId="77777777" w:rsidR="008E6500" w:rsidRDefault="008E65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8F602" w14:textId="77777777" w:rsidR="008E6500" w:rsidRDefault="008E6500" w:rsidP="00633D5C">
      <w:r>
        <w:separator/>
      </w:r>
    </w:p>
  </w:footnote>
  <w:footnote w:type="continuationSeparator" w:id="0">
    <w:p w14:paraId="7AFC845F" w14:textId="77777777" w:rsidR="008E6500" w:rsidRDefault="008E6500" w:rsidP="00633D5C">
      <w:r>
        <w:continuationSeparator/>
      </w:r>
    </w:p>
  </w:footnote>
  <w:footnote w:type="continuationNotice" w:id="1">
    <w:p w14:paraId="75C14FD9" w14:textId="77777777" w:rsidR="008E6500" w:rsidRDefault="008E65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794D"/>
    <w:rsid w:val="000712B2"/>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718B1"/>
    <w:rsid w:val="0027378C"/>
    <w:rsid w:val="00275B46"/>
    <w:rsid w:val="00284488"/>
    <w:rsid w:val="002853F0"/>
    <w:rsid w:val="00290667"/>
    <w:rsid w:val="00290E18"/>
    <w:rsid w:val="00293578"/>
    <w:rsid w:val="002938B2"/>
    <w:rsid w:val="002B03E9"/>
    <w:rsid w:val="002B63F1"/>
    <w:rsid w:val="002C726E"/>
    <w:rsid w:val="002D4411"/>
    <w:rsid w:val="002D4CD7"/>
    <w:rsid w:val="002E0CE1"/>
    <w:rsid w:val="002F3376"/>
    <w:rsid w:val="00301A1C"/>
    <w:rsid w:val="00305FCA"/>
    <w:rsid w:val="0031486E"/>
    <w:rsid w:val="00320206"/>
    <w:rsid w:val="003314C1"/>
    <w:rsid w:val="0034098A"/>
    <w:rsid w:val="00343A08"/>
    <w:rsid w:val="003520EC"/>
    <w:rsid w:val="00357E12"/>
    <w:rsid w:val="00362ED7"/>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1C17"/>
    <w:rsid w:val="00446E24"/>
    <w:rsid w:val="0044741C"/>
    <w:rsid w:val="004521B3"/>
    <w:rsid w:val="00455F39"/>
    <w:rsid w:val="004567C0"/>
    <w:rsid w:val="00456AFB"/>
    <w:rsid w:val="0047037D"/>
    <w:rsid w:val="00470CAE"/>
    <w:rsid w:val="00475EE6"/>
    <w:rsid w:val="004776E9"/>
    <w:rsid w:val="00482903"/>
    <w:rsid w:val="00487EF1"/>
    <w:rsid w:val="004D2D2D"/>
    <w:rsid w:val="004D458D"/>
    <w:rsid w:val="004E5AEE"/>
    <w:rsid w:val="004F0BE2"/>
    <w:rsid w:val="004F43A3"/>
    <w:rsid w:val="00502B0A"/>
    <w:rsid w:val="00525BB3"/>
    <w:rsid w:val="005356E2"/>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C11C0"/>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4BB7"/>
    <w:rsid w:val="006875A1"/>
    <w:rsid w:val="0069541B"/>
    <w:rsid w:val="006A345A"/>
    <w:rsid w:val="006B6124"/>
    <w:rsid w:val="006C0D52"/>
    <w:rsid w:val="006C395A"/>
    <w:rsid w:val="006E06F9"/>
    <w:rsid w:val="006E44BE"/>
    <w:rsid w:val="006F1F0C"/>
    <w:rsid w:val="0070689F"/>
    <w:rsid w:val="00715923"/>
    <w:rsid w:val="0072700E"/>
    <w:rsid w:val="00747315"/>
    <w:rsid w:val="007475B0"/>
    <w:rsid w:val="0075597E"/>
    <w:rsid w:val="00755BED"/>
    <w:rsid w:val="0076305C"/>
    <w:rsid w:val="00781C1A"/>
    <w:rsid w:val="00781E75"/>
    <w:rsid w:val="007A0DBE"/>
    <w:rsid w:val="007A4E27"/>
    <w:rsid w:val="007B2C40"/>
    <w:rsid w:val="007C0619"/>
    <w:rsid w:val="007C099B"/>
    <w:rsid w:val="007C0BF5"/>
    <w:rsid w:val="007D359F"/>
    <w:rsid w:val="007E1203"/>
    <w:rsid w:val="007E2F87"/>
    <w:rsid w:val="007E3CB7"/>
    <w:rsid w:val="007E6044"/>
    <w:rsid w:val="007F6DDE"/>
    <w:rsid w:val="00804046"/>
    <w:rsid w:val="008057C4"/>
    <w:rsid w:val="00810636"/>
    <w:rsid w:val="008138CB"/>
    <w:rsid w:val="00821AC5"/>
    <w:rsid w:val="00827924"/>
    <w:rsid w:val="008335A2"/>
    <w:rsid w:val="00834DE5"/>
    <w:rsid w:val="00836236"/>
    <w:rsid w:val="0086025D"/>
    <w:rsid w:val="00864A3C"/>
    <w:rsid w:val="0086750E"/>
    <w:rsid w:val="00876F18"/>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8E6500"/>
    <w:rsid w:val="00905428"/>
    <w:rsid w:val="00914E91"/>
    <w:rsid w:val="009150D9"/>
    <w:rsid w:val="0092248B"/>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4761"/>
    <w:rsid w:val="009C7A56"/>
    <w:rsid w:val="009F06E5"/>
    <w:rsid w:val="009F1DA7"/>
    <w:rsid w:val="009F7D7F"/>
    <w:rsid w:val="00A000EF"/>
    <w:rsid w:val="00A03CBF"/>
    <w:rsid w:val="00A21F7B"/>
    <w:rsid w:val="00A271B6"/>
    <w:rsid w:val="00A41FF7"/>
    <w:rsid w:val="00A4495A"/>
    <w:rsid w:val="00A53B21"/>
    <w:rsid w:val="00A73855"/>
    <w:rsid w:val="00A74B49"/>
    <w:rsid w:val="00A81AE5"/>
    <w:rsid w:val="00A8236C"/>
    <w:rsid w:val="00A930AB"/>
    <w:rsid w:val="00A96B98"/>
    <w:rsid w:val="00AA4B78"/>
    <w:rsid w:val="00AA5AFB"/>
    <w:rsid w:val="00AA717C"/>
    <w:rsid w:val="00AB12F9"/>
    <w:rsid w:val="00AB38FA"/>
    <w:rsid w:val="00AB7061"/>
    <w:rsid w:val="00AE15AA"/>
    <w:rsid w:val="00AE5664"/>
    <w:rsid w:val="00AE5AFF"/>
    <w:rsid w:val="00AF1FA3"/>
    <w:rsid w:val="00B0289A"/>
    <w:rsid w:val="00B1262B"/>
    <w:rsid w:val="00B13BAB"/>
    <w:rsid w:val="00B3359E"/>
    <w:rsid w:val="00B44C24"/>
    <w:rsid w:val="00B54FB7"/>
    <w:rsid w:val="00B83199"/>
    <w:rsid w:val="00B92576"/>
    <w:rsid w:val="00B92B7B"/>
    <w:rsid w:val="00B9520A"/>
    <w:rsid w:val="00BA0B5F"/>
    <w:rsid w:val="00BA0BB3"/>
    <w:rsid w:val="00BB0ACE"/>
    <w:rsid w:val="00BB66F3"/>
    <w:rsid w:val="00BC008A"/>
    <w:rsid w:val="00BC5B75"/>
    <w:rsid w:val="00BD12A4"/>
    <w:rsid w:val="00BD52BB"/>
    <w:rsid w:val="00BF5982"/>
    <w:rsid w:val="00BF6365"/>
    <w:rsid w:val="00C06844"/>
    <w:rsid w:val="00C106ED"/>
    <w:rsid w:val="00C16C25"/>
    <w:rsid w:val="00C20541"/>
    <w:rsid w:val="00C2255E"/>
    <w:rsid w:val="00C3286E"/>
    <w:rsid w:val="00C363CC"/>
    <w:rsid w:val="00C45CCE"/>
    <w:rsid w:val="00C519BF"/>
    <w:rsid w:val="00C527DB"/>
    <w:rsid w:val="00C57E03"/>
    <w:rsid w:val="00C63A02"/>
    <w:rsid w:val="00C651D2"/>
    <w:rsid w:val="00C758C6"/>
    <w:rsid w:val="00C87249"/>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34404"/>
    <w:rsid w:val="00D41237"/>
    <w:rsid w:val="00D4375C"/>
    <w:rsid w:val="00D5154E"/>
    <w:rsid w:val="00D52B48"/>
    <w:rsid w:val="00D643C8"/>
    <w:rsid w:val="00D645CF"/>
    <w:rsid w:val="00D9234D"/>
    <w:rsid w:val="00DA4FC3"/>
    <w:rsid w:val="00DC42EB"/>
    <w:rsid w:val="00DC7AD2"/>
    <w:rsid w:val="00DE43A2"/>
    <w:rsid w:val="00DE61E9"/>
    <w:rsid w:val="00DE6F94"/>
    <w:rsid w:val="00DE705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1749"/>
    <w:rsid w:val="00EB004A"/>
    <w:rsid w:val="00EB1407"/>
    <w:rsid w:val="00EB53A2"/>
    <w:rsid w:val="00EB5A7B"/>
    <w:rsid w:val="00EB7DDA"/>
    <w:rsid w:val="00EC01D7"/>
    <w:rsid w:val="00EC5C21"/>
    <w:rsid w:val="00ED4D27"/>
    <w:rsid w:val="00EF140B"/>
    <w:rsid w:val="00EF6757"/>
    <w:rsid w:val="00F040B1"/>
    <w:rsid w:val="00F15E32"/>
    <w:rsid w:val="00F57F30"/>
    <w:rsid w:val="00F6394F"/>
    <w:rsid w:val="00F71C54"/>
    <w:rsid w:val="00F872C2"/>
    <w:rsid w:val="00FB04CE"/>
    <w:rsid w:val="00FC644E"/>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453"/>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9C0453"/>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9C0453"/>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9C0453"/>
    <w:pPr>
      <w:spacing w:before="260"/>
      <w:ind w:firstLine="0"/>
      <w:outlineLvl w:val="2"/>
    </w:pPr>
    <w:rPr>
      <w:rFonts w:eastAsia="Times New Roman"/>
      <w:bCs/>
    </w:rPr>
  </w:style>
  <w:style w:type="paragraph" w:styleId="Heading4">
    <w:name w:val="heading 4"/>
    <w:basedOn w:val="Normal"/>
    <w:next w:val="Normal"/>
    <w:link w:val="Heading4Char"/>
    <w:qFormat/>
    <w:rsid w:val="009C0453"/>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9C04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9C0453"/>
  </w:style>
  <w:style w:type="character" w:customStyle="1" w:styleId="Heading2Char">
    <w:name w:val="Heading 2 Char"/>
    <w:basedOn w:val="DefaultParagraphFont"/>
    <w:link w:val="Heading2"/>
    <w:rsid w:val="009C0453"/>
    <w:rPr>
      <w:rFonts w:ascii="Times New Roman" w:eastAsia="Times New Roman" w:hAnsi="Times New Roman"/>
      <w:bCs/>
      <w:i/>
      <w:color w:val="000000"/>
      <w:sz w:val="24"/>
      <w:szCs w:val="26"/>
      <w:lang w:bidi="ar-SA"/>
    </w:rPr>
  </w:style>
  <w:style w:type="paragraph" w:styleId="Title">
    <w:name w:val="Title"/>
    <w:next w:val="Author"/>
    <w:link w:val="TitleChar"/>
    <w:qFormat/>
    <w:rsid w:val="009C0453"/>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9C0453"/>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9C0453"/>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9C0453"/>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9C0453"/>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9C0453"/>
    <w:pPr>
      <w:spacing w:line="180" w:lineRule="atLeast"/>
    </w:pPr>
    <w:rPr>
      <w:sz w:val="16"/>
    </w:rPr>
  </w:style>
  <w:style w:type="character" w:customStyle="1" w:styleId="FootnoteTextChar">
    <w:name w:val="Footnote Text Char"/>
    <w:basedOn w:val="DefaultParagraphFont"/>
    <w:link w:val="FootnoteText"/>
    <w:semiHidden/>
    <w:rsid w:val="009C0453"/>
    <w:rPr>
      <w:rFonts w:ascii="Times New Roman" w:eastAsia="Calisto MT" w:hAnsi="Times New Roman"/>
      <w:sz w:val="16"/>
      <w:szCs w:val="24"/>
      <w:lang w:bidi="ar-SA"/>
    </w:rPr>
  </w:style>
  <w:style w:type="character" w:styleId="FootnoteReference">
    <w:name w:val="footnote reference"/>
    <w:basedOn w:val="DefaultParagraphFont"/>
    <w:semiHidden/>
    <w:rsid w:val="009C0453"/>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9C0453"/>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9C0453"/>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9C0453"/>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9C0453"/>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9C0453"/>
    <w:pPr>
      <w:ind w:firstLine="0"/>
    </w:pPr>
  </w:style>
  <w:style w:type="paragraph" w:customStyle="1" w:styleId="Contact">
    <w:name w:val="Contact"/>
    <w:next w:val="Normal"/>
    <w:rsid w:val="009C0453"/>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9C0453"/>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9C0453"/>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9C0453"/>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9C0453"/>
    <w:pPr>
      <w:spacing w:after="120"/>
      <w:ind w:left="720" w:right="720" w:firstLine="0"/>
      <w:jc w:val="right"/>
    </w:pPr>
  </w:style>
  <w:style w:type="paragraph" w:customStyle="1" w:styleId="FigureTitle">
    <w:name w:val="Figure Title"/>
    <w:next w:val="Normal"/>
    <w:rsid w:val="009C0453"/>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9C0453"/>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9C0453"/>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9C0453"/>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9C0453"/>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9C0453"/>
    <w:pPr>
      <w:numPr>
        <w:numId w:val="27"/>
      </w:numPr>
      <w:contextualSpacing/>
    </w:pPr>
  </w:style>
  <w:style w:type="paragraph" w:styleId="ListNumber">
    <w:name w:val="List Number"/>
    <w:basedOn w:val="Normal"/>
    <w:next w:val="Normal"/>
    <w:rsid w:val="009C0453"/>
    <w:pPr>
      <w:numPr>
        <w:numId w:val="28"/>
      </w:numPr>
      <w:tabs>
        <w:tab w:val="clear" w:pos="1195"/>
      </w:tabs>
      <w:spacing w:after="260"/>
      <w:ind w:left="1555" w:hanging="720"/>
    </w:pPr>
  </w:style>
  <w:style w:type="paragraph" w:customStyle="1" w:styleId="FigurePlaceholder">
    <w:name w:val="Figure Placeholder"/>
    <w:basedOn w:val="Normal"/>
    <w:next w:val="Normal"/>
    <w:qFormat/>
    <w:rsid w:val="009C0453"/>
    <w:pPr>
      <w:spacing w:before="260" w:after="260"/>
      <w:jc w:val="center"/>
    </w:pPr>
  </w:style>
  <w:style w:type="character" w:customStyle="1" w:styleId="TableFootLetter">
    <w:name w:val="Table FootLetter"/>
    <w:basedOn w:val="DefaultParagraphFont"/>
    <w:rsid w:val="009C0453"/>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9C0453"/>
  </w:style>
  <w:style w:type="paragraph" w:customStyle="1" w:styleId="TablePlaceholder">
    <w:name w:val="Table Placeholder"/>
    <w:basedOn w:val="FigurePlaceholder"/>
    <w:next w:val="NoParagraphStyle"/>
    <w:qFormat/>
    <w:rsid w:val="009C0453"/>
  </w:style>
  <w:style w:type="paragraph" w:styleId="DocumentMap">
    <w:name w:val="Document Map"/>
    <w:basedOn w:val="Normal"/>
    <w:link w:val="DocumentMapChar"/>
    <w:uiPriority w:val="99"/>
    <w:semiHidden/>
    <w:rsid w:val="009C0453"/>
    <w:rPr>
      <w:rFonts w:ascii="Lucida Grande" w:hAnsi="Lucida Grande"/>
    </w:rPr>
  </w:style>
  <w:style w:type="character" w:customStyle="1" w:styleId="DocumentMapChar">
    <w:name w:val="Document Map Char"/>
    <w:basedOn w:val="DefaultParagraphFont"/>
    <w:link w:val="DocumentMap"/>
    <w:uiPriority w:val="99"/>
    <w:semiHidden/>
    <w:rsid w:val="009C0453"/>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9C0453"/>
    <w:rPr>
      <w:sz w:val="18"/>
      <w:szCs w:val="18"/>
    </w:rPr>
  </w:style>
  <w:style w:type="paragraph" w:styleId="CommentText">
    <w:name w:val="annotation text"/>
    <w:basedOn w:val="Normal"/>
    <w:link w:val="CommentTextChar"/>
    <w:uiPriority w:val="99"/>
    <w:semiHidden/>
    <w:rsid w:val="009C0453"/>
  </w:style>
  <w:style w:type="character" w:customStyle="1" w:styleId="CommentTextChar">
    <w:name w:val="Comment Text Char"/>
    <w:basedOn w:val="DefaultParagraphFont"/>
    <w:link w:val="CommentText"/>
    <w:uiPriority w:val="99"/>
    <w:semiHidden/>
    <w:rsid w:val="009C0453"/>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9C0453"/>
    <w:rPr>
      <w:b/>
      <w:bCs/>
      <w:sz w:val="20"/>
      <w:szCs w:val="20"/>
    </w:rPr>
  </w:style>
  <w:style w:type="character" w:customStyle="1" w:styleId="CommentSubjectChar">
    <w:name w:val="Comment Subject Char"/>
    <w:basedOn w:val="CommentTextChar"/>
    <w:link w:val="CommentSubject"/>
    <w:uiPriority w:val="99"/>
    <w:semiHidden/>
    <w:rsid w:val="009C0453"/>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9C045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C0453"/>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90</TotalTime>
  <Pages>20</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9</cp:revision>
  <dcterms:created xsi:type="dcterms:W3CDTF">2023-12-09T16:13:00Z</dcterms:created>
  <dcterms:modified xsi:type="dcterms:W3CDTF">2024-02-02T03:51:00Z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id="EZ2nyO5c"/&gt;&lt;style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