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proofErr w:type="spellStart"/>
      <w:r>
        <w:t>Arnob</w:t>
      </w:r>
      <w:proofErr w:type="spellEnd"/>
      <w:r>
        <w:t xml:space="preserve"> L. Alam</w:t>
      </w:r>
    </w:p>
    <w:p w14:paraId="41D45335" w14:textId="208BA672" w:rsidR="00BB66F3" w:rsidRDefault="00BB66F3" w:rsidP="009561B4">
      <w:pPr>
        <w:pStyle w:val="Heading1"/>
        <w:numPr>
          <w:ilvl w:val="0"/>
          <w:numId w:val="33"/>
        </w:numPr>
      </w:pPr>
      <w:r>
        <w:t>Introduction</w:t>
      </w:r>
    </w:p>
    <w:p w14:paraId="49E61368" w14:textId="6A804D0D" w:rsidR="000A41CF" w:rsidRDefault="00246F90" w:rsidP="00C63998">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w:t>
      </w:r>
      <w:r w:rsidR="00C63998" w:rsidRPr="00246F90">
        <w:t>volatility,</w:t>
      </w:r>
      <w:r w:rsidRPr="00246F90">
        <w:t xml:space="preserve"> </w:t>
      </w:r>
      <w:r w:rsidR="00E56F5E">
        <w:t xml:space="preserve">and liquidity </w:t>
      </w:r>
      <w:r w:rsidRPr="00246F90">
        <w:t xml:space="preserve">in the interest rate (IR) swaps market, a major derivatives market used for hedging or speculating on interest rate risk. </w:t>
      </w:r>
      <w:r w:rsidR="000A41CF" w:rsidRPr="000A41CF">
        <w:t xml:space="preserve">Despite extensive theoretical literature on central clearing, empirical studies are limited. Earlier research focused on the credit default swaps </w:t>
      </w:r>
      <w:r w:rsidR="004776E9">
        <w:t xml:space="preserve">(CDS) </w:t>
      </w:r>
      <w:r w:rsidR="000A41CF" w:rsidRPr="000A41CF">
        <w:t>market using event studies</w:t>
      </w:r>
      <w:r w:rsidR="00827924">
        <w:t>.</w:t>
      </w:r>
      <w:r w:rsidR="000A41CF" w:rsidRPr="000A41CF">
        <w:t xml:space="preserve"> </w:t>
      </w:r>
      <w:r w:rsidR="00827924">
        <w:t xml:space="preserve">Event studies </w:t>
      </w:r>
      <w:r w:rsidR="000A41CF" w:rsidRPr="000A41CF">
        <w:t xml:space="preserve">cannot isolate causal impacts due to potential confounding factors. This study addresses </w:t>
      </w:r>
      <w:r w:rsidR="00827924">
        <w:t xml:space="preserve">the </w:t>
      </w:r>
      <w:r w:rsidR="000A41CF" w:rsidRPr="000A41CF">
        <w:t xml:space="preserve">gap </w:t>
      </w:r>
      <w:r w:rsidR="00827924">
        <w:t xml:space="preserve">in the literature </w:t>
      </w:r>
      <w:r w:rsidR="000A41CF" w:rsidRPr="000A41CF">
        <w:t xml:space="preserve">by </w:t>
      </w:r>
      <w:r w:rsidR="00E56F5E">
        <w:t xml:space="preserve">(1) </w:t>
      </w:r>
      <w:r w:rsidR="000A41CF" w:rsidRPr="000A41CF">
        <w:t xml:space="preserve">examining the IR swaps market, which is larger and more widely used than the </w:t>
      </w:r>
      <w:r w:rsidR="004776E9">
        <w:t>CDS</w:t>
      </w:r>
      <w:r w:rsidR="000A41CF" w:rsidRPr="000A41CF">
        <w:t xml:space="preserve"> market</w:t>
      </w:r>
      <w:r w:rsidR="00E56F5E">
        <w:t xml:space="preserve"> and (2) using a difference-in-differences approach to identify causal effects of the clearing mandate</w:t>
      </w:r>
      <w:r w:rsidR="000A41CF" w:rsidRPr="000A41CF">
        <w:t xml:space="preserve">. Leveraging the fact that initial central clearing rules targeted IR swaps in the four largest currencies </w:t>
      </w:r>
      <w:r w:rsidR="00E56F5E">
        <w:t xml:space="preserve">traded in the US, </w:t>
      </w:r>
      <w:r w:rsidR="00430C3C">
        <w:t xml:space="preserve">but </w:t>
      </w:r>
      <w:r w:rsidR="000A41CF" w:rsidRPr="000A41CF">
        <w:t xml:space="preserve">did not apply to other currencies or regions, this research </w:t>
      </w:r>
      <w:r w:rsidR="00AC06CC">
        <w:t xml:space="preserve">plausibly </w:t>
      </w:r>
      <w:r w:rsidR="000A41CF" w:rsidRPr="000A41CF">
        <w:t xml:space="preserve">identifies the causal impact of the regulation on pricing, </w:t>
      </w:r>
      <w:r w:rsidR="00C63998">
        <w:t>liquidity,</w:t>
      </w:r>
      <w:r w:rsidR="00A81AE5">
        <w:t xml:space="preserve"> and </w:t>
      </w:r>
      <w:r w:rsidR="000A41CF" w:rsidRPr="000A41CF">
        <w:t>price volatility in the IR swaps market.</w:t>
      </w:r>
    </w:p>
    <w:p w14:paraId="76BA511D" w14:textId="6E78FB67"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943191">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943191">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943191">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943191">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943191">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943191">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t>Background</w:t>
      </w:r>
      <w:bookmarkEnd w:id="0"/>
    </w:p>
    <w:p w14:paraId="48EFF618" w14:textId="10335675" w:rsidR="0012752B" w:rsidRDefault="00981EFF" w:rsidP="009561B4">
      <w:pPr>
        <w:pStyle w:val="Heading2"/>
      </w:pPr>
      <w:r>
        <w:t>Interest Rate Swaps</w:t>
      </w:r>
    </w:p>
    <w:p w14:paraId="351EFEAC" w14:textId="793E8C92"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 xml:space="preserve">In this type </w:t>
      </w:r>
      <w:r w:rsidR="00446E24">
        <w:lastRenderedPageBreak/>
        <w:t>of swap,</w:t>
      </w:r>
      <w:r w:rsidR="005A0C96" w:rsidRPr="005A0C96">
        <w:t xml:space="preserve"> one party exchanges fixed-rate coupon payments for floating-rate payments on a notional principal</w:t>
      </w:r>
      <w:r w:rsidR="00430C3C">
        <w:t xml:space="preserve"> (the notional principal is never exchanged)</w:t>
      </w:r>
      <w:r w:rsidR="005A0C96" w:rsidRPr="005A0C96">
        <w:t xml:space="preserve">.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w:t>
      </w:r>
      <w:r w:rsidR="00430C3C">
        <w:t xml:space="preserve">their </w:t>
      </w:r>
      <w:r w:rsidR="00575523">
        <w:t xml:space="preserve">assets with </w:t>
      </w:r>
      <w:r w:rsidR="00430C3C">
        <w:t xml:space="preserve">their </w:t>
      </w:r>
      <w:r w:rsidR="00575523">
        <w:t>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799763A7" w14:textId="3E817AC4" w:rsidR="008652DB" w:rsidRDefault="00161437" w:rsidP="003564C5">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CA0708">
        <w:instrText xml:space="preserve"> ADDIN ZOTERO_ITEM CSL_CITATION {"citationID":"Vd9kFWHG","properties":{"formattedCitation":"(von Kleist and Mallo 2011)","plainCitation":"(von Kleist and Mallo 2011)","noteIndex":0},"citationItems":[{"id":861,"uris":["http://zotero.org/users/1226582/items/MIV8DAGL"],"itemData":{"id":861,"type":"report","publisher":"Bank of International Settlements","source":"Google Scholar","title":"OTC derivatives market activity in the second half of 2010","URL":"https://www.bis.org/publ/otc_hy1105.pdf","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00CB32C9">
        <w:t xml:space="preserve"> (the IR swaps market had increased to $715 trillion by June 2023 according to an updated version of the same report)</w:t>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r w:rsidR="003564C5">
        <w:t xml:space="preserve"> </w:t>
      </w:r>
      <w:r w:rsidR="008F79E0">
        <w:t>During the period of study, the standard</w:t>
      </w:r>
      <w:r w:rsidR="003564C5">
        <w:t xml:space="preserve"> </w:t>
      </w:r>
      <w:r w:rsidR="00B40742">
        <w:t>US Dollar (</w:t>
      </w:r>
      <w:r w:rsidR="00EC78C0">
        <w:t>USD</w:t>
      </w:r>
      <w:r w:rsidR="00B40742">
        <w:t>)</w:t>
      </w:r>
      <w:r w:rsidR="008F79E0">
        <w:t xml:space="preserve">-denominated IR swaps contract had semiannual payments </w:t>
      </w:r>
      <w:r w:rsidR="00AF63FA">
        <w:t xml:space="preserve">for one leg </w:t>
      </w:r>
      <w:r w:rsidR="008F79E0">
        <w:t xml:space="preserve">and </w:t>
      </w:r>
      <w:r w:rsidR="00AF63FA">
        <w:t xml:space="preserve">quarterly </w:t>
      </w:r>
      <w:r w:rsidR="008F79E0">
        <w:t>payments</w:t>
      </w:r>
      <w:r w:rsidR="00AF63FA">
        <w:t xml:space="preserve"> for the other leg (that is either trading quarterly fixed-rate payments for semiannual floating rate payments, or vice-versa)</w:t>
      </w:r>
      <w:r w:rsidR="008F79E0">
        <w:t xml:space="preserve">, with the </w:t>
      </w:r>
      <w:r w:rsidR="00440E83">
        <w:t xml:space="preserve">3-month </w:t>
      </w:r>
      <w:r w:rsidR="008F79E0">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943191">
        <w:t>3</w:t>
      </w:r>
      <w:r w:rsidR="00FB01B7">
        <w:fldChar w:fldCharType="end"/>
      </w:r>
      <w:r w:rsidR="00981DE6">
        <w:t xml:space="preserve"> for </w:t>
      </w:r>
      <w:r w:rsidR="003564C5">
        <w:t>further explanation</w:t>
      </w:r>
      <w:r w:rsidR="00FB01B7">
        <w:t>)</w:t>
      </w:r>
      <w:r w:rsidR="008F79E0">
        <w:t xml:space="preserve">. </w:t>
      </w:r>
      <w:r w:rsidR="003564C5">
        <w:t xml:space="preserve">The standard </w:t>
      </w:r>
      <w:r w:rsidR="00B40742">
        <w:t>Canadian Dollar (</w:t>
      </w:r>
      <w:r w:rsidR="003564C5">
        <w:t>CAD</w:t>
      </w:r>
      <w:r w:rsidR="00B40742">
        <w:t>)</w:t>
      </w:r>
      <w:r w:rsidR="003564C5">
        <w:t xml:space="preserve">-denominated contract used 3-month CDOR as the reference floating rate. There are many other </w:t>
      </w:r>
      <w:r w:rsidR="00CE3FDE">
        <w:t>contract details such as day-count conventions</w:t>
      </w:r>
      <w:r w:rsidR="003564C5">
        <w:t xml:space="preserve">, </w:t>
      </w:r>
      <w:r w:rsidR="00CE3FDE">
        <w:t xml:space="preserve">settlement </w:t>
      </w:r>
      <w:r w:rsidR="003564C5">
        <w:t xml:space="preserve">and termination </w:t>
      </w:r>
      <w:r w:rsidR="00CE3FDE">
        <w:t>rules</w:t>
      </w:r>
      <w:r w:rsidR="003564C5">
        <w:t xml:space="preserve"> that need to be specified, and these are listed in more detail in Appendix A</w:t>
      </w:r>
      <w:r w:rsidR="00CE3FDE">
        <w:t xml:space="preserve">. </w:t>
      </w:r>
      <w:r w:rsidR="00440E83">
        <w:t xml:space="preserve">Both Canadian and US dollar denominated </w:t>
      </w:r>
      <w:r w:rsidR="003564C5">
        <w:t xml:space="preserve">standard </w:t>
      </w:r>
      <w:r w:rsidR="00440E83">
        <w:t>contracts used the ISDA master</w:t>
      </w:r>
      <w:r w:rsidR="00B9115F">
        <w:t xml:space="preserve"> </w:t>
      </w:r>
      <w:r w:rsidR="00440E83">
        <w:t xml:space="preserve">agreement, which specifies settlement, </w:t>
      </w:r>
      <w:r w:rsidR="00CE3FDE">
        <w:lastRenderedPageBreak/>
        <w:t>termination,</w:t>
      </w:r>
      <w:r w:rsidR="00440E83">
        <w:t xml:space="preserve"> and other contract specifications. </w:t>
      </w:r>
      <w:r w:rsidR="003564C5">
        <w:t xml:space="preserve">Contract specifications can be customized to meet the requirements of the counterparties, but such non-standard contracts are likely to be less liquid than the standard contracts. </w:t>
      </w:r>
      <w:r w:rsidR="00EC78C0">
        <w:t>Standard c</w:t>
      </w:r>
      <w:r w:rsidR="00AA1B8E">
        <w:t xml:space="preserve">ontracts denominated in other currencies </w:t>
      </w:r>
      <w:r w:rsidR="00440E83">
        <w:t xml:space="preserve">(e.g. </w:t>
      </w:r>
      <w:r w:rsidR="00345031">
        <w:t>Euro [</w:t>
      </w:r>
      <w:r w:rsidR="00440E83">
        <w:t>EUR</w:t>
      </w:r>
      <w:r w:rsidR="00345031">
        <w:t>]</w:t>
      </w:r>
      <w:r w:rsidR="00440E83">
        <w:t xml:space="preserve">, </w:t>
      </w:r>
      <w:r w:rsidR="00345031">
        <w:t>British Pound [</w:t>
      </w:r>
      <w:r w:rsidR="00440E83">
        <w:t>GBP</w:t>
      </w:r>
      <w:r w:rsidR="00345031">
        <w:t>]</w:t>
      </w:r>
      <w:r w:rsidR="00440E83">
        <w:t xml:space="preserve">, and </w:t>
      </w:r>
      <w:r w:rsidR="00345031">
        <w:t>Japanese Yen [</w:t>
      </w:r>
      <w:r w:rsidR="00440E83">
        <w:t>JPY</w:t>
      </w:r>
      <w:r w:rsidR="00345031">
        <w:t>]</w:t>
      </w:r>
      <w:r w:rsidR="00440E83">
        <w:t xml:space="preserve">) </w:t>
      </w:r>
      <w:r w:rsidR="00AA1B8E">
        <w:t>ha</w:t>
      </w:r>
      <w:r w:rsidR="00EC78C0">
        <w:t>ve</w:t>
      </w:r>
      <w:r w:rsidR="00AA1B8E">
        <w:t xml:space="preserve"> their own conventions as well.</w:t>
      </w:r>
    </w:p>
    <w:p w14:paraId="16126F61" w14:textId="7C1E4028"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AA1B8E">
        <w:t>.</w:t>
      </w:r>
    </w:p>
    <w:p w14:paraId="4CDB6FA5" w14:textId="1A2BA8EC" w:rsidR="00DC42EB" w:rsidRDefault="00DC42EB" w:rsidP="00AB12F9">
      <w:pPr>
        <w:pStyle w:val="Heading2"/>
      </w:pPr>
      <w:r>
        <w:t>Central Clearing</w:t>
      </w:r>
    </w:p>
    <w:p w14:paraId="0B92C52A" w14:textId="3C360925" w:rsidR="002F6C5B" w:rsidRDefault="00377D40" w:rsidP="00B15828">
      <w:r w:rsidRPr="00377D40">
        <w:t xml:space="preserve">When a swap is cleared, the </w:t>
      </w:r>
      <w:r w:rsidR="009C1462">
        <w:t xml:space="preserve">initial </w:t>
      </w:r>
      <w:r w:rsidRPr="00377D40">
        <w:t xml:space="preserve">contract between the two 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t xml:space="preserve">For this purpose, </w:t>
      </w:r>
      <w:r w:rsidR="00A52DB0">
        <w:t>CCPs</w:t>
      </w:r>
      <w:r w:rsidR="00C64F72">
        <w:t xml:space="preserve">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When counterparties clear</w:t>
      </w:r>
      <w:r w:rsidR="00CA0708">
        <w:rPr>
          <w:rStyle w:val="FootnoteReference"/>
        </w:rPr>
        <w:footnoteReference w:id="3"/>
      </w:r>
      <w:r w:rsidR="00C90716">
        <w:t xml:space="preserve">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CA0708">
        <w:t xml:space="preserve">Non-clearing counterparties. </w:t>
      </w:r>
      <w:r w:rsidR="002F6C5B">
        <w:t xml:space="preserve">In case the risk position of the counterparty changes, it can be required to </w:t>
      </w:r>
      <w:r w:rsidR="002F6C5B">
        <w:lastRenderedPageBreak/>
        <w:t xml:space="preserve">put up additional collateral (variation margin). </w:t>
      </w:r>
      <w:r w:rsidR="00C90716">
        <w:t xml:space="preserve">The CCP also has </w:t>
      </w:r>
      <w:r w:rsidR="00B40742">
        <w:t xml:space="preserve">default fund contributions of other members, </w:t>
      </w:r>
      <w:r w:rsidR="005744E9">
        <w:t xml:space="preserve">its own </w:t>
      </w:r>
      <w:r w:rsidR="00C90716">
        <w:t>equity (CCP capital)</w:t>
      </w:r>
      <w:r w:rsidR="00B40742">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r w:rsidR="00CA0708">
        <w:t>makes</w:t>
      </w:r>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 xml:space="preserve">mutualizes counterparty risk among the members of the </w:t>
      </w:r>
      <w:r w:rsidR="00B40742">
        <w:t>CCP</w:t>
      </w:r>
      <w:r w:rsidR="00B837CA" w:rsidRPr="00377D40">
        <w:t>.</w:t>
      </w:r>
    </w:p>
    <w:p w14:paraId="58435568" w14:textId="6838E977" w:rsidR="00AA1B8E" w:rsidRDefault="002F6C5B" w:rsidP="00B15828">
      <w:r>
        <w:t>I</w:t>
      </w:r>
      <w:r w:rsidR="00C64F72">
        <w:t>n addition</w:t>
      </w:r>
      <w:r w:rsidR="00D8044D">
        <w:t xml:space="preserve"> to these financial resources</w:t>
      </w:r>
      <w:r w:rsidR="00C64F72">
        <w:t xml:space="preserve">, </w:t>
      </w:r>
      <w:r w:rsidR="00A52DB0">
        <w:t>CCPs</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w:t>
      </w:r>
      <w:r w:rsidR="00A52DB0">
        <w:t>CCP</w:t>
      </w:r>
      <w:r w:rsidR="00B837CA">
        <w:t xml:space="preserv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r w:rsidR="005B3289">
        <w:t>entering</w:t>
      </w:r>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24748BEB" w:rsidR="00E639B5" w:rsidRDefault="00B15828" w:rsidP="00B15828">
      <w:r>
        <w:t xml:space="preserve">Clearing can reduce demand for collateral through a practice called netting. </w:t>
      </w:r>
      <w:r w:rsidR="002F4ED0">
        <w:t>There are two types of netting practices common in the industry</w:t>
      </w:r>
      <w:r w:rsidR="00882716">
        <w:t>: cross-product netting and multi</w:t>
      </w:r>
      <w:r w:rsidR="00A52DB0">
        <w:t>lateral</w:t>
      </w:r>
      <w:r w:rsidR="00882716">
        <w:t xml:space="preserve"> netting</w:t>
      </w:r>
      <w:r w:rsidR="002F4ED0">
        <w:t xml:space="preserve">. </w:t>
      </w:r>
      <w:r w:rsidR="00F27E22">
        <w:t xml:space="preserve">For a </w:t>
      </w:r>
      <w:r w:rsidR="00A52DB0">
        <w:t>CCP</w:t>
      </w:r>
      <w:r w:rsidR="00F27E22">
        <w:t xml:space="preserv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r>
        <w:t>made:</w:t>
      </w:r>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25F9B403" w14:textId="77777777" w:rsidR="00BF72AE" w:rsidRDefault="00BF72AE" w:rsidP="00B15828"/>
    <w:p w14:paraId="56438D5D" w14:textId="65F9F58C" w:rsidR="00BF72AE" w:rsidRDefault="00BF72AE" w:rsidP="00BF72AE">
      <w:pPr>
        <w:pStyle w:val="Caption"/>
      </w:pPr>
      <w:bookmarkStart w:id="1" w:name="_Ref162817922"/>
      <w:r>
        <w:lastRenderedPageBreak/>
        <w:t xml:space="preserve">Figure </w:t>
      </w:r>
      <w:r w:rsidR="005D0AA8">
        <w:fldChar w:fldCharType="begin"/>
      </w:r>
      <w:r w:rsidR="005D0AA8">
        <w:instrText xml:space="preserve"> SEQ Figure \* ARABIC </w:instrText>
      </w:r>
      <w:r w:rsidR="005D0AA8">
        <w:fldChar w:fldCharType="separate"/>
      </w:r>
      <w:r w:rsidR="00943191">
        <w:rPr>
          <w:noProof/>
        </w:rPr>
        <w:t>1</w:t>
      </w:r>
      <w:r w:rsidR="005D0AA8">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p w14:paraId="2389E1F1" w14:textId="38855A0E" w:rsidR="00265F4A" w:rsidRDefault="00E214A1" w:rsidP="00B15828">
      <w:r>
        <w:t>[Figure 1 about here]</w:t>
      </w:r>
    </w:p>
    <w:p w14:paraId="507E50F0" w14:textId="77777777" w:rsidR="00265F4A" w:rsidRDefault="00265F4A" w:rsidP="00B15828"/>
    <w:p w14:paraId="3D23A101" w14:textId="53055CFC"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w:t>
      </w:r>
      <w:r w:rsidR="0014676D">
        <w:t>antitrust regulations and “</w:t>
      </w:r>
      <w:r w:rsidR="00B92576" w:rsidRPr="00B92576">
        <w:t>local clearinghouse</w:t>
      </w:r>
      <w:r w:rsidR="0014676D">
        <w:t>”</w:t>
      </w:r>
      <w:r w:rsidR="00B92576" w:rsidRPr="00B92576">
        <w:t xml:space="preserve"> requirements </w:t>
      </w:r>
      <w:r w:rsidR="00DB74D5">
        <w:t xml:space="preserve">(that is, even though a single clearinghouse for </w:t>
      </w:r>
      <w:r w:rsidR="009B1EFD">
        <w:t xml:space="preserve">both the </w:t>
      </w:r>
      <w:r w:rsidR="00DB74D5">
        <w:t xml:space="preserve">US and Europe might have lower costs, regulators might require </w:t>
      </w:r>
      <w:r w:rsidR="009B1EFD">
        <w:t xml:space="preserve">separate </w:t>
      </w:r>
      <w:r w:rsidR="00DB74D5">
        <w:t>clearinghouse</w:t>
      </w:r>
      <w:r w:rsidR="009B1EFD">
        <w:t>s</w:t>
      </w:r>
      <w:r w:rsidR="00DB74D5">
        <w:t xml:space="preserve"> </w:t>
      </w:r>
      <w:r w:rsidR="009B1EFD">
        <w:t xml:space="preserve">in each </w:t>
      </w:r>
      <w:r w:rsidR="0014676D">
        <w:t>jurisdiction</w:t>
      </w:r>
      <w:r w:rsidR="00DB74D5">
        <w:t>)</w:t>
      </w:r>
      <w:r w:rsidR="00B92576" w:rsidRPr="00B92576">
        <w:t>. While clearinghouses can reduce default risk and collateral demand, they also require resources for risk management activities, which may increase trading costs.</w:t>
      </w:r>
    </w:p>
    <w:p w14:paraId="4CE2130C" w14:textId="77777777" w:rsidR="00BF6365" w:rsidRDefault="00BF6365" w:rsidP="00924BA1">
      <w:pPr>
        <w:pStyle w:val="Heading2"/>
      </w:pPr>
      <w:r>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23216BA5" w:rsidR="00BF6365" w:rsidRDefault="0086750E" w:rsidP="00031822">
      <w:r w:rsidRPr="0086750E">
        <w:t xml:space="preserve">Following the financial crisis, Congress passed the DFA to enhance the US financial system's reliability. Since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269135FB" w:rsidR="0010299E" w:rsidRDefault="00715923" w:rsidP="00C519BF">
      <w:r w:rsidRPr="00715923">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 xml:space="preserve">arkets </w:t>
      </w:r>
      <w:r w:rsidRPr="00715923">
        <w:lastRenderedPageBreak/>
        <w:t>(DCMs)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943191">
        <w:t xml:space="preserve">Table </w:t>
      </w:r>
      <w:r w:rsidR="00943191">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2539AF3E" w:rsidR="00C61057" w:rsidRDefault="00C61057">
      <w:pPr>
        <w:spacing w:line="240" w:lineRule="auto"/>
        <w:ind w:firstLine="0"/>
        <w:jc w:val="left"/>
      </w:pPr>
    </w:p>
    <w:p w14:paraId="3EC1AD7D" w14:textId="77777777" w:rsidR="00C61057" w:rsidRDefault="00C61057" w:rsidP="00C519BF"/>
    <w:p w14:paraId="49705BEC" w14:textId="0B82F03C" w:rsidR="000C5086" w:rsidRDefault="000C5086" w:rsidP="00031822">
      <w:pPr>
        <w:pStyle w:val="Caption"/>
        <w:keepNext/>
      </w:pPr>
      <w:bookmarkStart w:id="2" w:name="_Ref149505424"/>
      <w:r>
        <w:t xml:space="preserve">Table </w:t>
      </w:r>
      <w:r>
        <w:fldChar w:fldCharType="begin"/>
      </w:r>
      <w:r>
        <w:instrText xml:space="preserve"> SEQ Table \* ARABIC </w:instrText>
      </w:r>
      <w:r>
        <w:fldChar w:fldCharType="separate"/>
      </w:r>
      <w:r w:rsidR="00943191">
        <w:rPr>
          <w:noProof/>
        </w:rPr>
        <w:t>1</w:t>
      </w:r>
      <w:r>
        <w:rPr>
          <w:noProof/>
        </w:rPr>
        <w:fldChar w:fldCharType="end"/>
      </w:r>
      <w:bookmarkEnd w:id="2"/>
      <w:r>
        <w:rPr>
          <w:noProof/>
        </w:rPr>
        <w:t xml:space="preserve"> Major Dodd-Frank Act Rulemaking Areas</w:t>
      </w:r>
    </w:p>
    <w:p w14:paraId="59E87DAC" w14:textId="13102727" w:rsidR="00482903" w:rsidRDefault="002A688F" w:rsidP="00031822">
      <w:pPr>
        <w:ind w:firstLine="720"/>
      </w:pPr>
      <w:r>
        <w:t>[Table 1 about here]</w:t>
      </w:r>
    </w:p>
    <w:p w14:paraId="6D2C420C" w14:textId="1AD74955" w:rsidR="00C61057" w:rsidRDefault="00C61057">
      <w:pPr>
        <w:spacing w:line="240" w:lineRule="auto"/>
        <w:ind w:firstLine="0"/>
        <w:jc w:val="left"/>
      </w:pPr>
    </w:p>
    <w:p w14:paraId="13D9D68C" w14:textId="7806B61D" w:rsidR="000816B7" w:rsidRPr="00EA1749" w:rsidRDefault="000816B7" w:rsidP="00031822">
      <w:pPr>
        <w:pStyle w:val="Heading3"/>
      </w:pPr>
      <w:r w:rsidRPr="00EA1749">
        <w:t>International Context</w:t>
      </w:r>
    </w:p>
    <w:p w14:paraId="7503937D" w14:textId="523D11D9"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943191">
        <w:t xml:space="preserve">Table </w:t>
      </w:r>
      <w:r w:rsidR="00943191">
        <w:rPr>
          <w:noProof/>
        </w:rPr>
        <w:t>2</w:t>
      </w:r>
      <w:r w:rsidR="00CF1F18">
        <w:fldChar w:fldCharType="end"/>
      </w:r>
      <w:r w:rsidR="00821AC5" w:rsidRPr="00821AC5">
        <w:t xml:space="preserve"> summarizes the international context:</w:t>
      </w:r>
    </w:p>
    <w:p w14:paraId="24F5281D" w14:textId="10710257" w:rsidR="00C61057" w:rsidRDefault="00C61057">
      <w:pPr>
        <w:spacing w:line="240" w:lineRule="auto"/>
        <w:ind w:firstLine="0"/>
        <w:jc w:val="left"/>
      </w:pPr>
    </w:p>
    <w:p w14:paraId="532D8735" w14:textId="77777777" w:rsidR="00C61057" w:rsidRDefault="00C61057" w:rsidP="00C519BF"/>
    <w:p w14:paraId="2C2EEC2E" w14:textId="2C1A0A86" w:rsidR="000C5086" w:rsidRDefault="000C5086" w:rsidP="00031822">
      <w:pPr>
        <w:pStyle w:val="Caption"/>
        <w:keepNext/>
      </w:pPr>
      <w:bookmarkStart w:id="3" w:name="_Ref149505461"/>
      <w:r>
        <w:t xml:space="preserve">Table </w:t>
      </w:r>
      <w:r>
        <w:fldChar w:fldCharType="begin"/>
      </w:r>
      <w:r>
        <w:instrText xml:space="preserve"> SEQ Table \* ARABIC </w:instrText>
      </w:r>
      <w:r>
        <w:fldChar w:fldCharType="separate"/>
      </w:r>
      <w:r w:rsidR="00943191">
        <w:rPr>
          <w:noProof/>
        </w:rPr>
        <w:t>2</w:t>
      </w:r>
      <w:r>
        <w:rPr>
          <w:noProof/>
        </w:rPr>
        <w:fldChar w:fldCharType="end"/>
      </w:r>
      <w:bookmarkEnd w:id="3"/>
      <w:r>
        <w:rPr>
          <w:noProof/>
        </w:rPr>
        <w:t xml:space="preserve"> Summary of Central Clearing Requirements in Major FInancial Centers</w:t>
      </w:r>
    </w:p>
    <w:p w14:paraId="5F5254AB" w14:textId="49A029B0" w:rsidR="00781E75" w:rsidRDefault="002A688F" w:rsidP="00031822">
      <w:pPr>
        <w:ind w:firstLine="720"/>
      </w:pPr>
      <w:r>
        <w:t>[Table 2 about here]</w:t>
      </w:r>
    </w:p>
    <w:p w14:paraId="46151098" w14:textId="334C3782" w:rsidR="00C61057" w:rsidRDefault="00C61057" w:rsidP="00C61057">
      <w:pPr>
        <w:spacing w:line="240" w:lineRule="auto"/>
        <w:ind w:firstLine="0"/>
        <w:jc w:val="left"/>
      </w:pPr>
    </w:p>
    <w:p w14:paraId="27A217B4" w14:textId="77777777" w:rsidR="00C74168" w:rsidRDefault="00C74168" w:rsidP="00C74168">
      <w:pPr>
        <w:pStyle w:val="Heading2"/>
      </w:pPr>
      <w:r>
        <w:t>Review of Literature</w:t>
      </w:r>
    </w:p>
    <w:p w14:paraId="44FBC0E8" w14:textId="77777777" w:rsidR="00571695" w:rsidRDefault="00571695" w:rsidP="00571695">
      <w:pPr>
        <w:pStyle w:val="Heading3"/>
      </w:pPr>
      <w:r>
        <w:t>Interest rate swaps</w:t>
      </w:r>
    </w:p>
    <w:p w14:paraId="09246CCF" w14:textId="7FC05BF5" w:rsidR="00571695" w:rsidRDefault="00571695" w:rsidP="00571695">
      <w:r>
        <w:t xml:space="preserve">Formal swap agreements were first seen in financial markets in 1981/1982. Bicksler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w:t>
      </w:r>
      <w:r>
        <w:lastRenderedPageBreak/>
        <w:t>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7B65B1F2" w14:textId="332F64B4" w:rsidR="00571695" w:rsidRDefault="00571695" w:rsidP="00924BA1">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w:t>
      </w:r>
      <w:proofErr w:type="spellStart"/>
      <w:r>
        <w:t>Eurostrips</w:t>
      </w:r>
      <w:proofErr w:type="spellEnd"/>
      <w:r>
        <w:t>)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07688355" w14:textId="77777777" w:rsidR="00571695" w:rsidRDefault="00571695" w:rsidP="00571695">
      <w:pPr>
        <w:pStyle w:val="Heading3"/>
      </w:pPr>
      <w:r>
        <w:t>Liquidity</w:t>
      </w:r>
    </w:p>
    <w:p w14:paraId="4F831571" w14:textId="170C0BC8"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943191">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w:t>
      </w:r>
      <w:r>
        <w:lastRenderedPageBreak/>
        <w:t>effect of dealer credit rating on bid-ask spreads using data from Mer</w:t>
      </w:r>
      <w:r w:rsidR="00C2300D">
        <w:t>r</w:t>
      </w:r>
      <w:r>
        <w:t>il</w:t>
      </w:r>
      <w:r w:rsidR="00C2300D">
        <w:t>l</w:t>
      </w:r>
      <w:r>
        <w:t xml:space="preserve"> Lynch and AIG Financial Products. They find that </w:t>
      </w:r>
      <w:r w:rsidR="00345031">
        <w:t xml:space="preserve">dealers with </w:t>
      </w:r>
      <w:r>
        <w:t>AAA</w:t>
      </w:r>
      <w:r w:rsidR="00345031">
        <w:t xml:space="preserve"> credit ratings </w:t>
      </w:r>
      <w:r>
        <w:t xml:space="preserve">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5AB96B8F"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r w:rsidR="00AD3117">
        <w:t>affects</w:t>
      </w:r>
      <w:r>
        <w:t xml:space="preserve"> IR</w:t>
      </w:r>
      <w:r w:rsidR="00AD3117">
        <w:t xml:space="preserve"> swap</w:t>
      </w:r>
      <w:r>
        <w:t xml:space="preserve"> price volatility. In addition, for GBP based contracts, the money supply is negatively associated with </w:t>
      </w:r>
      <w:r w:rsidR="00BF22F0">
        <w:t>I</w:t>
      </w:r>
      <w:r>
        <w:t>R</w:t>
      </w:r>
      <w:r w:rsidR="00AD3117">
        <w:t xml:space="preserve"> swap</w:t>
      </w:r>
      <w:r>
        <w:t xml:space="preserve"> volatility. For USD based contracts, the volatility of industrial production and the slope of the yield curve also </w:t>
      </w:r>
      <w:r w:rsidR="00BF22F0">
        <w:t>affects</w:t>
      </w:r>
      <w:r>
        <w:t xml:space="preserve"> IR</w:t>
      </w:r>
      <w:r w:rsidR="00AD3117">
        <w:t xml:space="preserve"> swap</w:t>
      </w:r>
      <w:r>
        <w:t xml:space="preserve">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Pernoud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w:t>
      </w:r>
      <w:r>
        <w:lastRenderedPageBreak/>
        <w:t xml:space="preserve">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Tirole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models are explored by Kiyotaki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Capponi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2517A196" w:rsidR="00571695" w:rsidRDefault="00571695" w:rsidP="00571695">
      <w:r>
        <w:t xml:space="preserve">Besides the network avenue, contagion can also occur through feedback loops and multiple equilibria. The classic Diamond and Dybvig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w:t>
      </w:r>
      <w:r w:rsidR="00DF2CFF">
        <w:t>’</w:t>
      </w:r>
      <w:r>
        <w:t xml:space="preserve"> beliefs about the creditworthiness of their counterparties can lead them to pull back their lending, leading to the very adverse credit condition and defaults that they were anticipating. This chain of defaults can </w:t>
      </w:r>
      <w:r>
        <w:lastRenderedPageBreak/>
        <w:t>cast doubts about the solvency of other banks, eventually leading to a systemwide freeze where banks stop lending to each other. This type of models are explored by Bebchuk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Brunnermeier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Rajan</w:t>
      </w:r>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34DC10AF"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Per Pirrong, CCPs should clear liquid, standardized products, as illiquid products can pose substantial risks to the CCP. </w:t>
      </w:r>
      <w:r w:rsidR="00DF2CFF">
        <w:t>CCP’s</w:t>
      </w:r>
      <w:r>
        <w:t xml:space="preserve">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r>
        <w:t xml:space="preserve">Duffie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Default="00571695" w:rsidP="00571695">
      <w:r>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3C0665" w14:textId="77777777" w:rsidR="00DF2CFF" w:rsidRPr="000816B7" w:rsidRDefault="00DF2CFF" w:rsidP="00571695"/>
    <w:p w14:paraId="5850AA5C" w14:textId="634DC182" w:rsidR="00B13BAB" w:rsidRDefault="00B13BAB" w:rsidP="009C0453">
      <w:pPr>
        <w:pStyle w:val="Heading1"/>
        <w:numPr>
          <w:ilvl w:val="0"/>
          <w:numId w:val="33"/>
        </w:numPr>
      </w:pPr>
      <w:bookmarkStart w:id="4" w:name="_Ref157719057"/>
      <w:r w:rsidRPr="0027378C">
        <w:lastRenderedPageBreak/>
        <w:t>Theory</w:t>
      </w:r>
      <w:bookmarkEnd w:id="4"/>
    </w:p>
    <w:p w14:paraId="64314E6A" w14:textId="77777777" w:rsidR="0034098A" w:rsidRDefault="0027378C" w:rsidP="00AB12F9">
      <w:pPr>
        <w:pStyle w:val="Heading2"/>
      </w:pPr>
      <w:r>
        <w:t>Pricing of Interest Rate Swaps</w:t>
      </w:r>
    </w:p>
    <w:p w14:paraId="7E205851" w14:textId="4B6DC15E" w:rsidR="0027378C" w:rsidRDefault="00594130" w:rsidP="0034098A">
      <w:pPr>
        <w:pStyle w:val="Heading3"/>
      </w:pPr>
      <w:bookmarkStart w:id="5" w:name="_Ref154527935"/>
      <w:r>
        <w:t>Pricing w</w:t>
      </w:r>
      <w:r w:rsidR="0027378C">
        <w:t>ithout credit risks</w:t>
      </w:r>
      <w:bookmarkEnd w:id="5"/>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E28A911" w14:textId="77777777" w:rsidTr="008652DB">
        <w:tc>
          <w:tcPr>
            <w:tcW w:w="350" w:type="pct"/>
          </w:tcPr>
          <w:p w14:paraId="7279C232" w14:textId="77777777" w:rsidR="008652DB" w:rsidRDefault="008652DB" w:rsidP="008D1C73">
            <w:pPr>
              <w:ind w:firstLine="0"/>
            </w:pPr>
          </w:p>
        </w:tc>
        <w:tc>
          <w:tcPr>
            <w:tcW w:w="4300" w:type="pct"/>
          </w:tcPr>
          <w:p w14:paraId="441BF140" w14:textId="51C611F8"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F02EC1A" w14:textId="4B161D63"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1</w:t>
            </w:r>
            <w:r>
              <w:fldChar w:fldCharType="end"/>
            </w:r>
            <w:r>
              <w:t>)</w:t>
            </w:r>
          </w:p>
        </w:tc>
      </w:tr>
    </w:tbl>
    <w:p w14:paraId="3F73DA0C" w14:textId="28F8F91E" w:rsidR="0027378C" w:rsidRPr="00FD7A2B" w:rsidRDefault="0027378C" w:rsidP="00031822">
      <w:pPr>
        <w:rPr>
          <w:rFonts w:eastAsiaTheme="minorEastAsia"/>
        </w:rPr>
      </w:pPr>
    </w:p>
    <w:p w14:paraId="5A80DB45" w14:textId="5FF12C93" w:rsidR="0027378C" w:rsidRDefault="00847A0D" w:rsidP="00847A0D">
      <w:pPr>
        <w:ind w:firstLine="0"/>
      </w:pPr>
      <w:r>
        <w:t>w</w:t>
      </w:r>
      <w:r w:rsidR="0027378C">
        <w:t xml:space="preserve">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78C">
        <w:t xml:space="preserve"> is the risk-free rate for period </w:t>
      </w:r>
      <m:oMath>
        <m:r>
          <w:rPr>
            <w:rFonts w:ascii="Cambria Math" w:hAnsi="Cambria Math"/>
          </w:rPr>
          <m:t>i</m:t>
        </m:r>
      </m:oMath>
      <w:r w:rsidR="0027378C">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7378C">
        <w:t xml:space="preserve"> is the time at which CF will be received and </w:t>
      </w:r>
      <m:oMath>
        <m:r>
          <w:rPr>
            <w:rFonts w:ascii="Cambria Math" w:hAnsi="Cambria Math"/>
          </w:rPr>
          <m:t>T</m:t>
        </m:r>
      </m:oMath>
      <w:r w:rsidR="0027378C">
        <w:t xml:space="preserve"> is the tenor (total length of the swap contract)</w:t>
      </w:r>
    </w:p>
    <w:p w14:paraId="1C68C8E6" w14:textId="77777777" w:rsidR="0027378C" w:rsidRDefault="0027378C" w:rsidP="00031822">
      <w:r>
        <w:t>The present value of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3284E5CC" w14:textId="77777777" w:rsidTr="008652DB">
        <w:tc>
          <w:tcPr>
            <w:tcW w:w="350" w:type="pct"/>
          </w:tcPr>
          <w:p w14:paraId="2B429553" w14:textId="77777777" w:rsidR="008652DB" w:rsidRDefault="008652DB" w:rsidP="008D1C73">
            <w:pPr>
              <w:ind w:firstLine="0"/>
            </w:pPr>
          </w:p>
        </w:tc>
        <w:tc>
          <w:tcPr>
            <w:tcW w:w="4300" w:type="pct"/>
          </w:tcPr>
          <w:p w14:paraId="34675F01" w14:textId="13321847"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CB478A2" w14:textId="6BE3E0B5"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2</w:t>
            </w:r>
            <w:r>
              <w:fldChar w:fldCharType="end"/>
            </w:r>
            <w:r>
              <w:t>)</w:t>
            </w:r>
          </w:p>
        </w:tc>
      </w:tr>
    </w:tbl>
    <w:p w14:paraId="7AEFE96E" w14:textId="31A3D56B" w:rsidR="0027378C" w:rsidRPr="00FD7A2B" w:rsidRDefault="0027378C" w:rsidP="00031822">
      <w:pPr>
        <w:rPr>
          <w:rFonts w:eastAsiaTheme="minorEastAsia"/>
        </w:rPr>
      </w:pPr>
    </w:p>
    <w:p w14:paraId="60DB24E8" w14:textId="18B3E490" w:rsidR="0027378C" w:rsidRDefault="00847A0D" w:rsidP="00847A0D">
      <w:pPr>
        <w:ind w:firstLine="0"/>
      </w:pPr>
      <w:r>
        <w:t>w</w:t>
      </w:r>
      <w:r w:rsidR="0027378C">
        <w:t xml:space="preserve">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7378C">
        <w:t xml:space="preserve"> is the floating leg payment at period </w:t>
      </w:r>
      <m:oMath>
        <m:r>
          <w:rPr>
            <w:rFonts w:ascii="Cambria Math" w:hAnsi="Cambria Math"/>
          </w:rPr>
          <m:t>i</m:t>
        </m:r>
      </m:oMath>
      <w:r w:rsidR="0027378C">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10F700AC" w14:textId="77777777" w:rsidTr="008652DB">
        <w:tc>
          <w:tcPr>
            <w:tcW w:w="350" w:type="pct"/>
          </w:tcPr>
          <w:p w14:paraId="5A704F79" w14:textId="77777777" w:rsidR="008652DB" w:rsidRDefault="008652DB" w:rsidP="008D1C73">
            <w:pPr>
              <w:ind w:firstLine="0"/>
            </w:pPr>
          </w:p>
        </w:tc>
        <w:tc>
          <w:tcPr>
            <w:tcW w:w="4300" w:type="pct"/>
          </w:tcPr>
          <w:p w14:paraId="21A5A834" w14:textId="57A6BD66" w:rsidR="008652DB" w:rsidRPr="008652DB" w:rsidRDefault="008652DB" w:rsidP="008D1C73">
            <w:pPr>
              <w:ind w:firstLine="0"/>
            </w:pPr>
            <m:oMathPara>
              <m:oMathParaPr>
                <m:jc m:val="center"/>
              </m:oMathParaPr>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tc>
        <w:tc>
          <w:tcPr>
            <w:tcW w:w="350" w:type="pct"/>
          </w:tcPr>
          <w:p w14:paraId="6B32A529" w14:textId="57EB13FE" w:rsidR="008652DB" w:rsidRDefault="008652DB" w:rsidP="008652DB">
            <w:pPr>
              <w:pStyle w:val="Caption"/>
              <w:keepNext/>
              <w:jc w:val="right"/>
            </w:pPr>
            <w:bookmarkStart w:id="6" w:name="_Ref167361621"/>
            <w:r>
              <w:t>(</w:t>
            </w:r>
            <w:r>
              <w:fldChar w:fldCharType="begin"/>
            </w:r>
            <w:r>
              <w:instrText xml:space="preserve"> SEQ Equation \* ARABIC </w:instrText>
            </w:r>
            <w:r>
              <w:fldChar w:fldCharType="separate"/>
            </w:r>
            <w:r w:rsidR="00943191">
              <w:rPr>
                <w:noProof/>
              </w:rPr>
              <w:t>3</w:t>
            </w:r>
            <w:r>
              <w:fldChar w:fldCharType="end"/>
            </w:r>
            <w:r>
              <w:t>)</w:t>
            </w:r>
            <w:bookmarkEnd w:id="6"/>
          </w:p>
        </w:tc>
      </w:tr>
    </w:tbl>
    <w:p w14:paraId="43772741" w14:textId="528F31A4" w:rsidR="0027378C" w:rsidRPr="00B42996" w:rsidRDefault="0027378C" w:rsidP="00031822">
      <w:pPr>
        <w:rPr>
          <w:rFonts w:eastAsiaTheme="minorEastAsia"/>
        </w:rPr>
      </w:pPr>
    </w:p>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6F5BAF88" w:rsidR="0034098A" w:rsidRDefault="0027378C" w:rsidP="002F4ED0">
      <w:r>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contract, </w:t>
      </w:r>
      <w:r w:rsidR="0010299E">
        <w:t>its</w:t>
      </w:r>
      <w:r>
        <w:t xml:space="preserve"> value </w:t>
      </w:r>
      <w:r w:rsidR="00DF2CFF">
        <w:t>(</w:t>
      </w:r>
      <m:oMath>
        <m:r>
          <w:rPr>
            <w:rFonts w:ascii="Cambria Math" w:hAnsi="Cambria Math"/>
          </w:rPr>
          <m:t>PV</m:t>
        </m:r>
      </m:oMath>
      <w:r w:rsidR="00DF2CFF">
        <w:t xml:space="preserve">) </w:t>
      </w:r>
      <w:r>
        <w:t xml:space="preserve">is zero. This is achieved by determining the present value of the floating </w:t>
      </w:r>
      <w:r>
        <w:lastRenderedPageBreak/>
        <w:t xml:space="preserve">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rsidR="00DF2CFF">
        <w:t xml:space="preserve">in </w:t>
      </w:r>
      <w:r w:rsidR="00DF2CFF">
        <w:fldChar w:fldCharType="begin"/>
      </w:r>
      <w:r w:rsidR="00DF2CFF">
        <w:instrText xml:space="preserve"> REF _Ref167361621 \h </w:instrText>
      </w:r>
      <w:r w:rsidR="00DF2CFF">
        <w:fldChar w:fldCharType="separate"/>
      </w:r>
      <w:r w:rsidR="00DF2CFF">
        <w:t>(</w:t>
      </w:r>
      <w:r w:rsidR="00DF2CFF">
        <w:rPr>
          <w:noProof/>
        </w:rPr>
        <w:t>3</w:t>
      </w:r>
      <w:r w:rsidR="00DF2CFF">
        <w:t>)</w:t>
      </w:r>
      <w:r w:rsidR="00DF2CFF">
        <w:fldChar w:fldCharType="end"/>
      </w:r>
      <w:r w:rsidR="00DF2CFF">
        <w:t xml:space="preserve"> </w:t>
      </w:r>
      <w:r>
        <w:t xml:space="preserve">such that the present values of both legs </w:t>
      </w:r>
      <w:r w:rsidR="0010299E">
        <w:t>equal</w:t>
      </w:r>
      <w:r>
        <w:t>.</w:t>
      </w:r>
    </w:p>
    <w:p w14:paraId="31712FFA" w14:textId="3FDDC1D2" w:rsidR="0027378C" w:rsidRDefault="00594130" w:rsidP="0034098A">
      <w:pPr>
        <w:pStyle w:val="Heading3"/>
      </w:pPr>
      <w:r>
        <w:t>Pricing with c</w:t>
      </w:r>
      <w:r w:rsidR="0027378C">
        <w:t>ounterparty Risk and C</w:t>
      </w:r>
      <w:r w:rsidR="00781E75">
        <w:t xml:space="preserve">redit Valuation </w:t>
      </w:r>
      <w:r w:rsidR="0027378C">
        <w:t>A</w:t>
      </w:r>
      <w:r w:rsidR="00781E75">
        <w:t>djustment</w:t>
      </w:r>
      <w:r w:rsidR="0027378C">
        <w:t>/D</w:t>
      </w:r>
      <w:r w:rsidR="00781E75">
        <w:t xml:space="preserve">ebit </w:t>
      </w:r>
      <w:r w:rsidR="0027378C">
        <w:t>V</w:t>
      </w:r>
      <w:r w:rsidR="00781E75">
        <w:t xml:space="preserve">aluation </w:t>
      </w:r>
      <w:r w:rsidR="0027378C">
        <w:t>A</w:t>
      </w:r>
      <w:r w:rsidR="00781E75">
        <w:t>djustment</w:t>
      </w:r>
    </w:p>
    <w:p w14:paraId="58AE67F0" w14:textId="6BBA46A9" w:rsidR="00B93079" w:rsidRDefault="0027378C" w:rsidP="00031822">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6B3C2F">
        <w:fldChar w:fldCharType="begin"/>
      </w:r>
      <w:r w:rsidR="006B3C2F">
        <w:instrText xml:space="preserve"> REF _Ref167361825 \h </w:instrText>
      </w:r>
      <w:r w:rsidR="006B3C2F">
        <w:fldChar w:fldCharType="separate"/>
      </w:r>
      <w:r w:rsidR="006B3C2F">
        <w:t xml:space="preserve">Figure </w:t>
      </w:r>
      <w:r w:rsidR="006B3C2F">
        <w:rPr>
          <w:noProof/>
        </w:rPr>
        <w:t>2</w:t>
      </w:r>
      <w:r w:rsidR="006B3C2F">
        <w:fldChar w:fldCharType="end"/>
      </w:r>
      <w:r w:rsidR="006B3C2F">
        <w:t xml:space="preserve"> </w:t>
      </w:r>
      <w:r>
        <w:t>depicts a hypothetical network model of such a market.</w:t>
      </w:r>
    </w:p>
    <w:p w14:paraId="6D0280E6" w14:textId="33642162" w:rsidR="00C66CC2" w:rsidRDefault="00C66CC2" w:rsidP="00C66CC2">
      <w:pPr>
        <w:keepNext/>
        <w:jc w:val="center"/>
      </w:pPr>
      <w:r>
        <w:t>[Figure 2 about here]</w:t>
      </w:r>
    </w:p>
    <w:p w14:paraId="5E4A6229" w14:textId="259DE008" w:rsidR="0027378C" w:rsidRDefault="00C66CC2" w:rsidP="00C66CC2">
      <w:pPr>
        <w:pStyle w:val="Caption"/>
        <w:jc w:val="center"/>
      </w:pPr>
      <w:bookmarkStart w:id="7" w:name="_Ref167361825"/>
      <w:r>
        <w:t xml:space="preserve">Figure </w:t>
      </w:r>
      <w:r>
        <w:fldChar w:fldCharType="begin"/>
      </w:r>
      <w:r>
        <w:instrText xml:space="preserve"> SEQ Figure \* ARABIC </w:instrText>
      </w:r>
      <w:r>
        <w:fldChar w:fldCharType="separate"/>
      </w:r>
      <w:r w:rsidR="00943191">
        <w:rPr>
          <w:noProof/>
        </w:rPr>
        <w:t>2</w:t>
      </w:r>
      <w:r>
        <w:fldChar w:fldCharType="end"/>
      </w:r>
      <w:bookmarkEnd w:id="7"/>
      <w:r>
        <w:rPr>
          <w:noProof/>
        </w:rPr>
        <w:t xml:space="preserve"> </w:t>
      </w:r>
      <w:r w:rsidR="006B3C2F">
        <w:rPr>
          <w:noProof/>
        </w:rPr>
        <w:t>Dealer based m</w:t>
      </w:r>
      <w:r>
        <w:rPr>
          <w:noProof/>
        </w:rPr>
        <w:t>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07142F7F" w14:textId="77777777" w:rsidTr="008652DB">
        <w:tc>
          <w:tcPr>
            <w:tcW w:w="350" w:type="pct"/>
          </w:tcPr>
          <w:p w14:paraId="608350DF" w14:textId="77777777" w:rsidR="008652DB" w:rsidRDefault="008652DB" w:rsidP="008D1C73">
            <w:pPr>
              <w:ind w:firstLine="0"/>
            </w:pPr>
          </w:p>
        </w:tc>
        <w:tc>
          <w:tcPr>
            <w:tcW w:w="4300" w:type="pct"/>
          </w:tcPr>
          <w:p w14:paraId="28C2553A" w14:textId="39D8E7B8" w:rsidR="008652DB" w:rsidRPr="008652DB" w:rsidRDefault="008652DB" w:rsidP="008D1C73">
            <w:pPr>
              <w:ind w:firstLine="0"/>
            </w:pPr>
            <m:oMathPara>
              <m:oMathParaPr>
                <m:jc m:val="center"/>
              </m:oMathParaPr>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424C6039" w14:textId="5DC380E5"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4</w:t>
            </w:r>
            <w:r>
              <w:fldChar w:fldCharType="end"/>
            </w:r>
            <w:r>
              <w:t>)</w:t>
            </w:r>
          </w:p>
        </w:tc>
      </w:tr>
    </w:tbl>
    <w:p w14:paraId="19D1F1D9" w14:textId="1BCC2215" w:rsidR="0027378C" w:rsidRPr="0073452C" w:rsidRDefault="0027378C" w:rsidP="008652DB">
      <w:pPr>
        <w:ind w:firstLine="0"/>
        <w:rPr>
          <w:rFonts w:eastAsiaTheme="minorEastAsia"/>
        </w:rPr>
      </w:pPr>
    </w:p>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r w:rsidR="005A7F47">
        <w:t xml:space="preserve">has </w:t>
      </w:r>
      <w:r w:rsidR="00876F18">
        <w:t xml:space="preserve">to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4EB20FF8" w:rsidR="0027378C" w:rsidRDefault="00594130" w:rsidP="0034098A">
      <w:pPr>
        <w:pStyle w:val="Heading3"/>
      </w:pPr>
      <w:r>
        <w:lastRenderedPageBreak/>
        <w:t xml:space="preserve">Pricing under </w:t>
      </w:r>
      <w:r w:rsidR="0027378C">
        <w:t>Central Clearing</w:t>
      </w:r>
    </w:p>
    <w:p w14:paraId="6FC9356A" w14:textId="47E2DA64"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943191">
        <w:t xml:space="preserve">Figure </w:t>
      </w:r>
      <w:r w:rsidR="00943191">
        <w:rPr>
          <w:noProof/>
        </w:rPr>
        <w:t>3</w:t>
      </w:r>
      <w:r w:rsidR="00C66CC2">
        <w:fldChar w:fldCharType="end"/>
      </w:r>
      <w:r>
        <w:t xml:space="preserve"> visualizes a hypothetical market structure with mandated central clearing.</w:t>
      </w:r>
    </w:p>
    <w:p w14:paraId="03679E74" w14:textId="4215851F" w:rsidR="008640B2" w:rsidRDefault="00C66CC2" w:rsidP="008640B2">
      <w:pPr>
        <w:keepNext/>
        <w:jc w:val="center"/>
      </w:pPr>
      <w:r>
        <w:t>[Figure 3 about here]</w:t>
      </w:r>
    </w:p>
    <w:p w14:paraId="273E10AA" w14:textId="54BD2B1B" w:rsidR="0027378C" w:rsidRDefault="008640B2" w:rsidP="008640B2">
      <w:pPr>
        <w:pStyle w:val="Caption"/>
        <w:jc w:val="center"/>
      </w:pPr>
      <w:bookmarkStart w:id="8" w:name="_Ref162817904"/>
      <w:r>
        <w:t xml:space="preserve">Figure </w:t>
      </w:r>
      <w:r>
        <w:fldChar w:fldCharType="begin"/>
      </w:r>
      <w:r>
        <w:instrText xml:space="preserve"> SEQ Figure \* ARABIC </w:instrText>
      </w:r>
      <w:r>
        <w:fldChar w:fldCharType="separate"/>
      </w:r>
      <w:r w:rsidR="00943191">
        <w:rPr>
          <w:noProof/>
        </w:rPr>
        <w:t>3</w:t>
      </w:r>
      <w:r>
        <w:fldChar w:fldCharType="end"/>
      </w:r>
      <w:bookmarkEnd w:id="8"/>
      <w:r>
        <w:rPr>
          <w:noProof/>
        </w:rPr>
        <w:t xml:space="preserve"> Market with Central Clearing</w:t>
      </w:r>
    </w:p>
    <w:p w14:paraId="075F445A" w14:textId="419357CF" w:rsidR="00AA5AFB" w:rsidRDefault="00AA5AFB" w:rsidP="00AA5AFB">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ven if clearinghouses are 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F741C9D" w:rsidR="004F43A3" w:rsidRPr="00834DE5" w:rsidRDefault="00594130" w:rsidP="00031822">
      <w:pPr>
        <w:pStyle w:val="Heading3"/>
      </w:pPr>
      <w:r>
        <w:t>Liquidity w</w:t>
      </w:r>
      <w:r w:rsidR="004F43A3" w:rsidRPr="00834DE5">
        <w:t xml:space="preserve">ith </w:t>
      </w:r>
      <w:r w:rsidR="009022B9">
        <w:t>n</w:t>
      </w:r>
      <w:r w:rsidR="004F43A3" w:rsidRPr="00834DE5">
        <w:t>o Counterparty Risk</w:t>
      </w:r>
    </w:p>
    <w:p w14:paraId="36BF5B0C" w14:textId="7EF7F1AC"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w:t>
      </w:r>
      <w:r w:rsidR="006C5B6D">
        <w:t>The liquidity trader</w:t>
      </w:r>
      <w:r>
        <w:t xml:space="preserv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lastRenderedPageBreak/>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tbl>
      <w:tblPr>
        <w:tblW w:w="5000" w:type="pct"/>
        <w:tblLook w:val="04A0" w:firstRow="1" w:lastRow="0" w:firstColumn="1" w:lastColumn="0" w:noHBand="0" w:noVBand="1"/>
      </w:tblPr>
      <w:tblGrid>
        <w:gridCol w:w="655"/>
        <w:gridCol w:w="8050"/>
        <w:gridCol w:w="655"/>
      </w:tblGrid>
      <w:tr w:rsidR="002D09A5" w14:paraId="2C2766EC" w14:textId="77777777" w:rsidTr="002D09A5">
        <w:tc>
          <w:tcPr>
            <w:tcW w:w="350" w:type="pct"/>
          </w:tcPr>
          <w:p w14:paraId="18699E22" w14:textId="77777777" w:rsidR="002D09A5" w:rsidRDefault="002D09A5" w:rsidP="008D1C73"/>
        </w:tc>
        <w:tc>
          <w:tcPr>
            <w:tcW w:w="4300" w:type="pct"/>
          </w:tcPr>
          <w:p w14:paraId="26E44F93" w14:textId="649FDD47" w:rsidR="002D09A5" w:rsidRPr="002D09A5" w:rsidRDefault="002D09A5" w:rsidP="002D09A5">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tc>
        <w:tc>
          <w:tcPr>
            <w:tcW w:w="350" w:type="pct"/>
          </w:tcPr>
          <w:p w14:paraId="1FCD9059" w14:textId="6334CBE1" w:rsidR="002D09A5" w:rsidRDefault="002D09A5" w:rsidP="008652DB">
            <w:pPr>
              <w:pStyle w:val="Caption"/>
              <w:keepNext/>
              <w:jc w:val="right"/>
            </w:pPr>
            <w:r>
              <w:t>(</w:t>
            </w:r>
            <w:r>
              <w:fldChar w:fldCharType="begin"/>
            </w:r>
            <w:r>
              <w:instrText xml:space="preserve"> SEQ Equation \* ARABIC </w:instrText>
            </w:r>
            <w:r>
              <w:fldChar w:fldCharType="separate"/>
            </w:r>
            <w:r>
              <w:rPr>
                <w:noProof/>
              </w:rPr>
              <w:t>5</w:t>
            </w:r>
            <w:r>
              <w:fldChar w:fldCharType="end"/>
            </w:r>
            <w:r>
              <w:t>)</w:t>
            </w:r>
          </w:p>
        </w:tc>
      </w:tr>
    </w:tbl>
    <w:p w14:paraId="5F824377" w14:textId="37EF6667" w:rsidR="004F43A3" w:rsidRDefault="00781E75" w:rsidP="00847A0D">
      <w:pPr>
        <w:ind w:firstLine="0"/>
      </w:pPr>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r>
              <w:rPr>
                <w:rFonts w:ascii="Cambria Math" w:hAnsi="Cambria Math"/>
              </w:rPr>
              <m:t>α</m:t>
            </m:r>
            <m:d>
              <m:dPr>
                <m:ctrlPr>
                  <w:rPr>
                    <w:rFonts w:ascii="Cambria Math" w:hAnsi="Cambria Math"/>
                    <w:i/>
                  </w:rPr>
                </m:ctrlPr>
              </m:dPr>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e>
        </m:func>
        <m:r>
          <w:rPr>
            <w:rFonts w:ascii="Cambria Math" w:hAnsi="Cambria Math"/>
          </w:rPr>
          <m:t>]</m:t>
        </m:r>
      </m:oMath>
      <w:r w:rsidR="004F43A3">
        <w:t>. The optimal quantity is:</w:t>
      </w:r>
    </w:p>
    <w:tbl>
      <w:tblPr>
        <w:tblW w:w="5000" w:type="pct"/>
        <w:tblLook w:val="04A0" w:firstRow="1" w:lastRow="0" w:firstColumn="1" w:lastColumn="0" w:noHBand="0" w:noVBand="1"/>
      </w:tblPr>
      <w:tblGrid>
        <w:gridCol w:w="655"/>
        <w:gridCol w:w="8050"/>
        <w:gridCol w:w="655"/>
      </w:tblGrid>
      <w:tr w:rsidR="002D09A5" w14:paraId="1FF576DA" w14:textId="77777777" w:rsidTr="002D09A5">
        <w:tc>
          <w:tcPr>
            <w:tcW w:w="350" w:type="pct"/>
          </w:tcPr>
          <w:p w14:paraId="484510E5" w14:textId="77777777" w:rsidR="002D09A5" w:rsidRDefault="002D09A5" w:rsidP="008D1C73"/>
        </w:tc>
        <w:tc>
          <w:tcPr>
            <w:tcW w:w="4300" w:type="pct"/>
          </w:tcPr>
          <w:p w14:paraId="1CA60586" w14:textId="0708137E" w:rsidR="002D09A5" w:rsidRPr="008652DB" w:rsidRDefault="00000000" w:rsidP="008D1C73">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-1</m:t>
                    </m:r>
                  </m:e>
                </m:d>
                <m:r>
                  <w:rPr>
                    <w:rFonts w:ascii="Cambria Math" w:eastAsiaTheme="minorEastAsia" w:hAnsi="Cambria Math"/>
                  </w:rPr>
                  <m:t>+L</m:t>
                </m:r>
              </m:oMath>
            </m:oMathPara>
          </w:p>
        </w:tc>
        <w:tc>
          <w:tcPr>
            <w:tcW w:w="350" w:type="pct"/>
          </w:tcPr>
          <w:p w14:paraId="282EA179" w14:textId="2DDE79FE" w:rsidR="002D09A5" w:rsidRDefault="002D09A5" w:rsidP="008652DB">
            <w:pPr>
              <w:pStyle w:val="Caption"/>
              <w:keepNext/>
              <w:jc w:val="right"/>
            </w:pPr>
            <w:r>
              <w:t>(</w:t>
            </w:r>
            <w:r>
              <w:fldChar w:fldCharType="begin"/>
            </w:r>
            <w:r>
              <w:instrText xml:space="preserve"> SEQ Equation \* ARABIC </w:instrText>
            </w:r>
            <w:r>
              <w:fldChar w:fldCharType="separate"/>
            </w:r>
            <w:r>
              <w:rPr>
                <w:noProof/>
              </w:rPr>
              <w:t>6</w:t>
            </w:r>
            <w:r>
              <w:fldChar w:fldCharType="end"/>
            </w:r>
            <w:r>
              <w:t>)</w:t>
            </w:r>
          </w:p>
        </w:tc>
      </w:tr>
    </w:tbl>
    <w:p w14:paraId="29EC86B4" w14:textId="0739FD6A" w:rsidR="004F43A3" w:rsidRPr="00D83385" w:rsidRDefault="00781E75" w:rsidP="002D09A5">
      <w:pPr>
        <w:ind w:firstLine="0"/>
      </w:pPr>
      <w:r>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d>
          </m:e>
        </m:func>
      </m:oMath>
    </w:p>
    <w:p w14:paraId="62384BFF" w14:textId="4F2E5669" w:rsidR="004F43A3" w:rsidRDefault="004F43A3" w:rsidP="00031822">
      <w:r>
        <w:t xml:space="preserve">If </w:t>
      </w:r>
      <w:r w:rsidR="0053175A">
        <w:t xml:space="preserve">dealer 1 </w:t>
      </w:r>
      <w:r>
        <w:t xml:space="preserve">has the best price, </w:t>
      </w:r>
      <w:r w:rsidR="0053175A">
        <w:t>s/</w:t>
      </w:r>
      <w:r>
        <w:t>he receives the order flow and has wealth: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D5907" w14:paraId="00452D61" w14:textId="77777777" w:rsidTr="004D5907">
        <w:tc>
          <w:tcPr>
            <w:tcW w:w="350" w:type="pct"/>
          </w:tcPr>
          <w:p w14:paraId="660CCFFF" w14:textId="77777777" w:rsidR="004D5907" w:rsidRDefault="004D5907" w:rsidP="008D1C73"/>
        </w:tc>
        <w:tc>
          <w:tcPr>
            <w:tcW w:w="4300" w:type="pct"/>
          </w:tcPr>
          <w:p w14:paraId="1494583C" w14:textId="58E58350" w:rsidR="004D5907" w:rsidRPr="008652DB" w:rsidRDefault="004D5907" w:rsidP="008D1C73">
            <m:oMathPara>
              <m:oMathParaPr>
                <m:jc m:val="center"/>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tc>
        <w:tc>
          <w:tcPr>
            <w:tcW w:w="350" w:type="pct"/>
          </w:tcPr>
          <w:p w14:paraId="1A09AD2C" w14:textId="01B0A1D0" w:rsidR="004D5907" w:rsidRDefault="004D5907" w:rsidP="008652DB">
            <w:pPr>
              <w:pStyle w:val="Caption"/>
              <w:keepNext/>
              <w:jc w:val="right"/>
            </w:pPr>
            <w:r>
              <w:t>(</w:t>
            </w:r>
            <w:r>
              <w:fldChar w:fldCharType="begin"/>
            </w:r>
            <w:r>
              <w:instrText xml:space="preserve"> SEQ Equation \* ARABIC </w:instrText>
            </w:r>
            <w:r>
              <w:fldChar w:fldCharType="separate"/>
            </w:r>
            <w:r>
              <w:rPr>
                <w:noProof/>
              </w:rPr>
              <w:t>7</w:t>
            </w:r>
            <w:r>
              <w:fldChar w:fldCharType="end"/>
            </w:r>
            <w:r>
              <w:t>)</w:t>
            </w:r>
          </w:p>
        </w:tc>
      </w:tr>
    </w:tbl>
    <w:p w14:paraId="3649EE37" w14:textId="3FF680AC" w:rsidR="004F43A3" w:rsidRDefault="00781E75" w:rsidP="00943191">
      <w:pPr>
        <w:ind w:firstLine="0"/>
      </w:pPr>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xml:space="preserve">). If </w:t>
      </w:r>
      <w:r w:rsidR="0053175A">
        <w:t xml:space="preserve">dealer 1 </w:t>
      </w:r>
      <w:r w:rsidR="004F43A3">
        <w:t xml:space="preserve">does not have the best price, </w:t>
      </w:r>
      <w:r w:rsidR="0053175A">
        <w:t>s/</w:t>
      </w:r>
      <w:r w:rsidR="004F43A3">
        <w:t>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6DB07E47" w14:textId="77777777" w:rsidTr="008652DB">
        <w:tc>
          <w:tcPr>
            <w:tcW w:w="350" w:type="pct"/>
          </w:tcPr>
          <w:p w14:paraId="5616E132" w14:textId="77777777" w:rsidR="008652DB" w:rsidRDefault="008652DB" w:rsidP="008D1C73">
            <w:pPr>
              <w:ind w:firstLine="0"/>
            </w:pPr>
          </w:p>
        </w:tc>
        <w:tc>
          <w:tcPr>
            <w:tcW w:w="4300" w:type="pct"/>
          </w:tcPr>
          <w:p w14:paraId="46CA2A82" w14:textId="020DBB40"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Para>
          </w:p>
        </w:tc>
        <w:tc>
          <w:tcPr>
            <w:tcW w:w="350" w:type="pct"/>
          </w:tcPr>
          <w:p w14:paraId="54CD93EB" w14:textId="475CE1E4"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5</w:t>
            </w:r>
            <w:r>
              <w:fldChar w:fldCharType="end"/>
            </w:r>
            <w:r>
              <w:t>)</w:t>
            </w:r>
          </w:p>
        </w:tc>
      </w:tr>
    </w:tbl>
    <w:p w14:paraId="05CE4AC3" w14:textId="77777777" w:rsidR="008652DB" w:rsidRPr="00461C55" w:rsidRDefault="008652DB"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942DBA6" w14:textId="77777777" w:rsidTr="008652DB">
        <w:tc>
          <w:tcPr>
            <w:tcW w:w="350" w:type="pct"/>
          </w:tcPr>
          <w:p w14:paraId="4F844119" w14:textId="77777777" w:rsidR="008652DB" w:rsidRDefault="008652DB" w:rsidP="008D1C73">
            <w:pPr>
              <w:ind w:firstLine="0"/>
            </w:pPr>
          </w:p>
        </w:tc>
        <w:tc>
          <w:tcPr>
            <w:tcW w:w="4300" w:type="pct"/>
          </w:tcPr>
          <w:p w14:paraId="1FC24090" w14:textId="32BD3D08"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7A339E0A" w14:textId="453ADCD3"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6</w:t>
            </w:r>
            <w:r>
              <w:fldChar w:fldCharType="end"/>
            </w:r>
            <w:r>
              <w:t>)</w:t>
            </w:r>
          </w:p>
        </w:tc>
      </w:tr>
    </w:tbl>
    <w:p w14:paraId="532954AF" w14:textId="6B8B0679" w:rsidR="004F43A3" w:rsidRPr="00461C55" w:rsidRDefault="004F43A3" w:rsidP="00031822">
      <w:pPr>
        <w:ind w:firstLine="720"/>
        <w:rPr>
          <w:rFonts w:eastAsiaTheme="minorEastAsia"/>
        </w:rPr>
      </w:pPr>
    </w:p>
    <w:p w14:paraId="73A28FEB" w14:textId="73A0A475" w:rsidR="004F43A3" w:rsidRDefault="00781E75" w:rsidP="00943191">
      <w:pPr>
        <w:ind w:firstLine="0"/>
      </w:pPr>
      <w:r>
        <w:lastRenderedPageBreak/>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74A790DB" w14:textId="77777777" w:rsidTr="008652DB">
        <w:tc>
          <w:tcPr>
            <w:tcW w:w="350" w:type="pct"/>
          </w:tcPr>
          <w:p w14:paraId="5258A366" w14:textId="77777777" w:rsidR="008652DB" w:rsidRDefault="008652DB" w:rsidP="008D1C73">
            <w:pPr>
              <w:ind w:firstLine="0"/>
            </w:pPr>
          </w:p>
        </w:tc>
        <w:tc>
          <w:tcPr>
            <w:tcW w:w="4300" w:type="pct"/>
          </w:tcPr>
          <w:p w14:paraId="2D816FB3" w14:textId="4FE7912A"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59A6F23A" w14:textId="7AE0405D"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7</w:t>
            </w:r>
            <w:r>
              <w:fldChar w:fldCharType="end"/>
            </w:r>
            <w:r>
              <w:t>)</w:t>
            </w:r>
          </w:p>
        </w:tc>
      </w:tr>
    </w:tbl>
    <w:p w14:paraId="3E781C1D" w14:textId="4DBFCE42" w:rsidR="004F43A3" w:rsidRPr="00B03657" w:rsidRDefault="004F43A3" w:rsidP="00031822">
      <w:pPr>
        <w:ind w:firstLine="720"/>
        <w:rPr>
          <w:rFonts w:eastAsiaTheme="minorEastAsia"/>
        </w:rPr>
      </w:pPr>
    </w:p>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1FE2180B" w14:textId="77777777" w:rsidTr="008652DB">
        <w:tc>
          <w:tcPr>
            <w:tcW w:w="350" w:type="pct"/>
          </w:tcPr>
          <w:p w14:paraId="17C3D1E4" w14:textId="77777777" w:rsidR="008652DB" w:rsidRDefault="008652DB" w:rsidP="008D1C73">
            <w:pPr>
              <w:ind w:firstLine="0"/>
            </w:pPr>
          </w:p>
        </w:tc>
        <w:tc>
          <w:tcPr>
            <w:tcW w:w="4300" w:type="pct"/>
          </w:tcPr>
          <w:p w14:paraId="4E57D186" w14:textId="4DAC3509"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1A0DD647" w14:textId="461BA9EE"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8</w:t>
            </w:r>
            <w:r>
              <w:fldChar w:fldCharType="end"/>
            </w:r>
            <w:r>
              <w:t>)</w:t>
            </w:r>
          </w:p>
        </w:tc>
      </w:tr>
    </w:tbl>
    <w:p w14:paraId="1933AC66" w14:textId="625DA15A" w:rsidR="004F43A3" w:rsidRPr="00B03657" w:rsidRDefault="004F43A3" w:rsidP="00031822">
      <w:pPr>
        <w:ind w:firstLine="720"/>
        <w:rPr>
          <w:rFonts w:eastAsiaTheme="minorEastAsia"/>
        </w:rPr>
      </w:pPr>
    </w:p>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65CD6A0"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By increasing his</w:t>
      </w:r>
      <w:r w:rsidR="0053175A">
        <w:rPr>
          <w:rFonts w:eastAsiaTheme="minorEastAsia"/>
        </w:rPr>
        <w:t>/her</w:t>
      </w:r>
      <w:r w:rsidR="004F43A3">
        <w:rPr>
          <w:rFonts w:eastAsiaTheme="minorEastAsia"/>
        </w:rPr>
        <w:t xml:space="preserve"> bid quote, </w:t>
      </w:r>
      <w:r>
        <w:rPr>
          <w:rFonts w:eastAsiaTheme="minorEastAsia"/>
        </w:rPr>
        <w:t xml:space="preserve">a dealer </w:t>
      </w:r>
      <w:r w:rsidR="004F43A3">
        <w:rPr>
          <w:rFonts w:eastAsiaTheme="minorEastAsia"/>
        </w:rPr>
        <w:t>increases his</w:t>
      </w:r>
      <w:r w:rsidR="0053175A">
        <w:rPr>
          <w:rFonts w:eastAsiaTheme="minorEastAsia"/>
        </w:rPr>
        <w:t>/her</w:t>
      </w:r>
      <w:r w:rsidR="004F43A3">
        <w:rPr>
          <w:rFonts w:eastAsiaTheme="minorEastAsia"/>
        </w:rPr>
        <w:t xml:space="preserve"> probability of winning the order </w:t>
      </w:r>
      <w:r w:rsidR="0053175A">
        <w:rPr>
          <w:rFonts w:eastAsiaTheme="minorEastAsia"/>
        </w:rPr>
        <w:t>flow but</w:t>
      </w:r>
      <w:r w:rsidR="004F43A3">
        <w:rPr>
          <w:rFonts w:eastAsiaTheme="minorEastAsia"/>
        </w:rPr>
        <w:t xml:space="preserve"> must balance this against the fact that </w:t>
      </w:r>
      <w:r w:rsidR="0053175A">
        <w:rPr>
          <w:rFonts w:eastAsiaTheme="minorEastAsia"/>
        </w:rPr>
        <w:t>s/</w:t>
      </w:r>
      <w:r w:rsidR="004F43A3">
        <w:rPr>
          <w:rFonts w:eastAsiaTheme="minorEastAsia"/>
        </w:rPr>
        <w:t xml:space="preserve">he pays more for each unit acquired. </w:t>
      </w:r>
      <w:r w:rsidR="0053175A">
        <w:rPr>
          <w:rFonts w:eastAsiaTheme="minorEastAsia"/>
        </w:rPr>
        <w:t>S/</w:t>
      </w:r>
      <w:r w:rsidR="004F43A3">
        <w:rPr>
          <w:rFonts w:eastAsiaTheme="minorEastAsia"/>
        </w:rPr>
        <w:t xml:space="preserve">He would not like to increase </w:t>
      </w:r>
      <w:r w:rsidR="0053175A">
        <w:rPr>
          <w:rFonts w:eastAsiaTheme="minorEastAsia"/>
        </w:rPr>
        <w:t>the</w:t>
      </w:r>
      <w:r w:rsidR="004F43A3">
        <w:rPr>
          <w:rFonts w:eastAsiaTheme="minorEastAsia"/>
        </w:rPr>
        <w:t xml:space="preserve"> quote beyond his</w:t>
      </w:r>
      <w:r w:rsidR="0053175A">
        <w:rPr>
          <w:rFonts w:eastAsiaTheme="minorEastAsia"/>
        </w:rPr>
        <w:t>/her</w:t>
      </w:r>
      <w:r w:rsidR="004F43A3">
        <w:rPr>
          <w:rFonts w:eastAsiaTheme="minorEastAsia"/>
        </w:rPr>
        <w:t xml:space="preserve"> reservation price. The optimal bid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7A4DCFF0" w14:textId="77777777" w:rsidTr="008652DB">
        <w:tc>
          <w:tcPr>
            <w:tcW w:w="350" w:type="pct"/>
          </w:tcPr>
          <w:p w14:paraId="7B9D9B60" w14:textId="77777777" w:rsidR="008652DB" w:rsidRDefault="008652DB" w:rsidP="008D1C73">
            <w:pPr>
              <w:ind w:firstLine="0"/>
            </w:pPr>
          </w:p>
        </w:tc>
        <w:tc>
          <w:tcPr>
            <w:tcW w:w="4300" w:type="pct"/>
          </w:tcPr>
          <w:p w14:paraId="685EB7FF" w14:textId="6C1B9BC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14C590B9" w14:textId="2890AE0D"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9</w:t>
            </w:r>
            <w:r>
              <w:fldChar w:fldCharType="end"/>
            </w:r>
            <w:r>
              <w:t>)</w:t>
            </w:r>
          </w:p>
        </w:tc>
      </w:tr>
    </w:tbl>
    <w:p w14:paraId="4C9DAA4E" w14:textId="77777777" w:rsidR="004F43A3" w:rsidRDefault="004F43A3" w:rsidP="0053175A">
      <w:pPr>
        <w:ind w:firstLine="0"/>
      </w:pPr>
      <w:r>
        <w:t>Similarly, the optimal ask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56BB284B" w14:textId="77777777" w:rsidTr="008652DB">
        <w:tc>
          <w:tcPr>
            <w:tcW w:w="350" w:type="pct"/>
          </w:tcPr>
          <w:p w14:paraId="4EEC9A56" w14:textId="77777777" w:rsidR="008652DB" w:rsidRDefault="008652DB" w:rsidP="008D1C73">
            <w:pPr>
              <w:ind w:firstLine="0"/>
            </w:pPr>
          </w:p>
        </w:tc>
        <w:tc>
          <w:tcPr>
            <w:tcW w:w="4300" w:type="pct"/>
          </w:tcPr>
          <w:p w14:paraId="65E9A796" w14:textId="11C3CB1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4FCF173C" w14:textId="5B029142"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10</w:t>
            </w:r>
            <w:r>
              <w:fldChar w:fldCharType="end"/>
            </w:r>
            <w:r>
              <w:t>)</w:t>
            </w:r>
          </w:p>
        </w:tc>
      </w:tr>
    </w:tbl>
    <w:p w14:paraId="7CEE3EB2" w14:textId="00A2C68C" w:rsidR="004F43A3" w:rsidRDefault="00781E75" w:rsidP="0053175A">
      <w:pPr>
        <w:ind w:firstLine="0"/>
      </w:pPr>
      <w:r>
        <w:t>a</w:t>
      </w:r>
      <w:r w:rsidR="004F43A3">
        <w:t xml:space="preserve">nd in general, the optimal bid and ask quotes for dealer </w:t>
      </w:r>
      <m:oMath>
        <m:r>
          <w:rPr>
            <w:rFonts w:ascii="Cambria Math" w:hAnsi="Cambria Math"/>
          </w:rPr>
          <m:t>i</m:t>
        </m:r>
      </m:oMath>
      <w:r w:rsidR="004F43A3">
        <w:t xml:space="preserve">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03223DDB" w14:textId="77777777" w:rsidTr="008652DB">
        <w:tc>
          <w:tcPr>
            <w:tcW w:w="350" w:type="pct"/>
          </w:tcPr>
          <w:p w14:paraId="3C8A7B3D" w14:textId="77777777" w:rsidR="008652DB" w:rsidRDefault="008652DB" w:rsidP="008D1C73">
            <w:pPr>
              <w:ind w:firstLine="0"/>
            </w:pPr>
          </w:p>
        </w:tc>
        <w:tc>
          <w:tcPr>
            <w:tcW w:w="4300" w:type="pct"/>
          </w:tcPr>
          <w:p w14:paraId="27A69DF1" w14:textId="08519D2F"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3E05E4AB" w14:textId="0CDE1492" w:rsidR="008652DB" w:rsidRDefault="008652DB" w:rsidP="008652DB">
            <w:pPr>
              <w:pStyle w:val="Caption"/>
              <w:keepNext/>
              <w:jc w:val="right"/>
            </w:pPr>
            <w:bookmarkStart w:id="9" w:name="_Ref167364187"/>
            <w:r>
              <w:t>(</w:t>
            </w:r>
            <w:r>
              <w:fldChar w:fldCharType="begin"/>
            </w:r>
            <w:r>
              <w:instrText xml:space="preserve"> SEQ Equation \* ARABIC </w:instrText>
            </w:r>
            <w:r>
              <w:fldChar w:fldCharType="separate"/>
            </w:r>
            <w:r w:rsidR="00943191">
              <w:rPr>
                <w:noProof/>
              </w:rPr>
              <w:t>11</w:t>
            </w:r>
            <w:r>
              <w:fldChar w:fldCharType="end"/>
            </w:r>
            <w:r>
              <w:t>)</w:t>
            </w:r>
            <w:bookmarkEnd w:id="9"/>
          </w:p>
        </w:tc>
      </w:tr>
    </w:tbl>
    <w:p w14:paraId="5AE82FF1" w14:textId="2AAC04E6" w:rsidR="004F43A3" w:rsidRPr="0082707C" w:rsidRDefault="004F43A3" w:rsidP="0053175A">
      <w:pPr>
        <w:ind w:firstLine="0"/>
        <w:rPr>
          <w:rFonts w:eastAsiaTheme="minorEastAsia"/>
        </w:rPr>
      </w:pPr>
    </w:p>
    <w:p w14:paraId="1884255E" w14:textId="77777777" w:rsidR="004F43A3" w:rsidRDefault="004F43A3" w:rsidP="00031822">
      <w:r>
        <w:t>The observed bid ask spread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EBEAE2" w14:textId="77777777" w:rsidTr="008652DB">
        <w:tc>
          <w:tcPr>
            <w:tcW w:w="350" w:type="pct"/>
          </w:tcPr>
          <w:p w14:paraId="6644FFC7" w14:textId="77777777" w:rsidR="00AF65E9" w:rsidRDefault="00AF65E9" w:rsidP="008D1C73">
            <w:pPr>
              <w:ind w:firstLine="0"/>
            </w:pPr>
          </w:p>
        </w:tc>
        <w:tc>
          <w:tcPr>
            <w:tcW w:w="4300" w:type="pct"/>
          </w:tcPr>
          <w:p w14:paraId="0015532F" w14:textId="296D3443" w:rsidR="00AF65E9" w:rsidRPr="008652DB" w:rsidRDefault="00AF65E9" w:rsidP="008D1C73">
            <w:pPr>
              <w:ind w:firstLine="0"/>
            </w:pPr>
            <m:oMathPara>
              <m:oMathParaPr>
                <m:jc m:val="center"/>
              </m:oMathParaPr>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tc>
        <w:tc>
          <w:tcPr>
            <w:tcW w:w="350" w:type="pct"/>
          </w:tcPr>
          <w:p w14:paraId="4D24E181" w14:textId="3A5A492A"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13</w:t>
            </w:r>
            <w:r>
              <w:fldChar w:fldCharType="end"/>
            </w:r>
            <w:r>
              <w:t>)</w:t>
            </w:r>
          </w:p>
        </w:tc>
      </w:tr>
    </w:tbl>
    <w:p w14:paraId="58CD7207" w14:textId="0A6FFFFB" w:rsidR="004F43A3" w:rsidRDefault="00943191" w:rsidP="0053175A">
      <w:pPr>
        <w:pStyle w:val="Heading4"/>
      </w:pPr>
      <w:r>
        <w:t>note</w:t>
      </w:r>
      <w:r w:rsidR="004F43A3">
        <w:t xml:space="preserve">: Under competition with many dealers, the second term on the RHS of the </w:t>
      </w:r>
      <w:r w:rsidR="0053175A">
        <w:fldChar w:fldCharType="begin"/>
      </w:r>
      <w:r w:rsidR="0053175A">
        <w:instrText xml:space="preserve"> REF _Ref167364187 \h </w:instrText>
      </w:r>
      <w:r w:rsidR="0053175A">
        <w:fldChar w:fldCharType="separate"/>
      </w:r>
      <w:r w:rsidR="0053175A">
        <w:t>(</w:t>
      </w:r>
      <w:r w:rsidR="0053175A">
        <w:rPr>
          <w:noProof/>
        </w:rPr>
        <w:t>11</w:t>
      </w:r>
      <w:r w:rsidR="0053175A">
        <w:t>)</w:t>
      </w:r>
      <w:r w:rsidR="0053175A">
        <w:fldChar w:fldCharType="end"/>
      </w:r>
      <w:r w:rsidR="0053175A">
        <w:t xml:space="preserve"> </w:t>
      </w:r>
      <w:r w:rsidR="004F43A3">
        <w:t xml:space="preserve"> </w:t>
      </w:r>
      <m:oMath>
        <m:d>
          <m:dPr>
            <m:begChr m:val="["/>
            <m:endChr m:val="]"/>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e>
        </m:d>
      </m:oMath>
      <w:r w:rsidR="00FD368E">
        <w:t xml:space="preserve"> </w:t>
      </w:r>
      <w:r w:rsidR="004F43A3">
        <w:t xml:space="preserve">approaches </w:t>
      </w:r>
      <m:oMath>
        <m:r>
          <w:rPr>
            <w:rFonts w:ascii="Cambria Math" w:hAnsi="Cambria Math"/>
          </w:rPr>
          <m:t>0</m:t>
        </m:r>
      </m:oMath>
      <w:r w:rsidR="004F43A3">
        <w:t xml:space="preserve"> as </w:t>
      </w:r>
      <m:oMath>
        <m:r>
          <w:rPr>
            <w:rFonts w:ascii="Cambria Math" w:hAnsi="Cambria Math"/>
          </w:rPr>
          <m:t>N→∞</m:t>
        </m:r>
      </m:oMath>
      <w:r w:rsidR="004F43A3">
        <w:t>, and the bid ask quotes become the reservation quotes.</w:t>
      </w:r>
    </w:p>
    <w:p w14:paraId="1F7A40FA" w14:textId="77777777" w:rsidR="006C36D2" w:rsidRPr="006C36D2" w:rsidRDefault="006C36D2" w:rsidP="006C36D2"/>
    <w:p w14:paraId="5C9C588C" w14:textId="560C2E15" w:rsidR="004F43A3" w:rsidRPr="00143C59" w:rsidRDefault="00E7111E" w:rsidP="00031822">
      <w:pPr>
        <w:pStyle w:val="Heading3"/>
      </w:pPr>
      <w:r>
        <w:lastRenderedPageBreak/>
        <w:t>Liquidity w</w:t>
      </w:r>
      <w:r w:rsidR="00834DE5">
        <w:t xml:space="preserve">ith </w:t>
      </w:r>
      <w:r w:rsidR="004F43A3" w:rsidRPr="00143C59">
        <w:t>counterparty risk</w:t>
      </w:r>
    </w:p>
    <w:p w14:paraId="74FDE32D" w14:textId="3C18494F" w:rsidR="004F43A3" w:rsidRDefault="004F43A3" w:rsidP="00031822">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62FEF81" w14:textId="77777777" w:rsidTr="008652DB">
        <w:tc>
          <w:tcPr>
            <w:tcW w:w="350" w:type="pct"/>
          </w:tcPr>
          <w:p w14:paraId="078622FF" w14:textId="77777777" w:rsidR="00AF65E9" w:rsidRDefault="00AF65E9" w:rsidP="008D1C73">
            <w:pPr>
              <w:ind w:firstLine="0"/>
            </w:pPr>
          </w:p>
        </w:tc>
        <w:tc>
          <w:tcPr>
            <w:tcW w:w="4300" w:type="pct"/>
          </w:tcPr>
          <w:p w14:paraId="3FF93E0B" w14:textId="301B8785" w:rsidR="00AF65E9" w:rsidRPr="008652DB" w:rsidRDefault="00000000" w:rsidP="008D1C73">
            <w:pPr>
              <w:ind w:firstLine="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tc>
        <w:tc>
          <w:tcPr>
            <w:tcW w:w="350" w:type="pct"/>
          </w:tcPr>
          <w:p w14:paraId="57CE08AE" w14:textId="70118B7C"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14</w:t>
            </w:r>
            <w:r>
              <w:fldChar w:fldCharType="end"/>
            </w:r>
            <w:r>
              <w:t>)</w:t>
            </w:r>
          </w:p>
        </w:tc>
      </w:tr>
    </w:tbl>
    <w:p w14:paraId="4D170776"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15CD416" w14:textId="77777777" w:rsidTr="008652DB">
        <w:tc>
          <w:tcPr>
            <w:tcW w:w="350" w:type="pct"/>
          </w:tcPr>
          <w:p w14:paraId="12FEAFB9" w14:textId="77777777" w:rsidR="00AF65E9" w:rsidRDefault="00AF65E9" w:rsidP="008D1C73">
            <w:pPr>
              <w:ind w:firstLine="0"/>
            </w:pPr>
          </w:p>
        </w:tc>
        <w:tc>
          <w:tcPr>
            <w:tcW w:w="4300" w:type="pct"/>
          </w:tcPr>
          <w:p w14:paraId="4FA7F797" w14:textId="2B2AC4D9" w:rsidR="00AF65E9" w:rsidRPr="008652DB" w:rsidRDefault="00000000" w:rsidP="008D1C73">
            <w:pPr>
              <w:ind w:firstLine="0"/>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oMath>
            </m:oMathPara>
          </w:p>
        </w:tc>
        <w:tc>
          <w:tcPr>
            <w:tcW w:w="350" w:type="pct"/>
          </w:tcPr>
          <w:p w14:paraId="79D23C36" w14:textId="0D25818E"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15</w:t>
            </w:r>
            <w:r>
              <w:fldChar w:fldCharType="end"/>
            </w:r>
            <w:r>
              <w:t>)</w:t>
            </w:r>
          </w:p>
        </w:tc>
      </w:tr>
    </w:tbl>
    <w:p w14:paraId="20FFDE45"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33709B42" w14:textId="77777777" w:rsidTr="008652DB">
        <w:tc>
          <w:tcPr>
            <w:tcW w:w="350" w:type="pct"/>
          </w:tcPr>
          <w:p w14:paraId="7673BF29" w14:textId="77777777" w:rsidR="00AF65E9" w:rsidRDefault="00AF65E9" w:rsidP="008D1C73">
            <w:pPr>
              <w:ind w:firstLine="0"/>
            </w:pPr>
          </w:p>
        </w:tc>
        <w:tc>
          <w:tcPr>
            <w:tcW w:w="4300" w:type="pct"/>
          </w:tcPr>
          <w:p w14:paraId="51796F98" w14:textId="7C38037F" w:rsidR="00AF65E9"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3ABB030B" w14:textId="6C61EA2D"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16</w:t>
            </w:r>
            <w:r>
              <w:fldChar w:fldCharType="end"/>
            </w:r>
            <w:r>
              <w:t>)</w:t>
            </w:r>
          </w:p>
        </w:tc>
      </w:tr>
    </w:tbl>
    <w:p w14:paraId="4B0119E7" w14:textId="52ADF3ED" w:rsidR="004F43A3" w:rsidRPr="005003FC" w:rsidRDefault="004F43A3"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2735F7DF" w14:textId="77777777" w:rsidTr="008652DB">
        <w:tc>
          <w:tcPr>
            <w:tcW w:w="350" w:type="pct"/>
          </w:tcPr>
          <w:p w14:paraId="5A35A84A" w14:textId="77777777" w:rsidR="00AF65E9" w:rsidRDefault="00AF65E9" w:rsidP="008D1C73">
            <w:pPr>
              <w:ind w:firstLine="0"/>
            </w:pPr>
          </w:p>
        </w:tc>
        <w:tc>
          <w:tcPr>
            <w:tcW w:w="4300" w:type="pct"/>
          </w:tcPr>
          <w:p w14:paraId="57860A07" w14:textId="22CE6FE8" w:rsidR="00AF65E9"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C3BA501" w14:textId="45F7D44D"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17</w:t>
            </w:r>
            <w:r>
              <w:fldChar w:fldCharType="end"/>
            </w:r>
            <w:r>
              <w:t>)</w:t>
            </w:r>
          </w:p>
        </w:tc>
      </w:tr>
    </w:tbl>
    <w:p w14:paraId="1C0DD874" w14:textId="77777777" w:rsidR="00AF65E9" w:rsidRPr="0082707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C6C86E" w14:textId="77777777" w:rsidTr="008652DB">
        <w:tc>
          <w:tcPr>
            <w:tcW w:w="350" w:type="pct"/>
          </w:tcPr>
          <w:p w14:paraId="4F647BCF" w14:textId="77777777" w:rsidR="00AF65E9" w:rsidRDefault="00AF65E9" w:rsidP="008D1C73">
            <w:pPr>
              <w:ind w:firstLine="0"/>
            </w:pPr>
          </w:p>
        </w:tc>
        <w:tc>
          <w:tcPr>
            <w:tcW w:w="4300" w:type="pct"/>
          </w:tcPr>
          <w:p w14:paraId="5CEEA6EA" w14:textId="38CF4327" w:rsidR="00AF65E9"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A863C5E" w14:textId="7F2EBE96"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18</w:t>
            </w:r>
            <w:r>
              <w:fldChar w:fldCharType="end"/>
            </w:r>
            <w:r>
              <w:t>)</w:t>
            </w:r>
          </w:p>
        </w:tc>
      </w:tr>
    </w:tbl>
    <w:p w14:paraId="2B9CFCD9" w14:textId="77777777" w:rsidR="004F43A3" w:rsidRDefault="004F43A3" w:rsidP="00AB12F9">
      <w:pPr>
        <w:pStyle w:val="Heading2"/>
      </w:pPr>
      <w:r>
        <w:t>Models of Price Volatility</w:t>
      </w:r>
    </w:p>
    <w:p w14:paraId="602ABF15" w14:textId="50DE1415" w:rsidR="004F43A3" w:rsidRPr="00CD17A1" w:rsidRDefault="000F3327" w:rsidP="00031822">
      <w:pPr>
        <w:pStyle w:val="Heading3"/>
      </w:pPr>
      <w:r>
        <w:t>Volatility</w:t>
      </w:r>
      <w:r w:rsidR="004F43A3" w:rsidRPr="00CD17A1">
        <w:t xml:space="preserve">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C94A21B" w14:textId="77777777" w:rsidTr="008652DB">
        <w:tc>
          <w:tcPr>
            <w:tcW w:w="350" w:type="pct"/>
          </w:tcPr>
          <w:p w14:paraId="6CFA131A" w14:textId="77777777" w:rsidR="00F165F2" w:rsidRDefault="00F165F2" w:rsidP="008D1C73">
            <w:pPr>
              <w:ind w:firstLine="0"/>
            </w:pPr>
          </w:p>
        </w:tc>
        <w:tc>
          <w:tcPr>
            <w:tcW w:w="4300" w:type="pct"/>
          </w:tcPr>
          <w:p w14:paraId="50BBC933" w14:textId="5FAFF9D3" w:rsidR="00F165F2" w:rsidRPr="008652DB" w:rsidRDefault="00F165F2" w:rsidP="008D1C73">
            <w:pPr>
              <w:ind w:firstLine="0"/>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p>
        </w:tc>
        <w:tc>
          <w:tcPr>
            <w:tcW w:w="350" w:type="pct"/>
          </w:tcPr>
          <w:p w14:paraId="4F229400" w14:textId="1A6A021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19</w:t>
            </w:r>
            <w:r>
              <w:fldChar w:fldCharType="end"/>
            </w:r>
            <w:r>
              <w:t>)</w:t>
            </w:r>
          </w:p>
        </w:tc>
      </w:tr>
    </w:tbl>
    <w:p w14:paraId="3A8DCCE4" w14:textId="77777777" w:rsidR="00F165F2" w:rsidRDefault="00F165F2" w:rsidP="00031822"/>
    <w:p w14:paraId="64E1FEA8" w14:textId="69DC113A" w:rsidR="004F43A3" w:rsidRDefault="004F43A3" w:rsidP="00031822">
      <w:r>
        <w:t>Market-makers adjust their next period price based on the current period’s observed order-flow: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94ECAE5" w14:textId="77777777" w:rsidTr="008652DB">
        <w:tc>
          <w:tcPr>
            <w:tcW w:w="350" w:type="pct"/>
          </w:tcPr>
          <w:p w14:paraId="40328E81" w14:textId="77777777" w:rsidR="00F165F2" w:rsidRDefault="00F165F2" w:rsidP="008D1C73">
            <w:pPr>
              <w:ind w:firstLine="0"/>
            </w:pPr>
          </w:p>
        </w:tc>
        <w:tc>
          <w:tcPr>
            <w:tcW w:w="4300" w:type="pct"/>
          </w:tcPr>
          <w:p w14:paraId="6E91CF31" w14:textId="1A76BBE3" w:rsidR="00F165F2" w:rsidRPr="008652DB" w:rsidRDefault="00000000" w:rsidP="008D1C73">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p>
        </w:tc>
        <w:tc>
          <w:tcPr>
            <w:tcW w:w="350" w:type="pct"/>
          </w:tcPr>
          <w:p w14:paraId="6AC66CF4" w14:textId="6EACF1DF"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20</w:t>
            </w:r>
            <w:r>
              <w:fldChar w:fldCharType="end"/>
            </w:r>
            <w:r>
              <w:t>)</w:t>
            </w:r>
          </w:p>
        </w:tc>
      </w:tr>
    </w:tbl>
    <w:p w14:paraId="35420124" w14:textId="77777777" w:rsidR="00F165F2" w:rsidRDefault="00F165F2" w:rsidP="00031822"/>
    <w:p w14:paraId="4CF356C3" w14:textId="4F93AD32" w:rsidR="004F43A3" w:rsidRDefault="00943191" w:rsidP="00943191">
      <w:pPr>
        <w:ind w:firstLine="0"/>
      </w:pPr>
      <w:r>
        <w:t>w</w:t>
      </w:r>
      <w:r w:rsidR="004F43A3">
        <w:t xml:space="preserve">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D183737" w14:textId="77777777" w:rsidTr="008652DB">
        <w:tc>
          <w:tcPr>
            <w:tcW w:w="350" w:type="pct"/>
          </w:tcPr>
          <w:p w14:paraId="393446FA" w14:textId="77777777" w:rsidR="00F165F2" w:rsidRDefault="00F165F2" w:rsidP="008D1C73">
            <w:pPr>
              <w:ind w:firstLine="0"/>
            </w:pPr>
          </w:p>
        </w:tc>
        <w:tc>
          <w:tcPr>
            <w:tcW w:w="4300" w:type="pct"/>
          </w:tcPr>
          <w:p w14:paraId="2593B4C6" w14:textId="320BBE45" w:rsidR="00F165F2" w:rsidRPr="008652DB" w:rsidRDefault="00F165F2" w:rsidP="008D1C73">
            <w:pPr>
              <w:ind w:firstLine="0"/>
            </w:pPr>
            <m:oMathPara>
              <m:oMathParaPr>
                <m:jc m:val="center"/>
              </m:oMathParaPr>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tc>
        <w:tc>
          <w:tcPr>
            <w:tcW w:w="350" w:type="pct"/>
          </w:tcPr>
          <w:p w14:paraId="2E8AC79A" w14:textId="5C98E360"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21</w:t>
            </w:r>
            <w:r>
              <w:fldChar w:fldCharType="end"/>
            </w:r>
            <w:r>
              <w:t>)</w:t>
            </w:r>
          </w:p>
        </w:tc>
      </w:tr>
    </w:tbl>
    <w:p w14:paraId="724C2487" w14:textId="00F10408" w:rsidR="004F43A3" w:rsidRPr="00967EAF" w:rsidRDefault="004F43A3" w:rsidP="00031822">
      <w:pPr>
        <w:ind w:firstLine="720"/>
        <w:rPr>
          <w:rFonts w:eastAsiaTheme="minorEastAsia"/>
        </w:rPr>
      </w:pPr>
    </w:p>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F41CC0E" w14:textId="77777777" w:rsidTr="008652DB">
        <w:tc>
          <w:tcPr>
            <w:tcW w:w="350" w:type="pct"/>
          </w:tcPr>
          <w:p w14:paraId="32677EFC" w14:textId="77777777" w:rsidR="00F165F2" w:rsidRDefault="00F165F2" w:rsidP="008D1C73">
            <w:pPr>
              <w:ind w:firstLine="0"/>
            </w:pPr>
          </w:p>
        </w:tc>
        <w:tc>
          <w:tcPr>
            <w:tcW w:w="4300" w:type="pct"/>
          </w:tcPr>
          <w:p w14:paraId="477F5A2B" w14:textId="54B66556" w:rsidR="00F165F2" w:rsidRPr="008652DB" w:rsidRDefault="00F165F2" w:rsidP="008D1C73">
            <w:pPr>
              <w:ind w:firstLine="0"/>
            </w:pPr>
            <m:oMathPara>
              <m:oMathParaPr>
                <m:jc m:val="center"/>
              </m:oMathParaPr>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tc>
        <w:tc>
          <w:tcPr>
            <w:tcW w:w="350" w:type="pct"/>
          </w:tcPr>
          <w:p w14:paraId="7BB30E8A" w14:textId="552A0748"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22</w:t>
            </w:r>
            <w:r>
              <w:fldChar w:fldCharType="end"/>
            </w:r>
            <w:r>
              <w:t>)</w:t>
            </w:r>
          </w:p>
        </w:tc>
      </w:tr>
    </w:tbl>
    <w:p w14:paraId="7A5A632D" w14:textId="528AD057" w:rsidR="004F43A3" w:rsidRPr="00333C73" w:rsidRDefault="004F43A3" w:rsidP="00031822">
      <w:pPr>
        <w:ind w:firstLine="720"/>
        <w:rPr>
          <w:rFonts w:eastAsiaTheme="minorEastAsia"/>
        </w:rPr>
      </w:pPr>
    </w:p>
    <w:p w14:paraId="789BAE47" w14:textId="77777777" w:rsidR="004F43A3" w:rsidRDefault="004F43A3" w:rsidP="00031822">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31A776F" w14:textId="77777777" w:rsidTr="008652DB">
        <w:tc>
          <w:tcPr>
            <w:tcW w:w="350" w:type="pct"/>
          </w:tcPr>
          <w:p w14:paraId="05B48C2E" w14:textId="77777777" w:rsidR="00F165F2" w:rsidRDefault="00F165F2" w:rsidP="008D1C73">
            <w:pPr>
              <w:ind w:firstLine="0"/>
            </w:pPr>
          </w:p>
        </w:tc>
        <w:tc>
          <w:tcPr>
            <w:tcW w:w="4300" w:type="pct"/>
          </w:tcPr>
          <w:p w14:paraId="7A726B7E" w14:textId="2A64198F" w:rsidR="00F165F2" w:rsidRPr="008652DB" w:rsidRDefault="00F165F2" w:rsidP="008D1C73">
            <w:pPr>
              <w:ind w:firstLine="0"/>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1292C19E" w14:textId="73DCF953"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23</w:t>
            </w:r>
            <w:r>
              <w:fldChar w:fldCharType="end"/>
            </w:r>
            <w:r>
              <w:t>)</w:t>
            </w:r>
          </w:p>
        </w:tc>
      </w:tr>
    </w:tbl>
    <w:p w14:paraId="00E253C6"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D44945C" w14:textId="77777777" w:rsidTr="008652DB">
        <w:tc>
          <w:tcPr>
            <w:tcW w:w="350" w:type="pct"/>
          </w:tcPr>
          <w:p w14:paraId="2232A31D" w14:textId="77777777" w:rsidR="00F165F2" w:rsidRDefault="00F165F2" w:rsidP="008D1C73">
            <w:pPr>
              <w:ind w:firstLine="0"/>
            </w:pPr>
          </w:p>
        </w:tc>
        <w:tc>
          <w:tcPr>
            <w:tcW w:w="4300" w:type="pct"/>
          </w:tcPr>
          <w:p w14:paraId="0BA856CC" w14:textId="29E17663" w:rsidR="00F165F2" w:rsidRPr="008652DB" w:rsidRDefault="00F165F2" w:rsidP="008D1C73">
            <w:pPr>
              <w:ind w:firstLine="0"/>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5416799E" w14:textId="25272037"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24</w:t>
            </w:r>
            <w:r>
              <w:fldChar w:fldCharType="end"/>
            </w:r>
            <w:r>
              <w:t>)</w:t>
            </w:r>
          </w:p>
        </w:tc>
      </w:tr>
    </w:tbl>
    <w:p w14:paraId="76AB3C3B"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1134EF1" w14:textId="77777777" w:rsidTr="008652DB">
        <w:tc>
          <w:tcPr>
            <w:tcW w:w="350" w:type="pct"/>
          </w:tcPr>
          <w:p w14:paraId="523F3759" w14:textId="77777777" w:rsidR="00F165F2" w:rsidRDefault="00F165F2" w:rsidP="008D1C73">
            <w:pPr>
              <w:ind w:firstLine="0"/>
            </w:pPr>
          </w:p>
        </w:tc>
        <w:tc>
          <w:tcPr>
            <w:tcW w:w="4300" w:type="pct"/>
          </w:tcPr>
          <w:p w14:paraId="5E3B3CA1" w14:textId="050869E4" w:rsidR="00F165F2" w:rsidRPr="008652DB" w:rsidRDefault="00F165F2" w:rsidP="008D1C73">
            <w:pPr>
              <w:ind w:firstLine="0"/>
            </w:pPr>
            <m:oMathPara>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Para>
          </w:p>
        </w:tc>
        <w:tc>
          <w:tcPr>
            <w:tcW w:w="350" w:type="pct"/>
          </w:tcPr>
          <w:p w14:paraId="2191CA87" w14:textId="3884611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25</w:t>
            </w:r>
            <w:r>
              <w:fldChar w:fldCharType="end"/>
            </w:r>
            <w:r>
              <w:t>)</w:t>
            </w:r>
          </w:p>
        </w:tc>
      </w:tr>
    </w:tbl>
    <w:p w14:paraId="1D3696AD"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EC7D3B3" w14:textId="77777777" w:rsidTr="008652DB">
        <w:tc>
          <w:tcPr>
            <w:tcW w:w="350" w:type="pct"/>
          </w:tcPr>
          <w:p w14:paraId="71DBB16C" w14:textId="77777777" w:rsidR="00F165F2" w:rsidRDefault="00F165F2" w:rsidP="008D1C73">
            <w:pPr>
              <w:ind w:firstLine="0"/>
            </w:pPr>
          </w:p>
        </w:tc>
        <w:tc>
          <w:tcPr>
            <w:tcW w:w="4300" w:type="pct"/>
          </w:tcPr>
          <w:p w14:paraId="1432814F" w14:textId="0A21D9DE" w:rsidR="00F165F2" w:rsidRPr="008652DB" w:rsidRDefault="00F165F2" w:rsidP="008D1C73">
            <w:pPr>
              <w:ind w:firstLine="0"/>
            </w:pPr>
            <m:oMathPara>
              <m:oMathParaPr>
                <m:jc m:val="center"/>
              </m:oMathParaPr>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tc>
        <w:tc>
          <w:tcPr>
            <w:tcW w:w="350" w:type="pct"/>
          </w:tcPr>
          <w:p w14:paraId="70977DF3" w14:textId="276A0BEB"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26</w:t>
            </w:r>
            <w:r>
              <w:fldChar w:fldCharType="end"/>
            </w:r>
            <w:r>
              <w:t>)</w:t>
            </w:r>
          </w:p>
        </w:tc>
      </w:tr>
    </w:tbl>
    <w:p w14:paraId="69A41242" w14:textId="276892FD" w:rsidR="004F43A3" w:rsidRPr="00E45497" w:rsidRDefault="004F43A3" w:rsidP="00031822">
      <w:pPr>
        <w:ind w:firstLine="720"/>
        <w:rPr>
          <w:rFonts w:eastAsiaTheme="minorEastAsia"/>
        </w:rPr>
      </w:pPr>
    </w:p>
    <w:p w14:paraId="7382DA70" w14:textId="0EEFB9B7" w:rsidR="004F43A3" w:rsidRDefault="00943191" w:rsidP="00943191">
      <w:pPr>
        <w:ind w:firstLine="0"/>
      </w:pPr>
      <w:r>
        <w:lastRenderedPageBreak/>
        <w:t>w</w:t>
      </w:r>
      <w:r w:rsidR="004F43A3">
        <w:t xml:space="preserve">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rsidR="004F43A3">
        <w:t xml:space="preserve"> on the 3</w:t>
      </w:r>
      <w:r w:rsidR="004F43A3" w:rsidRPr="00E45497">
        <w:rPr>
          <w:vertAlign w:val="superscript"/>
        </w:rPr>
        <w:t>rd</w:t>
      </w:r>
      <w:r w:rsidR="004F43A3">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rsidR="004F43A3">
        <w:t>.</w:t>
      </w:r>
    </w:p>
    <w:p w14:paraId="2B165F32" w14:textId="4482FFFF" w:rsidR="00012529" w:rsidRDefault="00A96B98" w:rsidP="009C0453">
      <w:pPr>
        <w:pStyle w:val="Heading1"/>
        <w:numPr>
          <w:ilvl w:val="0"/>
          <w:numId w:val="33"/>
        </w:numPr>
      </w:pPr>
      <w:bookmarkStart w:id="10" w:name="_Ref157719088"/>
      <w:r>
        <w:t>Identification Strategy</w:t>
      </w:r>
      <w:bookmarkEnd w:id="10"/>
    </w:p>
    <w:p w14:paraId="0FBD61B0" w14:textId="129E3EB6" w:rsidR="00CD17A1" w:rsidRPr="00CD17A1" w:rsidRDefault="00CD17A1" w:rsidP="00AB12F9">
      <w:pPr>
        <w:pStyle w:val="Heading2"/>
      </w:pPr>
      <w:r>
        <w:t>Pricing</w:t>
      </w:r>
    </w:p>
    <w:p w14:paraId="23FD4740" w14:textId="0C67BC57"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8335A2">
        <w:fldChar w:fldCharType="begin"/>
      </w:r>
      <w:r w:rsidR="008335A2">
        <w:instrText xml:space="preserve"> REF _Ref154527935 \r \h </w:instrText>
      </w:r>
      <w:r w:rsidR="008335A2">
        <w:fldChar w:fldCharType="separate"/>
      </w:r>
      <w:r w:rsidR="00943191">
        <w:t>0</w:t>
      </w:r>
      <w:r w:rsidR="008335A2">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w:t>
      </w:r>
      <w:proofErr w:type="spellStart"/>
      <w:r>
        <w:t>DiD</w:t>
      </w:r>
      <w:proofErr w:type="spellEnd"/>
      <w:r>
        <w:t xml:space="preserve">)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w:t>
      </w:r>
      <w:proofErr w:type="spellStart"/>
      <w:r>
        <w:t>DiD</w:t>
      </w:r>
      <w:proofErr w:type="spellEnd"/>
      <w:r>
        <w:t xml:space="preserve"> regression model, which takes the following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31BB4E0" w14:textId="77777777" w:rsidTr="008652DB">
        <w:tc>
          <w:tcPr>
            <w:tcW w:w="350" w:type="pct"/>
          </w:tcPr>
          <w:p w14:paraId="51C49E22" w14:textId="77777777" w:rsidR="00F165F2" w:rsidRDefault="00F165F2" w:rsidP="008D1C73">
            <w:pPr>
              <w:ind w:firstLine="0"/>
            </w:pPr>
          </w:p>
        </w:tc>
        <w:tc>
          <w:tcPr>
            <w:tcW w:w="4300" w:type="pct"/>
          </w:tcPr>
          <w:p w14:paraId="7EF35258" w14:textId="015EAE09" w:rsidR="00F165F2" w:rsidRPr="008652DB" w:rsidRDefault="00000000" w:rsidP="008D1C73">
            <w:pPr>
              <w:ind w:firstLine="0"/>
            </w:pPr>
            <m:oMathPara>
              <m:oMathParaPr>
                <m:jc m:val="center"/>
              </m:oMathPara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tc>
        <w:tc>
          <w:tcPr>
            <w:tcW w:w="350" w:type="pct"/>
          </w:tcPr>
          <w:p w14:paraId="57AAEB8F" w14:textId="533DE25B"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27</w:t>
            </w:r>
            <w:r>
              <w:fldChar w:fldCharType="end"/>
            </w:r>
            <w:r>
              <w:t>)</w:t>
            </w:r>
          </w:p>
        </w:tc>
      </w:tr>
    </w:tbl>
    <w:p w14:paraId="2A1970F5" w14:textId="6604DB1C" w:rsidR="00EF140B" w:rsidRPr="00625ECF" w:rsidRDefault="00EF140B" w:rsidP="00031822">
      <w:pPr>
        <w:rPr>
          <w:vertAlign w:val="subscript"/>
        </w:rPr>
      </w:pPr>
    </w:p>
    <w:p w14:paraId="3AADCD5E" w14:textId="2A31CC6B" w:rsidR="00EF140B" w:rsidRDefault="00943191" w:rsidP="00943191">
      <w:pPr>
        <w:ind w:firstLine="0"/>
      </w:pPr>
      <w:r>
        <w:t>w</w:t>
      </w:r>
      <w:r w:rsidR="00EF140B">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EF140B">
        <w:t xml:space="preserve"> is the swap premium for swap </w:t>
      </w:r>
      <m:oMath>
        <m:r>
          <w:rPr>
            <w:rFonts w:ascii="Cambria Math" w:hAnsi="Cambria Math"/>
          </w:rPr>
          <m:t>i</m:t>
        </m:r>
      </m:oMath>
      <w:r w:rsidR="00EF140B">
        <w:t xml:space="preserve"> at time </w:t>
      </w:r>
      <m:oMath>
        <m:r>
          <w:rPr>
            <w:rFonts w:ascii="Cambria Math" w:hAnsi="Cambria Math"/>
          </w:rPr>
          <m:t>t</m:t>
        </m:r>
      </m:oMath>
      <w:r w:rsidR="00EF140B">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EF140B">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EF140B">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F140B">
        <w:t xml:space="preserve"> is a vector of control variables. The coefficient of interest is δ, which captures the causal effect of the central clearing mandate on swap premiums.</w:t>
      </w:r>
    </w:p>
    <w:p w14:paraId="48A28C1E" w14:textId="45575869" w:rsidR="00EF140B" w:rsidRDefault="00EF140B" w:rsidP="00031822">
      <w:r>
        <w:lastRenderedPageBreak/>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w:t>
      </w:r>
      <w:proofErr w:type="spellStart"/>
      <w:r w:rsidR="004A2BFC">
        <w:t>DiD</w:t>
      </w:r>
      <w:proofErr w:type="spellEnd"/>
      <w:r w:rsidR="0032163A">
        <w:t xml:space="preserve"> (described in the results section)</w:t>
      </w:r>
      <w:r>
        <w:t>.</w:t>
      </w:r>
    </w:p>
    <w:p w14:paraId="034557F9" w14:textId="0BE8A907"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943191">
        <w:t xml:space="preserve">Figure </w:t>
      </w:r>
      <w:r w:rsidR="00943191">
        <w:rPr>
          <w:noProof/>
        </w:rPr>
        <w:t>4</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2085BC89" w14:textId="77777777" w:rsidR="00802DBB" w:rsidRDefault="0082521E" w:rsidP="005B2B99">
      <w:r>
        <w:t xml:space="preserve">Liquidity is a broad concept defined as how easily one can convert financial assets to cash with minimal impact to prices. Several measures try to capture this notion: </w:t>
      </w:r>
      <w:r w:rsidRPr="00802DBB">
        <w:rPr>
          <w:i/>
          <w:iCs/>
        </w:rPr>
        <w:t>bid-ask spread</w:t>
      </w:r>
      <w:r w:rsidR="00802DBB" w:rsidRPr="00802DBB">
        <w:rPr>
          <w:i/>
          <w:iCs/>
        </w:rPr>
        <w:t>s</w:t>
      </w:r>
      <w:r>
        <w:t xml:space="preserve"> measure the cost of trading (small quantities) of </w:t>
      </w:r>
      <w:r w:rsidR="00802DBB">
        <w:t>an</w:t>
      </w:r>
      <w:r>
        <w:t xml:space="preserve"> asset </w:t>
      </w:r>
      <w:r w:rsidR="00A626E0">
        <w:t xml:space="preserve">at the best quoted sell and buy prices; </w:t>
      </w:r>
      <w:r w:rsidR="00802DBB" w:rsidRPr="00802DBB">
        <w:rPr>
          <w:i/>
          <w:iCs/>
        </w:rPr>
        <w:t>market depth</w:t>
      </w:r>
      <w:r w:rsidR="00802DBB">
        <w:t xml:space="preserve"> measures how much of an asset is available to trade at given price points; </w:t>
      </w:r>
      <w:r w:rsidR="00802DBB" w:rsidRPr="00802DBB">
        <w:rPr>
          <w:i/>
          <w:iCs/>
        </w:rPr>
        <w:t>price impact</w:t>
      </w:r>
      <w:r w:rsidR="00802DBB">
        <w:t xml:space="preserve"> measures how much prices react to buying and selling. </w:t>
      </w:r>
      <w:r w:rsidR="00A6337A">
        <w:t xml:space="preserve">As in the case of pricing (premium), I employ a difference-in-differences strategy to identify the impact of the central clearing mandate on liquidity, with </w:t>
      </w:r>
      <w:r w:rsidR="00802DBB">
        <w:t>CAD</w:t>
      </w:r>
      <w:r w:rsidR="00A6337A">
        <w:t xml:space="preserve"> denominated contracts serving as the control group and </w:t>
      </w:r>
      <w:r w:rsidR="00802DBB">
        <w:t xml:space="preserve">USD </w:t>
      </w:r>
      <w:r w:rsidR="00A6337A">
        <w:t xml:space="preserve">denominated contracts serving as the treatment group. </w:t>
      </w:r>
      <w:r w:rsidR="00802DBB">
        <w:t>I use several measures of liquidity to capture the different notions of liquidity.</w:t>
      </w:r>
    </w:p>
    <w:p w14:paraId="1A3EAAFC" w14:textId="5C953D6A" w:rsidR="005B2B99" w:rsidRDefault="00A6337A" w:rsidP="005B2B99">
      <w:r>
        <w:t xml:space="preserve">As discussed in section </w:t>
      </w:r>
      <w:r>
        <w:fldChar w:fldCharType="begin"/>
      </w:r>
      <w:r>
        <w:instrText xml:space="preserve"> REF _Ref157719057 \r \h </w:instrText>
      </w:r>
      <w:r>
        <w:fldChar w:fldCharType="separate"/>
      </w:r>
      <w:r w:rsidR="00943191">
        <w:t>3</w:t>
      </w:r>
      <w:r>
        <w:fldChar w:fldCharType="end"/>
      </w:r>
      <w:r>
        <w:t xml:space="preserve">, </w:t>
      </w:r>
      <w:r w:rsidR="00802DBB">
        <w:t>risk-averse dealers adjust their bid-ask spreads in the face of market orders from liquidity traders</w:t>
      </w:r>
      <w:r>
        <w:t xml:space="preserve">. </w:t>
      </w:r>
      <w:r w:rsidR="0075318B">
        <w:t>To</w:t>
      </w:r>
      <w:r>
        <w:t xml:space="preserve"> be able to compare spreads for contracts with different prices, I calculate a relative bid-ask spread based on the contracts mid-price: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E8A4F71" w14:textId="77777777" w:rsidTr="008652DB">
        <w:tc>
          <w:tcPr>
            <w:tcW w:w="350" w:type="pct"/>
          </w:tcPr>
          <w:p w14:paraId="66ED72B6" w14:textId="77777777" w:rsidR="00F165F2" w:rsidRDefault="00F165F2" w:rsidP="008D1C73">
            <w:pPr>
              <w:ind w:firstLine="0"/>
            </w:pPr>
          </w:p>
        </w:tc>
        <w:tc>
          <w:tcPr>
            <w:tcW w:w="4300" w:type="pct"/>
          </w:tcPr>
          <w:p w14:paraId="3E56A53B" w14:textId="03763F16" w:rsidR="00F165F2" w:rsidRPr="008652DB" w:rsidRDefault="00F165F2" w:rsidP="008D1C73">
            <w:pPr>
              <w:ind w:firstLine="0"/>
            </w:pPr>
            <m:oMathPara>
              <m:oMathParaPr>
                <m:jc m:val="center"/>
              </m:oMathParaPr>
              <m:oMath>
                <m:r>
                  <w:rPr>
                    <w:rFonts w:ascii="Cambria Math" w:hAnsi="Cambria Math"/>
                    <w:vertAlign w:val="subscript"/>
                  </w:rPr>
                  <m:t>spread=</m:t>
                </m:r>
                <m:f>
                  <m:fPr>
                    <m:ctrlPr>
                      <w:rPr>
                        <w:rFonts w:ascii="Cambria Math" w:hAnsi="Cambria Math"/>
                        <w:i/>
                        <w:vertAlign w:val="subscript"/>
                      </w:rPr>
                    </m:ctrlPr>
                  </m:fPr>
                  <m:num>
                    <m:r>
                      <w:rPr>
                        <w:rFonts w:ascii="Cambria Math" w:hAnsi="Cambria Math"/>
                        <w:vertAlign w:val="subscript"/>
                      </w:rPr>
                      <m:t>bid-ask</m:t>
                    </m:r>
                  </m:num>
                  <m:den>
                    <m:f>
                      <m:fPr>
                        <m:ctrlPr>
                          <w:rPr>
                            <w:rFonts w:ascii="Cambria Math" w:hAnsi="Cambria Math"/>
                            <w:i/>
                            <w:vertAlign w:val="subscript"/>
                          </w:rPr>
                        </m:ctrlPr>
                      </m:fPr>
                      <m:num>
                        <m:r>
                          <w:rPr>
                            <w:rFonts w:ascii="Cambria Math" w:hAnsi="Cambria Math"/>
                            <w:vertAlign w:val="subscript"/>
                          </w:rPr>
                          <m:t>bid+ask</m:t>
                        </m:r>
                      </m:num>
                      <m:den>
                        <m:r>
                          <w:rPr>
                            <w:rFonts w:ascii="Cambria Math" w:hAnsi="Cambria Math"/>
                            <w:vertAlign w:val="subscript"/>
                          </w:rPr>
                          <m:t>2</m:t>
                        </m:r>
                      </m:den>
                    </m:f>
                  </m:den>
                </m:f>
              </m:oMath>
            </m:oMathPara>
          </w:p>
        </w:tc>
        <w:tc>
          <w:tcPr>
            <w:tcW w:w="350" w:type="pct"/>
          </w:tcPr>
          <w:p w14:paraId="1D0D9E9B" w14:textId="4424B821"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28</w:t>
            </w:r>
            <w:r>
              <w:fldChar w:fldCharType="end"/>
            </w:r>
            <w:r>
              <w:t>)</w:t>
            </w:r>
          </w:p>
        </w:tc>
      </w:tr>
    </w:tbl>
    <w:p w14:paraId="20F1D1F4" w14:textId="3D6086E1" w:rsidR="00A6337A" w:rsidRPr="00A6337A" w:rsidRDefault="00A6337A" w:rsidP="00A6337A"/>
    <w:p w14:paraId="094515D4" w14:textId="5599ECCA" w:rsidR="00A6337A" w:rsidRDefault="00943191" w:rsidP="00943191">
      <w:pPr>
        <w:ind w:firstLine="0"/>
      </w:pPr>
      <w:r>
        <w:t>w</w:t>
      </w:r>
      <w:r w:rsidR="00A6337A">
        <w:t xml:space="preserve">here the numerator </w:t>
      </w:r>
      <m:oMath>
        <m:r>
          <w:rPr>
            <w:rFonts w:ascii="Cambria Math" w:hAnsi="Cambria Math"/>
          </w:rPr>
          <m:t>(bid-ask)</m:t>
        </m:r>
      </m:oMath>
      <w:r w:rsidR="00A6337A">
        <w:t xml:space="preserve"> is the “raw” spread and the denominator </w:t>
      </w:r>
      <m:oMath>
        <m:f>
          <m:fPr>
            <m:ctrlPr>
              <w:rPr>
                <w:rFonts w:ascii="Cambria Math" w:hAnsi="Cambria Math"/>
                <w:i/>
              </w:rPr>
            </m:ctrlPr>
          </m:fPr>
          <m:num>
            <m:r>
              <w:rPr>
                <w:rFonts w:ascii="Cambria Math" w:hAnsi="Cambria Math"/>
              </w:rPr>
              <m:t>bid-ask</m:t>
            </m:r>
          </m:num>
          <m:den>
            <m:r>
              <w:rPr>
                <w:rFonts w:ascii="Cambria Math" w:hAnsi="Cambria Math"/>
              </w:rPr>
              <m:t>2</m:t>
            </m:r>
          </m:den>
        </m:f>
      </m:oMath>
      <w:r w:rsidR="00A6337A">
        <w:t xml:space="preserve"> is the mid-price.</w:t>
      </w:r>
      <w:r w:rsidR="00F558CC">
        <w:t xml:space="preserve"> </w:t>
      </w:r>
      <w:r w:rsidR="00A6337A">
        <w:t xml:space="preserve">I collect end-of day bid and ask data from the Bloomberg terminal for US-dollar and Canadian-dollar denominated </w:t>
      </w:r>
      <w:r w:rsidR="0075318B">
        <w:t>2-year, 5-year and 10-year contracts for the ten-day trading period before and after the implementation of phase 1, phase 2 and phase 3 of the of the clearing regulation.</w:t>
      </w:r>
    </w:p>
    <w:p w14:paraId="6AC9BF14" w14:textId="77777777" w:rsidR="00C31BC3" w:rsidRDefault="00A355B6" w:rsidP="00A355B6">
      <w:r>
        <w:t xml:space="preserve">The bid-ask spread measure discussed above is “low frequency” </w:t>
      </w:r>
      <w:r w:rsidR="00492712">
        <w:t>and does not necessarily reflect the costs traders may face throughout the trading session</w:t>
      </w:r>
      <w:r>
        <w:t xml:space="preserve">. To estimate the </w:t>
      </w:r>
      <w:r w:rsidR="00492712">
        <w:t xml:space="preserve">intraday </w:t>
      </w:r>
      <w:r w:rsidR="00C31BC3">
        <w:t>liquidity</w:t>
      </w:r>
      <w:r w:rsidR="00427A98">
        <w:t xml:space="preserve"> that traders may </w:t>
      </w:r>
      <w:r w:rsidR="00C31BC3">
        <w:t>experience</w:t>
      </w:r>
      <w:r>
        <w:t xml:space="preserve">, I use </w:t>
      </w:r>
      <w:r w:rsidR="00C31BC3">
        <w:t>two</w:t>
      </w:r>
      <w:r>
        <w:t xml:space="preserve"> proxies common in the literature</w:t>
      </w:r>
      <w:r w:rsidR="00C31BC3">
        <w:t>: the Roll measure and the Amihud Illiquidity measure</w:t>
      </w:r>
      <w:r>
        <w:t>.</w:t>
      </w:r>
    </w:p>
    <w:p w14:paraId="410BBD92" w14:textId="51349F22" w:rsidR="00A355B6" w:rsidRDefault="00A355B6" w:rsidP="00A355B6">
      <w:r>
        <w:t xml:space="preserve">The first measure proposed by Roll </w:t>
      </w:r>
      <w:r>
        <w:fldChar w:fldCharType="begin"/>
      </w:r>
      <w:r>
        <w:instrText xml:space="preserve"> ADDIN ZOTERO_ITEM CSL_CITATION {"citationID":"Q0CMqnqM","properties":{"formattedCitation":"(1984)","plainCitation":"(1984)","noteIndex":0},"citationItems":[{"id":926,"uris":["http://zotero.org/users/1226582/items/7QJH72W4"],"itemData":{"id":926,"type":"article-journal","abstract":"In an efficient market, the fundamental value of a security fluctuates randomly. However, trading costs induce negative serial dependence in successive observed market price changes. In fact, given market efficiency, the effective bid-ask spread can be measured by Spread=2−cov where “cov” is the first-order serial covariance of price changes. This implicit measure of the bid-ask spread is derived formally and is shown empirically to be closely related to firm size.","container-title":"The Journal of Finance","DOI":"10.1111/j.1540-6261.1984.tb03897.x","ISSN":"1540-6261","issue":"4","language":"en","license":"© 1984 the American Finance Association","note":"_eprint: https://onlinelibrary.wiley.com/doi/pdf/10.1111/j.1540-6261.1984.tb03897.x","page":"1127-1139","source":"Wiley Online Library","title":"A Simple Implicit Measure of the Effective Bid-Ask Spread in an Efficient Market","volume":"39","author":[{"family":"Roll","given":"Richard"}],"issued":{"date-parts":[["1984"]]}},"label":"page","suppress-author":true}],"schema":"https://github.com/citation-style-language/schema/raw/master/csl-citation.json"} </w:instrText>
      </w:r>
      <w:r>
        <w:fldChar w:fldCharType="separate"/>
      </w:r>
      <w:r>
        <w:rPr>
          <w:noProof/>
        </w:rPr>
        <w:t>(1984)</w:t>
      </w:r>
      <w:r>
        <w:fldChar w:fldCharType="end"/>
      </w:r>
      <w:r>
        <w:t xml:space="preserve"> estimates the effective spread using the time series of observed prices under assumptions of market efficiency: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355B6" w14:paraId="7DD476F4" w14:textId="77777777" w:rsidTr="00633DD6">
        <w:tc>
          <w:tcPr>
            <w:tcW w:w="350" w:type="pct"/>
          </w:tcPr>
          <w:p w14:paraId="7A745809" w14:textId="77777777" w:rsidR="00A355B6" w:rsidRDefault="00A355B6" w:rsidP="00633DD6">
            <w:pPr>
              <w:ind w:firstLine="0"/>
            </w:pPr>
          </w:p>
        </w:tc>
        <w:tc>
          <w:tcPr>
            <w:tcW w:w="4300" w:type="pct"/>
          </w:tcPr>
          <w:p w14:paraId="5C6254D8" w14:textId="77777777" w:rsidR="00A355B6" w:rsidRPr="008652DB" w:rsidRDefault="00A355B6" w:rsidP="00633DD6">
            <w:pPr>
              <w:ind w:firstLine="0"/>
            </w:pPr>
            <m:oMathPara>
              <m:oMathParaPr>
                <m:jc m:val="center"/>
              </m:oMathParaPr>
              <m:oMath>
                <m:r>
                  <w:rPr>
                    <w:rFonts w:ascii="Cambria Math" w:hAnsi="Cambria Math"/>
                  </w:rPr>
                  <m:t>Roll=2⋅</m:t>
                </m:r>
                <m:rad>
                  <m:radPr>
                    <m:degHide m:val="1"/>
                    <m:ctrlPr>
                      <w:rPr>
                        <w:rFonts w:ascii="Cambria Math" w:hAnsi="Cambria Math"/>
                        <w:i/>
                      </w:rPr>
                    </m:ctrlPr>
                  </m:radPr>
                  <m:deg/>
                  <m:e>
                    <m: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p</m:t>
                        </m:r>
                      </m:e>
                    </m:d>
                  </m:e>
                </m:rad>
              </m:oMath>
            </m:oMathPara>
          </w:p>
        </w:tc>
        <w:tc>
          <w:tcPr>
            <w:tcW w:w="350" w:type="pct"/>
          </w:tcPr>
          <w:p w14:paraId="435DBACF" w14:textId="77777777" w:rsidR="00A355B6" w:rsidRDefault="00A355B6" w:rsidP="00633DD6">
            <w:pPr>
              <w:pStyle w:val="Caption"/>
              <w:keepNext/>
              <w:jc w:val="right"/>
            </w:pPr>
            <w:r>
              <w:t>(</w:t>
            </w:r>
            <w:r>
              <w:fldChar w:fldCharType="begin"/>
            </w:r>
            <w:r>
              <w:instrText xml:space="preserve"> SEQ Equation \* ARABIC </w:instrText>
            </w:r>
            <w:r>
              <w:fldChar w:fldCharType="separate"/>
            </w:r>
            <w:r>
              <w:rPr>
                <w:noProof/>
              </w:rPr>
              <w:t>30</w:t>
            </w:r>
            <w:r>
              <w:fldChar w:fldCharType="end"/>
            </w:r>
            <w:r>
              <w:t>)</w:t>
            </w:r>
          </w:p>
        </w:tc>
      </w:tr>
    </w:tbl>
    <w:p w14:paraId="5AE47416" w14:textId="77777777" w:rsidR="00A355B6" w:rsidRPr="002570E4" w:rsidRDefault="00A355B6" w:rsidP="00A355B6">
      <w:pPr>
        <w:ind w:firstLine="0"/>
      </w:pPr>
    </w:p>
    <w:p w14:paraId="79FE01EB" w14:textId="3819F9C6" w:rsidR="00A355B6" w:rsidRDefault="00A355B6" w:rsidP="00A355B6">
      <w:pPr>
        <w:ind w:firstLine="0"/>
      </w:pPr>
      <w:r>
        <w:t xml:space="preserve">where </w:t>
      </w:r>
      <m:oMath>
        <m:r>
          <m:rPr>
            <m:sty m:val="p"/>
          </m:rPr>
          <w:rPr>
            <w:rFonts w:ascii="Cambria Math" w:hAnsi="Cambria Math"/>
          </w:rPr>
          <m:t>Δ</m:t>
        </m:r>
        <m:r>
          <w:rPr>
            <w:rFonts w:ascii="Cambria Math" w:hAnsi="Cambria Math"/>
          </w:rPr>
          <m:t>p</m:t>
        </m:r>
      </m:oMath>
      <w:r>
        <w:t xml:space="preserve"> is the first-order serial covariance of price changes. </w:t>
      </w:r>
    </w:p>
    <w:p w14:paraId="0EC6DA13" w14:textId="417E6E44" w:rsidR="0075318B" w:rsidRDefault="0075318B" w:rsidP="00A6337A">
      <w:r>
        <w:t>In general, market liquidity is a measure of “how easily” traders can exit or enter the market. The bid-ask spread</w:t>
      </w:r>
      <w:r w:rsidR="00492712">
        <w:t xml:space="preserve"> </w:t>
      </w:r>
      <w:r>
        <w:t xml:space="preserve">is a common </w:t>
      </w:r>
      <w:r w:rsidR="00F558CC">
        <w:t>metric</w:t>
      </w:r>
      <w:r>
        <w:t xml:space="preserve"> </w:t>
      </w:r>
      <w:r w:rsidR="00F558CC">
        <w:t>for</w:t>
      </w:r>
      <w:r>
        <w:t xml:space="preserve"> </w:t>
      </w:r>
      <w:r w:rsidR="00F558CC">
        <w:t xml:space="preserve">how </w:t>
      </w:r>
      <w:r w:rsidR="003778E9">
        <w:t xml:space="preserve">easily traders can enter or exit </w:t>
      </w:r>
      <w:r w:rsidR="003778E9" w:rsidRPr="003778E9">
        <w:rPr>
          <w:i/>
          <w:iCs/>
        </w:rPr>
        <w:t>small positions</w:t>
      </w:r>
      <w:r w:rsidR="003778E9">
        <w:t>. However, when trading larger positions, this liquidity may not be available (</w:t>
      </w:r>
      <w:r w:rsidR="00F90CC7">
        <w:t xml:space="preserve">only </w:t>
      </w:r>
      <w:r w:rsidR="003778E9">
        <w:t xml:space="preserve">a limited number of contracts may be available to </w:t>
      </w:r>
      <w:r w:rsidR="00F90CC7">
        <w:t xml:space="preserve">trade at the best bid and ask prices, and dealers can change their quoted prices in the face of large market orders). A common measure of the “price impact” of a trade is </w:t>
      </w:r>
      <w:r w:rsidR="002009FF">
        <w:t>the Amihud liquidity measure: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32600F1D" w14:textId="77777777" w:rsidTr="008652DB">
        <w:tc>
          <w:tcPr>
            <w:tcW w:w="350" w:type="pct"/>
          </w:tcPr>
          <w:p w14:paraId="5D813D96" w14:textId="77777777" w:rsidR="00F165F2" w:rsidRDefault="00F165F2" w:rsidP="008D1C73">
            <w:pPr>
              <w:ind w:firstLine="0"/>
            </w:pPr>
          </w:p>
        </w:tc>
        <w:tc>
          <w:tcPr>
            <w:tcW w:w="4300" w:type="pct"/>
          </w:tcPr>
          <w:p w14:paraId="42249BD4" w14:textId="392B6C27" w:rsidR="00F165F2" w:rsidRPr="008652DB" w:rsidRDefault="00F165F2" w:rsidP="008D1C73">
            <w:pPr>
              <w:ind w:firstLine="0"/>
            </w:pPr>
            <m:oMathPara>
              <m:oMathParaPr>
                <m:jc m:val="center"/>
              </m:oMathParaPr>
              <m:oMath>
                <m:r>
                  <w:rPr>
                    <w:rFonts w:ascii="Cambria Math" w:hAnsi="Cambria Math"/>
                  </w:rPr>
                  <m:t>Amihu</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tc>
        <w:tc>
          <w:tcPr>
            <w:tcW w:w="350" w:type="pct"/>
          </w:tcPr>
          <w:p w14:paraId="117AE2EB" w14:textId="43EA9896"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29</w:t>
            </w:r>
            <w:r>
              <w:fldChar w:fldCharType="end"/>
            </w:r>
            <w:r>
              <w:t>)</w:t>
            </w:r>
          </w:p>
        </w:tc>
      </w:tr>
    </w:tbl>
    <w:p w14:paraId="79D4DBA0" w14:textId="3D4254A9" w:rsidR="002009FF" w:rsidRPr="002009FF" w:rsidRDefault="002009FF" w:rsidP="00A6337A"/>
    <w:p w14:paraId="78965885" w14:textId="50050DA2" w:rsidR="002009FF" w:rsidRDefault="00943191" w:rsidP="00943191">
      <w:pPr>
        <w:ind w:firstLine="0"/>
      </w:pPr>
      <w:r>
        <w:t>w</w:t>
      </w:r>
      <w:r w:rsidR="002009FF">
        <w:t xml:space="preserve">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2009FF">
        <w:t xml:space="preserve"> is the return on an asset at time </w:t>
      </w:r>
      <m:oMath>
        <m:r>
          <w:rPr>
            <w:rFonts w:ascii="Cambria Math" w:hAnsi="Cambria Math"/>
          </w:rPr>
          <m:t>t</m:t>
        </m:r>
      </m:oMath>
      <w:r w:rsidR="002009FF">
        <w:t xml:space="preserve"> and </w:t>
      </w:r>
      <m:oMath>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009FF">
        <w:t xml:space="preserve"> is the total volume of contracts traded (calculated as the sum of the </w:t>
      </w:r>
      <w:r w:rsidR="007303A6">
        <w:t xml:space="preserve">gross </w:t>
      </w:r>
      <w:r w:rsidR="002009FF">
        <w:t xml:space="preserve">notional contract value in period </w:t>
      </w:r>
      <m:oMath>
        <m:r>
          <w:rPr>
            <w:rFonts w:ascii="Cambria Math" w:hAnsi="Cambria Math"/>
          </w:rPr>
          <m:t>t</m:t>
        </m:r>
      </m:oMath>
      <w:r w:rsidR="002009FF">
        <w:t>).</w:t>
      </w:r>
      <w:r w:rsidR="007303A6">
        <w:t xml:space="preserve"> The Amihud liquidity measure, which normalizes inter-period price changes by the market size (volume) is a good measure of how much prices move, scaled by the trade size. </w:t>
      </w:r>
      <w:r w:rsidR="00455D2C">
        <w:t xml:space="preserve">As in the pricing section, I break up </w:t>
      </w:r>
      <w:r w:rsidR="00455D2C">
        <w:lastRenderedPageBreak/>
        <w:t>the trading day into four sessions and obtain the Amihud liquidity measure for US and Canadian two-year, five-year, and ten-year contracts.</w:t>
      </w:r>
    </w:p>
    <w:p w14:paraId="602707FF" w14:textId="444EA921" w:rsidR="001A6EFA" w:rsidRDefault="001A6EFA" w:rsidP="002570E4">
      <w:r>
        <w:t>For each liquidity measure discussed above, I run a simple difference-in-differences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F5EB944" w14:textId="77777777" w:rsidTr="008652DB">
        <w:tc>
          <w:tcPr>
            <w:tcW w:w="350" w:type="pct"/>
          </w:tcPr>
          <w:p w14:paraId="38F72560" w14:textId="77777777" w:rsidR="00F165F2" w:rsidRDefault="00F165F2" w:rsidP="008D1C73">
            <w:pPr>
              <w:ind w:firstLine="0"/>
            </w:pPr>
          </w:p>
        </w:tc>
        <w:tc>
          <w:tcPr>
            <w:tcW w:w="4300" w:type="pct"/>
          </w:tcPr>
          <w:p w14:paraId="7C619E5A" w14:textId="14C109D4"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4804E8AB" w14:textId="68DC4B3D"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33</w:t>
            </w:r>
            <w:r>
              <w:fldChar w:fldCharType="end"/>
            </w:r>
            <w:r>
              <w:t>)</w:t>
            </w:r>
          </w:p>
        </w:tc>
      </w:tr>
    </w:tbl>
    <w:p w14:paraId="5F30737D" w14:textId="1874A9DD" w:rsidR="001A6EFA" w:rsidRPr="001A6EFA" w:rsidRDefault="001A6EFA" w:rsidP="002570E4"/>
    <w:p w14:paraId="3B06310A" w14:textId="519F1C78" w:rsidR="001A6EFA" w:rsidRDefault="00943191" w:rsidP="00943191">
      <w:pPr>
        <w:ind w:firstLine="0"/>
      </w:pPr>
      <w:r>
        <w:t>w</w:t>
      </w:r>
      <w:r w:rsidR="001A6EFA">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oMath>
      <w:r w:rsidR="001A6EFA">
        <w:t xml:space="preserve"> is the liquidity measure of interest,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A6EFA">
        <w:t xml:space="preserve"> is an indicator variable for whether the observation is in the treatment (US-dollar denominated market) or control (Canadian-dollar denominated market)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1A6EFA">
        <w:t xml:space="preserve"> is an indicator variable for whether the observation is in the post- or pre implementation period</w:t>
      </w:r>
      <w:r w:rsidR="00817C94">
        <w:t xml:space="preserve">. </w:t>
      </w:r>
      <m:oMath>
        <m:r>
          <w:rPr>
            <w:rFonts w:ascii="Cambria Math" w:hAnsi="Cambria Math"/>
          </w:rPr>
          <m:t>δ</m:t>
        </m:r>
      </m:oMath>
      <w:r w:rsidR="00817C94">
        <w:t xml:space="preserve"> is the parameter of interest.</w:t>
      </w:r>
    </w:p>
    <w:p w14:paraId="0455C23C" w14:textId="484F785F" w:rsidR="00817C94" w:rsidRPr="00A6337A" w:rsidRDefault="00817C94" w:rsidP="002570E4">
      <w:r>
        <w:t xml:space="preserve">For the identification strategy to be valid, the underlying variables must follow parallel trends if there was no intervention. I visually test this by </w:t>
      </w:r>
      <w:r w:rsidR="00551244">
        <w:t xml:space="preserve">plotting the time-series of the relative spread, Amihud measure, Roll measure and the two price dispersion measures for the twenty trading days before the period of the study. Figure __ shows the path of this variable for 2-year, 5-year, and 10-year contracts for the US-dollar and Canadian-dollar denominated markets. As in the case for the price premium, the </w:t>
      </w:r>
      <w:r w:rsidR="00DB3BA3">
        <w:t xml:space="preserve">liquidity measures in the </w:t>
      </w:r>
      <w:r w:rsidR="00551244">
        <w:t>US and Canadian contracts generally follow a parallel trend before the implementation of the clearing mandate</w:t>
      </w:r>
      <w:r w:rsidR="00DB3BA3">
        <w:t>.</w:t>
      </w:r>
    </w:p>
    <w:p w14:paraId="6BB52863" w14:textId="760D00C0" w:rsidR="005A5A35" w:rsidRDefault="005A5A35" w:rsidP="00AB12F9">
      <w:pPr>
        <w:pStyle w:val="Heading2"/>
      </w:pPr>
      <w:r>
        <w:t>Volatility</w:t>
      </w:r>
    </w:p>
    <w:p w14:paraId="5362A515" w14:textId="6A638F8D" w:rsidR="001234EE" w:rsidRDefault="00F05299" w:rsidP="001234EE">
      <w:r>
        <w:t>As is common practice in literature, I use the realized volatility as my measure of volatility.</w:t>
      </w:r>
      <w:r w:rsidR="00A04EBB">
        <w:t xml:space="preserve"> </w:t>
      </w:r>
      <w:r w:rsidR="00492712">
        <w:t xml:space="preserve">If </w:t>
      </w:r>
      <w:r w:rsidR="003439E1">
        <w:t xml:space="preserve">the return </w:t>
      </w:r>
      <w:r w:rsidR="00492712">
        <w:t xml:space="preserve">on an asset in the </w:t>
      </w:r>
      <w:r w:rsidR="003439E1">
        <w:t xml:space="preserve">period </w:t>
      </w:r>
      <m:oMath>
        <m:r>
          <w:rPr>
            <w:rFonts w:ascii="Cambria Math" w:hAnsi="Cambria Math"/>
          </w:rPr>
          <m:t>[t-1, t]</m:t>
        </m:r>
      </m:oMath>
      <w:r w:rsidR="003439E1">
        <w:t xml:space="preserve"> </w:t>
      </w:r>
      <w:r w:rsidR="00492712">
        <w:t xml:space="preserve">is defined as </w:t>
      </w:r>
      <w:proofErr w:type="spellStart"/>
      <w:r w:rsidR="003439E1">
        <w:t>as</w:t>
      </w:r>
      <w:proofErr w:type="spellEnd"/>
      <w:r w:rsidR="00A04EB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68DBB68" w14:textId="77777777" w:rsidTr="008652DB">
        <w:tc>
          <w:tcPr>
            <w:tcW w:w="350" w:type="pct"/>
          </w:tcPr>
          <w:p w14:paraId="233BC86B" w14:textId="77777777" w:rsidR="00F165F2" w:rsidRDefault="00F165F2" w:rsidP="008D1C73">
            <w:pPr>
              <w:ind w:firstLine="0"/>
            </w:pPr>
          </w:p>
        </w:tc>
        <w:tc>
          <w:tcPr>
            <w:tcW w:w="4300" w:type="pct"/>
          </w:tcPr>
          <w:p w14:paraId="47847668" w14:textId="4501955F"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tc>
        <w:tc>
          <w:tcPr>
            <w:tcW w:w="350" w:type="pct"/>
          </w:tcPr>
          <w:p w14:paraId="3FBF3CD6" w14:textId="499DC770"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34</w:t>
            </w:r>
            <w:r>
              <w:fldChar w:fldCharType="end"/>
            </w:r>
            <w:r>
              <w:t>)</w:t>
            </w:r>
          </w:p>
        </w:tc>
      </w:tr>
    </w:tbl>
    <w:p w14:paraId="5A12F79D" w14:textId="105C0E06" w:rsidR="00A04EBB" w:rsidRPr="00A04EBB" w:rsidRDefault="00A04EBB" w:rsidP="001234EE"/>
    <w:p w14:paraId="54C6E07C" w14:textId="51BE40E9" w:rsidR="00A04EBB" w:rsidRDefault="00A04EBB" w:rsidP="001234EE">
      <w:r>
        <w:t xml:space="preserve">The </w:t>
      </w:r>
      <w:r w:rsidR="00492712">
        <w:t xml:space="preserve">(annualized) </w:t>
      </w:r>
      <w:r w:rsidR="003439E1">
        <w:t>realized volatility of the return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7F31ED5" w14:textId="77777777" w:rsidTr="008652DB">
        <w:tc>
          <w:tcPr>
            <w:tcW w:w="350" w:type="pct"/>
          </w:tcPr>
          <w:p w14:paraId="71EBB330" w14:textId="77777777" w:rsidR="00F165F2" w:rsidRDefault="00F165F2" w:rsidP="008D1C73">
            <w:pPr>
              <w:ind w:firstLine="0"/>
            </w:pPr>
          </w:p>
        </w:tc>
        <w:tc>
          <w:tcPr>
            <w:tcW w:w="4300" w:type="pct"/>
          </w:tcPr>
          <w:p w14:paraId="7A46350A" w14:textId="5E2F6291" w:rsidR="00F165F2" w:rsidRPr="008652DB" w:rsidRDefault="00F165F2" w:rsidP="008D1C73">
            <w:pPr>
              <w:ind w:firstLine="0"/>
            </w:pPr>
            <m:oMathPara>
              <m:oMathParaPr>
                <m:jc m:val="center"/>
              </m:oMathParaPr>
              <m:oMath>
                <m:r>
                  <w:rPr>
                    <w:rFonts w:ascii="Cambria Math" w:hAnsi="Cambria Math"/>
                  </w:rPr>
                  <m:t>RV= ∑</m:t>
                </m:r>
                <m:sSup>
                  <m:sSupPr>
                    <m:ctrlPr>
                      <w:rPr>
                        <w:rFonts w:ascii="Cambria Math" w:hAnsi="Cambria Math"/>
                        <w:i/>
                      </w:rPr>
                    </m:ctrlPr>
                  </m:sSupPr>
                  <m:e>
                    <m:f>
                      <m:fPr>
                        <m:ctrlPr>
                          <w:rPr>
                            <w:rFonts w:ascii="Cambria Math" w:hAnsi="Cambria Math"/>
                            <w:i/>
                          </w:rPr>
                        </m:ctrlPr>
                      </m:fPr>
                      <m:num>
                        <m:r>
                          <w:rPr>
                            <w:rFonts w:ascii="Cambria Math" w:hAnsi="Cambria Math"/>
                          </w:rPr>
                          <m:t>252</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tc>
        <w:tc>
          <w:tcPr>
            <w:tcW w:w="350" w:type="pct"/>
          </w:tcPr>
          <w:p w14:paraId="726DC388" w14:textId="1C61CBF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35</w:t>
            </w:r>
            <w:r>
              <w:fldChar w:fldCharType="end"/>
            </w:r>
            <w:r>
              <w:t>)</w:t>
            </w:r>
          </w:p>
        </w:tc>
      </w:tr>
    </w:tbl>
    <w:p w14:paraId="4B50C211" w14:textId="64B0296D" w:rsidR="003439E1" w:rsidRPr="003439E1" w:rsidRDefault="00492712" w:rsidP="00492712">
      <w:pPr>
        <w:ind w:firstLine="0"/>
      </w:pPr>
      <w:r>
        <w:t xml:space="preserve">where: </w:t>
      </w:r>
      <m:oMath>
        <m:r>
          <w:rPr>
            <w:rFonts w:ascii="Cambria Math" w:hAnsi="Cambria Math"/>
          </w:rPr>
          <m:t>n</m:t>
        </m:r>
      </m:oMath>
      <w:r>
        <w:t xml:space="preserve"> is the number of trading days in the sample period and 252 is the approximate number of trading days in a year.</w:t>
      </w:r>
    </w:p>
    <w:p w14:paraId="5EBC1127" w14:textId="06A5D5AD" w:rsidR="00A669F6" w:rsidRDefault="003439E1" w:rsidP="00DB3BA3">
      <w:r>
        <w:t>For each trading day, I select contracts with “whole number tenor years” between 1 and 10 years</w:t>
      </w:r>
      <w:r w:rsidR="00470F75">
        <w:t xml:space="preserve"> (that is, I exclude contracts that are “partial years” such as 18-, 21- and 30-month contracts)</w:t>
      </w:r>
      <w:r>
        <w:t>, as well as 15</w:t>
      </w:r>
      <w:r w:rsidR="00470F75">
        <w:t>-</w:t>
      </w:r>
      <w:r>
        <w:t xml:space="preserve"> and 30</w:t>
      </w:r>
      <w:r w:rsidR="00470F75">
        <w:t>-</w:t>
      </w:r>
      <w:r>
        <w:t>year</w:t>
      </w:r>
      <w:r w:rsidR="00470F75">
        <w:t xml:space="preserve"> contracts</w:t>
      </w:r>
      <w:r>
        <w:t xml:space="preserve">. For </w:t>
      </w:r>
      <w:r w:rsidR="00470F75">
        <w:t xml:space="preserve">the </w:t>
      </w:r>
      <w:r>
        <w:t xml:space="preserve">Canadian </w:t>
      </w:r>
      <w:r w:rsidR="00470F75">
        <w:t>market</w:t>
      </w:r>
      <w:r>
        <w:t xml:space="preserve">, these are the most </w:t>
      </w:r>
      <w:r w:rsidR="00DB3BA3">
        <w:t>actively traded</w:t>
      </w:r>
      <w:r w:rsidR="00A669F6">
        <w:t xml:space="preserve"> </w:t>
      </w:r>
      <w:r w:rsidR="00A669F6">
        <w:lastRenderedPageBreak/>
        <w:t>contracts</w:t>
      </w:r>
      <w:r w:rsidR="00470F75">
        <w:t>. C</w:t>
      </w:r>
      <w:r w:rsidR="00A669F6">
        <w:t>alculating volatility requires several observations</w:t>
      </w:r>
      <w:r w:rsidR="00470F75">
        <w:t xml:space="preserve"> of each tenor for each trading day. </w:t>
      </w:r>
      <w:r w:rsidR="00766098">
        <w:t xml:space="preserve">I group contracts by currency, tenor, and trading day (I exclude the Memorial Day and Labor Day holidays as too few contracts are traded on those days to calculate </w:t>
      </w:r>
      <w:r w:rsidR="00DB3BA3">
        <w:t>realized volatility</w:t>
      </w:r>
      <w:r w:rsidR="00766098">
        <w:t>). The filtered dataset captures 90% of Canadian contracts traded during the period of the study, and I can calculate volatility of several tenors for each trading day</w:t>
      </w:r>
      <w:r w:rsidR="00DB3BA3">
        <w:rPr>
          <w:rStyle w:val="FootnoteReference"/>
        </w:rPr>
        <w:footnoteReference w:id="4"/>
      </w:r>
      <w:r w:rsidR="00766098">
        <w:t>. However, f</w:t>
      </w:r>
      <w:r w:rsidR="00470F75">
        <w:t xml:space="preserve">or several tenors (such as 4-year, 6-year, 8-year and 9-year contracts), no trades </w:t>
      </w:r>
      <w:r w:rsidR="002E6266">
        <w:t xml:space="preserve">or only one </w:t>
      </w:r>
      <w:r w:rsidR="00E139B4">
        <w:t xml:space="preserve">or two </w:t>
      </w:r>
      <w:r w:rsidR="002E6266">
        <w:t>trade</w:t>
      </w:r>
      <w:r w:rsidR="00E139B4">
        <w:t>s</w:t>
      </w:r>
      <w:r w:rsidR="002E6266">
        <w:t xml:space="preserve"> </w:t>
      </w:r>
      <w:r w:rsidR="00470F75">
        <w:t>occur in the Canadian market on certain dates</w:t>
      </w:r>
      <w:r w:rsidR="00DB3BA3">
        <w:t>,</w:t>
      </w:r>
      <w:r w:rsidR="00766098">
        <w:t xml:space="preserve"> and </w:t>
      </w:r>
      <w:r w:rsidR="002E6266">
        <w:t>I cannot calculate the volatility measure for that tenor for the Canadian</w:t>
      </w:r>
      <w:r w:rsidR="00DB3BA3">
        <w:t xml:space="preserve">-dollar denominated contract </w:t>
      </w:r>
      <w:r w:rsidR="002E6266">
        <w:t>on that trading date.</w:t>
      </w:r>
      <w:r w:rsidR="00DB3BA3">
        <w:t xml:space="preserve"> </w:t>
      </w:r>
      <w:r w:rsidR="00FF16CD">
        <w:t xml:space="preserve">Ideally, I would have 24 observations </w:t>
      </w:r>
      <w:r w:rsidR="00DB3BA3">
        <w:t xml:space="preserve">for each of the 58 trading days </w:t>
      </w:r>
      <w:r w:rsidR="00FF16CD">
        <w:t>(one for each currency, for each tenor between 1 and 10 years, 15 years, and 30 years). However</w:t>
      </w:r>
      <w:r w:rsidR="00DB3BA3">
        <w:t xml:space="preserve">, since </w:t>
      </w:r>
      <w:r w:rsidR="00FF16CD">
        <w:t>no Canadian contract of a particular tenor is traded</w:t>
      </w:r>
      <w:r w:rsidR="00DB3BA3">
        <w:t xml:space="preserve"> on certain dates</w:t>
      </w:r>
      <w:r w:rsidR="00FF16CD">
        <w:t xml:space="preserve">, I end up with </w:t>
      </w:r>
      <w:r w:rsidR="002E6266">
        <w:t xml:space="preserve">914 </w:t>
      </w:r>
      <w:r w:rsidR="00FF16CD">
        <w:t>observations in my data set.</w:t>
      </w:r>
    </w:p>
    <w:p w14:paraId="4E267B12" w14:textId="0ABA692F" w:rsidR="00FF16CD" w:rsidRDefault="00FF16CD" w:rsidP="001234EE">
      <w:r>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4B3291" w14:paraId="3EBC802E" w14:textId="77777777" w:rsidTr="008652DB">
        <w:tc>
          <w:tcPr>
            <w:tcW w:w="350" w:type="pct"/>
          </w:tcPr>
          <w:p w14:paraId="57460DF8" w14:textId="77777777" w:rsidR="004B3291" w:rsidRDefault="004B3291" w:rsidP="008D1C73">
            <w:pPr>
              <w:ind w:firstLine="0"/>
            </w:pPr>
          </w:p>
        </w:tc>
        <w:tc>
          <w:tcPr>
            <w:tcW w:w="4300" w:type="pct"/>
          </w:tcPr>
          <w:p w14:paraId="3592D3C9" w14:textId="3D84AD94" w:rsidR="004B3291" w:rsidRPr="008652DB" w:rsidRDefault="004B3291" w:rsidP="008D1C73">
            <w:pPr>
              <w:ind w:firstLine="0"/>
            </w:pPr>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5CD3A70D" w14:textId="7213F27C" w:rsidR="004B3291" w:rsidRDefault="004B3291" w:rsidP="008652DB">
            <w:pPr>
              <w:pStyle w:val="Caption"/>
              <w:keepNext/>
              <w:jc w:val="right"/>
            </w:pPr>
            <w:r>
              <w:t>(</w:t>
            </w:r>
            <w:r>
              <w:fldChar w:fldCharType="begin"/>
            </w:r>
            <w:r>
              <w:instrText xml:space="preserve"> SEQ Equation \* ARABIC </w:instrText>
            </w:r>
            <w:r>
              <w:fldChar w:fldCharType="separate"/>
            </w:r>
            <w:r w:rsidR="00943191">
              <w:rPr>
                <w:noProof/>
              </w:rPr>
              <w:t>36</w:t>
            </w:r>
            <w:r>
              <w:fldChar w:fldCharType="end"/>
            </w:r>
            <w:r>
              <w:t>)</w:t>
            </w:r>
          </w:p>
        </w:tc>
      </w:tr>
    </w:tbl>
    <w:p w14:paraId="0553F68F" w14:textId="6694030E" w:rsidR="00FF16CD" w:rsidRPr="00FF16CD" w:rsidRDefault="00FF16CD" w:rsidP="001234EE"/>
    <w:p w14:paraId="3CD475E6" w14:textId="7CCF56BD" w:rsidR="00FF16CD" w:rsidRDefault="00943191" w:rsidP="00943191">
      <w:pPr>
        <w:ind w:firstLine="0"/>
      </w:pPr>
      <w:r>
        <w:t>w</w:t>
      </w:r>
      <w:r w:rsidR="00FF16CD">
        <w:t xml:space="preserve">here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xml:space="preserve"> </m:t>
        </m:r>
      </m:oMath>
      <w:r w:rsidR="00E139B4">
        <w:t xml:space="preserve"> is the realized variance for contract specification </w:t>
      </w:r>
      <m:oMath>
        <m:r>
          <w:rPr>
            <w:rFonts w:ascii="Cambria Math" w:hAnsi="Cambria Math"/>
          </w:rPr>
          <m:t>i</m:t>
        </m:r>
      </m:oMath>
      <w:r w:rsidR="00E139B4">
        <w:t xml:space="preserve"> in period </w:t>
      </w:r>
      <m:oMath>
        <m:r>
          <w:rPr>
            <w:rFonts w:ascii="Cambria Math" w:hAnsi="Cambria Math"/>
          </w:rPr>
          <m:t xml:space="preserve">t </m:t>
        </m:r>
      </m:oMath>
      <w:r w:rsidR="00E139B4">
        <w:t xml:space="preserve">and the rest of the variables are as described in the liquidity section. </w:t>
      </w:r>
      <m:oMath>
        <m:r>
          <w:rPr>
            <w:rFonts w:ascii="Cambria Math" w:hAnsi="Cambria Math"/>
          </w:rPr>
          <m:t>δ</m:t>
        </m:r>
      </m:oMath>
      <w:r w:rsidR="00F558CC">
        <w:t xml:space="preserve"> </w:t>
      </w:r>
      <w:r w:rsidR="00FF16CD">
        <w:t>(the interaction between group and pre/post-treatment period) is the parameter of interest.</w:t>
      </w:r>
    </w:p>
    <w:p w14:paraId="40937432" w14:textId="36E5E601" w:rsidR="00F558CC" w:rsidRPr="00F05299" w:rsidRDefault="00F558CC" w:rsidP="001234EE">
      <w:r>
        <w:t xml:space="preserve">As with the other difference-in-differences specification, </w:t>
      </w:r>
      <w:r w:rsidR="007E0CF8">
        <w:t>for</w:t>
      </w:r>
      <w:r>
        <w:t xml:space="preserve"> the identification strategy to be valid, the two groups need to follow parallel trend</w:t>
      </w:r>
      <w:r w:rsidR="007E0CF8">
        <w:t>s</w:t>
      </w:r>
      <w:r>
        <w:t xml:space="preserve"> in the absence of </w:t>
      </w:r>
      <w:r w:rsidR="007E0CF8">
        <w:t>an intervention. I plot the time series (Figure __) of the realized volatility measure for the 2-year, 5-year and 10-year contracts for the twenty trading days before the implementation of the clearing mandate. In general, the volatility measure follows a parallel trend for the US-dollar denominated and Canadian-dollar denominated markets.</w:t>
      </w:r>
    </w:p>
    <w:p w14:paraId="517154C7" w14:textId="4EC87616" w:rsidR="00A96B98" w:rsidRDefault="00A96B98" w:rsidP="009C0453">
      <w:pPr>
        <w:pStyle w:val="Heading1"/>
        <w:numPr>
          <w:ilvl w:val="0"/>
          <w:numId w:val="33"/>
        </w:numPr>
      </w:pPr>
      <w:bookmarkStart w:id="11" w:name="_Ref157719326"/>
      <w:r>
        <w:lastRenderedPageBreak/>
        <w:t>Data</w:t>
      </w:r>
      <w:bookmarkEnd w:id="11"/>
    </w:p>
    <w:p w14:paraId="02FB73A2" w14:textId="24C02753" w:rsidR="008A79F1" w:rsidRDefault="00935E65" w:rsidP="00031822">
      <w:r w:rsidRPr="00935E65">
        <w:t xml:space="preserve">The Commodity Futures Trading Commission's (CFTC) clearing mandate on IR swaps became effective on March 11, 2013. The regulation was implemented in three phases. Phase 1 mandated clearing for certain IR swaps involving swap dealers (SD), major swap participants (MSP), or active funds. Phase 2 extended the mandate to additional entities, </w:t>
      </w:r>
      <w:r w:rsidR="008C6991">
        <w:t xml:space="preserve">including commodity pool operators, banks and other financial institutions, </w:t>
      </w:r>
      <w:r w:rsidRPr="00935E65">
        <w:t>while Phase 3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and 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655B55">
      <w:pPr>
        <w:rPr>
          <w:color w:val="000000" w:themeColor="text1"/>
        </w:rPr>
      </w:pPr>
      <w:r>
        <w:rPr>
          <w:color w:val="000000" w:themeColor="text1"/>
        </w:rPr>
        <w:t xml:space="preserve">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w:t>
      </w:r>
      <w:r>
        <w:rPr>
          <w:color w:val="000000" w:themeColor="text1"/>
        </w:rPr>
        <w:lastRenderedPageBreak/>
        <w:t>Canadian IR swaps hovers around 48% prior to Phase 1. It reaches a high of around 56% in phase 2 and diminishes back to 48% after phase 3. Note that clearing in CAD denominated swaps is voluntary.</w:t>
      </w:r>
    </w:p>
    <w:p w14:paraId="71DAE32C" w14:textId="30D4B693"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 xml:space="preserve">(curve S__) </w:t>
      </w:r>
      <w:r w:rsidRPr="0004387C">
        <w:t>from the Bloomberg Terminal</w:t>
      </w:r>
      <w:r w:rsidR="00180890">
        <w:t xml:space="preserve"> for pricing Canadian swaps</w:t>
      </w:r>
      <w:r w:rsidRPr="0004387C">
        <w:t>.</w:t>
      </w:r>
    </w:p>
    <w:p w14:paraId="3A40E47D" w14:textId="306B466A" w:rsidR="008A79F1" w:rsidRPr="0004387C" w:rsidRDefault="005356E2" w:rsidP="00031822">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943191">
        <w:t xml:space="preserve">Table </w:t>
      </w:r>
      <w:r w:rsidR="00943191">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my constructed curve and comparing against calculations by Bloomberg SWPM function. I </w:t>
      </w:r>
      <w:r w:rsidR="0038485E">
        <w:t>can</w:t>
      </w:r>
      <w:r w:rsidR="00531890">
        <w:t xml:space="preserve"> match the output of SWPM up to 4 decimal places.</w:t>
      </w:r>
    </w:p>
    <w:p w14:paraId="668A5947" w14:textId="393F97D5" w:rsidR="008A79F1" w:rsidRDefault="00FF211F" w:rsidP="00031822">
      <w:r w:rsidRPr="0004387C">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swaps that make a single payment at maturity (i.e., payment frequency is 1T</w:t>
      </w:r>
      <w:r w:rsidR="003B1DFC">
        <w:t>)</w:t>
      </w:r>
      <w:r w:rsidR="009373A0">
        <w:t xml:space="preserve">, which should </w:t>
      </w:r>
      <w:proofErr w:type="gramStart"/>
      <w:r w:rsidR="009373A0">
        <w:t>actually be</w:t>
      </w:r>
      <w:proofErr w:type="gramEnd"/>
      <w:r w:rsidR="009373A0">
        <w:t xml:space="preserve"> classified as a</w:t>
      </w:r>
      <w:r w:rsidR="00943191">
        <w:t>n</w:t>
      </w:r>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943191" w:rsidRPr="0004387C">
        <w:rPr>
          <w:color w:val="000000" w:themeColor="text1"/>
        </w:rPr>
        <w:t xml:space="preserve">Table </w:t>
      </w:r>
      <w:r w:rsidR="00943191">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3C2B2211" w:rsidR="005F746F" w:rsidRDefault="005F746F" w:rsidP="00031822">
      <w:r>
        <w:fldChar w:fldCharType="begin"/>
      </w:r>
      <w:r>
        <w:instrText xml:space="preserve"> REF _Ref160966456 \h </w:instrText>
      </w:r>
      <w:r>
        <w:fldChar w:fldCharType="separate"/>
      </w:r>
      <w:r w:rsidR="00943191">
        <w:t xml:space="preserve">Table </w:t>
      </w:r>
      <w:r w:rsidR="00943191">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lastRenderedPageBreak/>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124731DE" w14:textId="3F608438" w:rsidR="00AE2A76" w:rsidRDefault="00AA454A" w:rsidP="00640DD5">
      <w:r>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below the fair price. I am also unable to observe </w:t>
      </w:r>
      <w:r w:rsidR="00506DDF">
        <w:t xml:space="preserve">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w:t>
      </w:r>
    </w:p>
    <w:p w14:paraId="14E60527" w14:textId="77777777" w:rsidR="008F2992" w:rsidRDefault="008F2992" w:rsidP="008F2992"/>
    <w:p w14:paraId="451E3332" w14:textId="1369D42D" w:rsidR="00180890" w:rsidRDefault="00180890" w:rsidP="00C66CC2">
      <w:pPr>
        <w:pStyle w:val="Caption"/>
        <w:jc w:val="center"/>
      </w:pPr>
      <w:bookmarkStart w:id="12" w:name="_Ref160808244"/>
      <w:r>
        <w:t xml:space="preserve">Table </w:t>
      </w:r>
      <w:r>
        <w:fldChar w:fldCharType="begin"/>
      </w:r>
      <w:r>
        <w:instrText xml:space="preserve"> SEQ Table \* ARABIC </w:instrText>
      </w:r>
      <w:r>
        <w:fldChar w:fldCharType="separate"/>
      </w:r>
      <w:r w:rsidR="00943191">
        <w:rPr>
          <w:noProof/>
        </w:rPr>
        <w:t>3</w:t>
      </w:r>
      <w:r>
        <w:fldChar w:fldCharType="end"/>
      </w:r>
      <w:bookmarkEnd w:id="12"/>
      <w:r>
        <w:t>:</w:t>
      </w:r>
      <w:r>
        <w:rPr>
          <w:noProof/>
        </w:rPr>
        <w:t xml:space="preserve"> Sample data for USD and CAD yield curves</w:t>
      </w:r>
    </w:p>
    <w:p w14:paraId="13A00C6F" w14:textId="0CB73517" w:rsidR="00180890" w:rsidRDefault="00C66CC2" w:rsidP="00C66CC2">
      <w:pPr>
        <w:spacing w:line="240" w:lineRule="auto"/>
        <w:ind w:firstLine="0"/>
        <w:jc w:val="center"/>
      </w:pPr>
      <w:r>
        <w:t>[Table 3 about here]</w:t>
      </w:r>
    </w:p>
    <w:p w14:paraId="64B9E88B" w14:textId="0F42DC15" w:rsidR="00AE2A76" w:rsidRPr="0004387C" w:rsidRDefault="00AE2A76" w:rsidP="00640DD5">
      <w:pPr>
        <w:spacing w:line="240" w:lineRule="auto"/>
        <w:ind w:firstLine="0"/>
        <w:jc w:val="left"/>
      </w:pPr>
    </w:p>
    <w:p w14:paraId="648FED74" w14:textId="6BB16B93" w:rsidR="008A79F1" w:rsidRDefault="008A79F1" w:rsidP="00031822">
      <w:pPr>
        <w:pStyle w:val="Caption"/>
        <w:keepNext/>
        <w:jc w:val="center"/>
        <w:rPr>
          <w:noProof/>
          <w:color w:val="000000" w:themeColor="text1"/>
        </w:rPr>
      </w:pPr>
      <w:bookmarkStart w:id="13"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943191">
        <w:rPr>
          <w:noProof/>
          <w:color w:val="000000" w:themeColor="text1"/>
        </w:rPr>
        <w:t>4</w:t>
      </w:r>
      <w:r w:rsidRPr="0004387C">
        <w:rPr>
          <w:noProof/>
          <w:color w:val="000000" w:themeColor="text1"/>
        </w:rPr>
        <w:fldChar w:fldCharType="end"/>
      </w:r>
      <w:bookmarkEnd w:id="13"/>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3E325975" w14:textId="312C4558" w:rsidR="005F746F" w:rsidRDefault="00C66CC2" w:rsidP="00C66CC2">
      <w:pPr>
        <w:spacing w:line="240" w:lineRule="auto"/>
        <w:ind w:firstLine="0"/>
        <w:jc w:val="center"/>
        <w:rPr>
          <w:color w:val="000000" w:themeColor="text1"/>
        </w:rPr>
      </w:pPr>
      <w:r>
        <w:rPr>
          <w:color w:val="000000" w:themeColor="text1"/>
        </w:rPr>
        <w:t>[Table 4 about here]</w:t>
      </w:r>
    </w:p>
    <w:p w14:paraId="12E19475" w14:textId="77777777" w:rsidR="00C66CC2" w:rsidRDefault="00C66CC2">
      <w:pPr>
        <w:spacing w:line="240" w:lineRule="auto"/>
        <w:ind w:firstLine="0"/>
        <w:jc w:val="left"/>
        <w:rPr>
          <w:color w:val="000000" w:themeColor="text1"/>
        </w:rPr>
      </w:pPr>
    </w:p>
    <w:p w14:paraId="21783889" w14:textId="657549B2" w:rsidR="005F746F" w:rsidRDefault="005F746F" w:rsidP="00C66CC2">
      <w:pPr>
        <w:pStyle w:val="Caption"/>
        <w:keepNext/>
        <w:jc w:val="center"/>
      </w:pPr>
      <w:bookmarkStart w:id="14" w:name="_Ref160966456"/>
      <w:r>
        <w:lastRenderedPageBreak/>
        <w:t xml:space="preserve">Table </w:t>
      </w:r>
      <w:r>
        <w:fldChar w:fldCharType="begin"/>
      </w:r>
      <w:r>
        <w:instrText xml:space="preserve"> SEQ Table \* ARABIC </w:instrText>
      </w:r>
      <w:r>
        <w:fldChar w:fldCharType="separate"/>
      </w:r>
      <w:r w:rsidR="00943191">
        <w:rPr>
          <w:noProof/>
        </w:rPr>
        <w:t>5</w:t>
      </w:r>
      <w:r>
        <w:fldChar w:fldCharType="end"/>
      </w:r>
      <w:bookmarkEnd w:id="14"/>
      <w:r>
        <w:rPr>
          <w:noProof/>
        </w:rPr>
        <w:t xml:space="preserve"> Selected characteristics of control variables</w:t>
      </w:r>
    </w:p>
    <w:p w14:paraId="2ABE662F" w14:textId="562E81A4" w:rsidR="008335A2" w:rsidRDefault="00C66CC2" w:rsidP="00C66CC2">
      <w:pPr>
        <w:ind w:firstLine="0"/>
        <w:jc w:val="center"/>
        <w:rPr>
          <w:color w:val="000000" w:themeColor="text1"/>
        </w:rPr>
      </w:pPr>
      <w:r>
        <w:rPr>
          <w:color w:val="000000" w:themeColor="text1"/>
        </w:rPr>
        <w:t>[Table 5 about here]</w:t>
      </w:r>
    </w:p>
    <w:p w14:paraId="0AF87036" w14:textId="4632ABA3" w:rsidR="00C66CC2" w:rsidRDefault="00C66CC2" w:rsidP="00C66CC2">
      <w:pPr>
        <w:spacing w:line="240" w:lineRule="auto"/>
        <w:ind w:firstLine="0"/>
        <w:jc w:val="left"/>
        <w:rPr>
          <w:color w:val="000000" w:themeColor="text1"/>
        </w:rPr>
      </w:pPr>
    </w:p>
    <w:p w14:paraId="3C87E4A9" w14:textId="2DF31044" w:rsidR="00A96B98" w:rsidRPr="0004387C" w:rsidRDefault="00A96B98" w:rsidP="009C0453">
      <w:pPr>
        <w:pStyle w:val="Heading1"/>
        <w:numPr>
          <w:ilvl w:val="0"/>
          <w:numId w:val="33"/>
        </w:numPr>
      </w:pPr>
      <w:bookmarkStart w:id="15" w:name="_Ref157719497"/>
      <w:r w:rsidRPr="00D024F1">
        <w:t>Results</w:t>
      </w:r>
      <w:bookmarkEnd w:id="15"/>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38017BBC" w14:textId="1EB319AE" w:rsidR="00A03CBF" w:rsidRDefault="00A03CBF" w:rsidP="00031822">
      <w:r>
        <w:fldChar w:fldCharType="begin"/>
      </w:r>
      <w:r>
        <w:instrText xml:space="preserve"> REF _Ref149507984 \h </w:instrText>
      </w:r>
      <w:r w:rsidR="00031822">
        <w:instrText xml:space="preserve"> \* MERGEFORMAT </w:instrText>
      </w:r>
      <w:r>
        <w:fldChar w:fldCharType="separate"/>
      </w:r>
      <w:r w:rsidR="00943191">
        <w:t xml:space="preserve">Table </w:t>
      </w:r>
      <w:r w:rsidR="00943191">
        <w:rPr>
          <w:noProof/>
        </w:rPr>
        <w:t>6</w:t>
      </w:r>
      <w:r>
        <w:fldChar w:fldCharType="end"/>
      </w:r>
      <w:r>
        <w:t xml:space="preserve"> lists the </w:t>
      </w:r>
      <w:proofErr w:type="spellStart"/>
      <w:r>
        <w:t>DiD</w:t>
      </w:r>
      <w:proofErr w:type="spellEnd"/>
      <w:r>
        <w:t xml:space="preserve"> </w:t>
      </w:r>
      <w:r w:rsidR="007C0BF5">
        <w:t xml:space="preserve">results </w:t>
      </w:r>
      <w:r>
        <w:t xml:space="preserve">for </w:t>
      </w:r>
      <w:r w:rsidR="00E106E8">
        <w:t>the swap premium</w:t>
      </w:r>
      <w:r>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55704DC6" w14:textId="6DFF7964" w:rsidR="00FE7E8B" w:rsidRDefault="00531890" w:rsidP="00FE7E8B">
      <w:r>
        <w:t xml:space="preserve">Using Wednesday as the reference level, I note that there is a 1-3 bps increase in the premium </w:t>
      </w:r>
      <w:r w:rsidR="00537BC1">
        <w:t>depending on the trading day.</w:t>
      </w:r>
      <w:r w:rsidR="00FE7E8B">
        <w:t xml:space="preserve"> There is also a 1.0-1.3 bps decrease in the premium for trading in morning, afternoon or off hours trading sessions (as compared to mid-day). Note that both results contrast with assumptions of “</w:t>
      </w:r>
      <w:r w:rsidR="00655B55">
        <w:t>efficient</w:t>
      </w:r>
      <w:r w:rsidR="00FE7E8B">
        <w:t xml:space="preserve"> markets”, where there should be no arbitrage opportunities 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r w:rsidR="00640DD5">
        <w:t xml:space="preserve">. Although statistically significant, the magnitude of the effects </w:t>
      </w:r>
      <w:proofErr w:type="gramStart"/>
      <w:r w:rsidR="00640DD5">
        <w:t>are</w:t>
      </w:r>
      <w:proofErr w:type="gramEnd"/>
      <w:r w:rsidR="00640DD5">
        <w:t xml:space="preserve"> small, ranging from 0.03 to 3 bps.</w:t>
      </w:r>
    </w:p>
    <w:p w14:paraId="1F049E33" w14:textId="6C2552FA" w:rsidR="007C0BF5" w:rsidRDefault="004050F2" w:rsidP="00031822">
      <w:r>
        <w:lastRenderedPageBreak/>
        <w:fldChar w:fldCharType="begin"/>
      </w:r>
      <w:r>
        <w:instrText xml:space="preserve"> REF _Ref149509644 \h </w:instrText>
      </w:r>
      <w:r w:rsidR="00031822">
        <w:instrText xml:space="preserve"> \* MERGEFORMAT </w:instrText>
      </w:r>
      <w:r>
        <w:fldChar w:fldCharType="separate"/>
      </w:r>
      <w:r w:rsidR="00943191">
        <w:t xml:space="preserve">Table </w:t>
      </w:r>
      <w:r w:rsidR="00943191">
        <w:rPr>
          <w:noProof/>
        </w:rPr>
        <w:t>7</w:t>
      </w:r>
      <w:r>
        <w:fldChar w:fldCharType="end"/>
      </w:r>
      <w:r>
        <w:t xml:space="preserve"> shows the result of running the simple model on each phase of the data separately. In phase 1, there is no effect of the clearing mandate on the premium. </w:t>
      </w:r>
      <w:r w:rsidR="00640DD5">
        <w:t xml:space="preserve">As noted previously, </w:t>
      </w:r>
      <w:r w:rsidR="00042905">
        <w:t xml:space="preserve">in </w:t>
      </w:r>
      <w:r w:rsidR="00640DD5">
        <w:t>phase 1</w:t>
      </w:r>
      <w:r w:rsidR="00042905">
        <w:t>, the clearing mandate</w:t>
      </w:r>
      <w:r w:rsidR="00640DD5">
        <w:t xml:space="preserve"> only applied to a limited set of market participants (dealers, major swaps participants and active funds). Although the volume of contracts that were cleared increased after the </w:t>
      </w:r>
      <w:r w:rsidR="00042905">
        <w:t>phase 1</w:t>
      </w:r>
      <w:r w:rsidR="00640DD5">
        <w:t xml:space="preserve">, perceptions of </w:t>
      </w:r>
      <w:r w:rsidR="00042905">
        <w:t>counterparty risk apparently did not, likely due to the limited number of participants who were affected. In phase 2 and phase 3, a larger set of market participants fell under the mandate, and the premium increased, as would be expected if clearing diminished counterparty risk.</w:t>
      </w:r>
    </w:p>
    <w:p w14:paraId="2BED27C1" w14:textId="6AF4EB38" w:rsidR="008D236B" w:rsidRDefault="008D236B" w:rsidP="00042905">
      <w:r>
        <w:fldChar w:fldCharType="begin"/>
      </w:r>
      <w:r>
        <w:instrText xml:space="preserve"> REF _Ref161098891 \h </w:instrText>
      </w:r>
      <w:r>
        <w:fldChar w:fldCharType="separate"/>
      </w:r>
      <w:r w:rsidR="00943191">
        <w:t xml:space="preserve">Table </w:t>
      </w:r>
      <w:r w:rsidR="00943191">
        <w:rPr>
          <w:noProof/>
        </w:rPr>
        <w:t>8</w:t>
      </w:r>
      <w:r>
        <w:fldChar w:fldCharType="end"/>
      </w:r>
      <w:r>
        <w:t xml:space="preserve"> shows </w:t>
      </w:r>
      <w:r w:rsidR="00B36827">
        <w:t>the results from a placebo difference-in-differences regression. I pick the 20 trading days before the periods studied above (60 trading days in total across three phases). I create a “placebo” difference-in-differences</w:t>
      </w:r>
      <w:r w:rsidR="00042905">
        <w:t>,</w:t>
      </w:r>
      <w:r w:rsidR="00B36827">
        <w:t xml:space="preserve"> as if there was a transition </w:t>
      </w:r>
      <w:r w:rsidR="00042905">
        <w:t xml:space="preserve">to clearing mandate on </w:t>
      </w:r>
      <w:r w:rsidR="00B36827">
        <w:t xml:space="preserve">Feb 11, May 13 and </w:t>
      </w:r>
      <w:r w:rsidR="00700AF9">
        <w:t xml:space="preserve">Aug 12. </w:t>
      </w:r>
      <w:r w:rsidR="00042905">
        <w:t>T</w:t>
      </w:r>
      <w:r w:rsidR="00700AF9">
        <w:t xml:space="preserve">he results do not show any effect from this placebo </w:t>
      </w:r>
      <w:proofErr w:type="spellStart"/>
      <w:r w:rsidR="00700AF9">
        <w:t>DiD</w:t>
      </w:r>
      <w:proofErr w:type="spellEnd"/>
      <w:r w:rsidR="00700AF9">
        <w:t xml:space="preserve">, further strengthening our belief that the increase in premia seen in the actual </w:t>
      </w:r>
      <w:proofErr w:type="spellStart"/>
      <w:r w:rsidR="00700AF9">
        <w:t>DiD</w:t>
      </w:r>
      <w:proofErr w:type="spellEnd"/>
      <w:r w:rsidR="00700AF9">
        <w:t xml:space="preserve"> is real.</w:t>
      </w:r>
    </w:p>
    <w:p w14:paraId="1562322B" w14:textId="3737C598" w:rsidR="005B5046" w:rsidRDefault="00042905" w:rsidP="004B2BEF">
      <w:r>
        <w:t xml:space="preserve">Table __ shows the results </w:t>
      </w:r>
      <w:r w:rsidR="004B2BEF">
        <w:t xml:space="preserve">of analyzing an alternative currency pair.  GBP-denominated contracts fell under the clearing mandate while CHF-denominated contracts did not. </w:t>
      </w:r>
      <w:proofErr w:type="gramStart"/>
      <w:r w:rsidR="004B2BEF">
        <w:t>Similar to</w:t>
      </w:r>
      <w:proofErr w:type="gramEnd"/>
      <w:r w:rsidR="004B2BEF">
        <w:t xml:space="preserve"> the USD-CAD comparison, GBP contracts show a ~7-8 bps rise in premia following the passage of the mandate.</w:t>
      </w:r>
    </w:p>
    <w:p w14:paraId="730BD612" w14:textId="02C5207E" w:rsidR="005B5046" w:rsidRDefault="005B5046" w:rsidP="00B002D8">
      <w:pPr>
        <w:pStyle w:val="Caption"/>
        <w:keepNext/>
      </w:pPr>
      <w:bookmarkStart w:id="16" w:name="_Ref160963634"/>
      <w:r>
        <w:t xml:space="preserve">Figure </w:t>
      </w:r>
      <w:r>
        <w:fldChar w:fldCharType="begin"/>
      </w:r>
      <w:r>
        <w:instrText xml:space="preserve"> SEQ Figure \* ARABIC </w:instrText>
      </w:r>
      <w:r>
        <w:fldChar w:fldCharType="separate"/>
      </w:r>
      <w:r w:rsidR="00943191">
        <w:rPr>
          <w:noProof/>
        </w:rPr>
        <w:t>4</w:t>
      </w:r>
      <w:r>
        <w:fldChar w:fldCharType="end"/>
      </w:r>
      <w:bookmarkEnd w:id="16"/>
      <w:r>
        <w:t>: Bloomberg Reported Swap Rates for USD and CAD denominated interest rate swaps. From left-to-right and top-to-bottom: 2-year swaps during phase 1 (implementation date Mar 11, 2014), phase 2 (implementation date June 10, 2013), and phase 3 (implementation date September 9, 2013); 5-year swaps during phase 1, phase 2 and phase 3; 10-year swaps during phase 1, phase 2 and phase 3</w:t>
      </w:r>
    </w:p>
    <w:p w14:paraId="78DCF7EC" w14:textId="698BAEE8" w:rsidR="00B002D8" w:rsidRPr="00B002D8" w:rsidRDefault="00B002D8" w:rsidP="00B002D8">
      <w:pPr>
        <w:jc w:val="center"/>
      </w:pPr>
      <w:r>
        <w:t>[Figure 4 about here]</w:t>
      </w:r>
    </w:p>
    <w:p w14:paraId="283A7C55" w14:textId="77777777" w:rsidR="005B5046" w:rsidRDefault="005B5046" w:rsidP="004B2BEF">
      <w:pPr>
        <w:ind w:firstLine="0"/>
      </w:pPr>
    </w:p>
    <w:p w14:paraId="0DECA66E" w14:textId="38CF5E8E" w:rsidR="00A03CBF" w:rsidRDefault="00A03CBF" w:rsidP="00C66CC2">
      <w:pPr>
        <w:pStyle w:val="Caption"/>
        <w:keepNext/>
        <w:jc w:val="center"/>
      </w:pPr>
      <w:bookmarkStart w:id="17" w:name="_Ref149507984"/>
      <w:r>
        <w:t xml:space="preserve">Table </w:t>
      </w:r>
      <w:r>
        <w:fldChar w:fldCharType="begin"/>
      </w:r>
      <w:r>
        <w:instrText xml:space="preserve"> SEQ Table \* ARABIC </w:instrText>
      </w:r>
      <w:r>
        <w:fldChar w:fldCharType="separate"/>
      </w:r>
      <w:r w:rsidR="00943191">
        <w:rPr>
          <w:noProof/>
        </w:rPr>
        <w:t>6</w:t>
      </w:r>
      <w:r>
        <w:rPr>
          <w:noProof/>
        </w:rPr>
        <w:fldChar w:fldCharType="end"/>
      </w:r>
      <w:bookmarkEnd w:id="17"/>
      <w:r>
        <w:rPr>
          <w:noProof/>
        </w:rPr>
        <w:t xml:space="preserve"> Difference-in-Difference Result</w:t>
      </w:r>
    </w:p>
    <w:p w14:paraId="1FF6B0DE" w14:textId="77777777" w:rsidR="00E106E8" w:rsidRPr="00B254A1" w:rsidRDefault="00E106E8" w:rsidP="004B2BEF"/>
    <w:p w14:paraId="5179D58C" w14:textId="2506B742" w:rsidR="00A03CBF" w:rsidRDefault="00C66CC2" w:rsidP="00031822">
      <w:pPr>
        <w:jc w:val="center"/>
      </w:pPr>
      <w:r>
        <w:t>[Table 6 about here]</w:t>
      </w:r>
    </w:p>
    <w:p w14:paraId="20444B68" w14:textId="19031197" w:rsidR="00C66CC2" w:rsidRDefault="00C66CC2">
      <w:pPr>
        <w:spacing w:line="240" w:lineRule="auto"/>
        <w:ind w:firstLine="0"/>
        <w:jc w:val="left"/>
      </w:pPr>
    </w:p>
    <w:p w14:paraId="61E2A797" w14:textId="77777777" w:rsidR="00C66CC2" w:rsidRDefault="00C66CC2" w:rsidP="00031822">
      <w:pPr>
        <w:jc w:val="center"/>
      </w:pPr>
    </w:p>
    <w:p w14:paraId="5B61C362" w14:textId="2D8E4909" w:rsidR="004050F2" w:rsidRDefault="004050F2" w:rsidP="00C66CC2">
      <w:pPr>
        <w:pStyle w:val="Caption"/>
        <w:keepNext/>
        <w:jc w:val="center"/>
      </w:pPr>
      <w:bookmarkStart w:id="18" w:name="_Ref149509644"/>
      <w:r>
        <w:t xml:space="preserve">Table </w:t>
      </w:r>
      <w:r>
        <w:fldChar w:fldCharType="begin"/>
      </w:r>
      <w:r>
        <w:instrText xml:space="preserve"> SEQ Table \* ARABIC </w:instrText>
      </w:r>
      <w:r>
        <w:fldChar w:fldCharType="separate"/>
      </w:r>
      <w:r w:rsidR="00943191">
        <w:rPr>
          <w:noProof/>
        </w:rPr>
        <w:t>7</w:t>
      </w:r>
      <w:r>
        <w:rPr>
          <w:noProof/>
        </w:rPr>
        <w:fldChar w:fldCharType="end"/>
      </w:r>
      <w:bookmarkEnd w:id="18"/>
      <w:r>
        <w:rPr>
          <w:noProof/>
        </w:rPr>
        <w:t xml:space="preserve"> By Phase DiD Results</w:t>
      </w:r>
    </w:p>
    <w:p w14:paraId="0B05B2FA" w14:textId="77777777" w:rsidR="008D236B" w:rsidRPr="005A0301" w:rsidRDefault="008D236B" w:rsidP="004B2BEF"/>
    <w:p w14:paraId="359A0F22" w14:textId="671EA6E7" w:rsidR="008D236B" w:rsidRPr="005A0301" w:rsidRDefault="00C66CC2" w:rsidP="00640DD5">
      <w:pPr>
        <w:jc w:val="center"/>
      </w:pPr>
      <w:r>
        <w:t>[Table 7 about here]</w:t>
      </w:r>
    </w:p>
    <w:p w14:paraId="3672CE26" w14:textId="25C698DC" w:rsidR="008D236B" w:rsidRDefault="008D236B">
      <w:pPr>
        <w:spacing w:line="240" w:lineRule="auto"/>
        <w:ind w:firstLine="0"/>
        <w:jc w:val="left"/>
      </w:pPr>
    </w:p>
    <w:p w14:paraId="733FD803" w14:textId="77777777" w:rsidR="004050F2" w:rsidRDefault="004050F2" w:rsidP="00031822">
      <w:pPr>
        <w:jc w:val="center"/>
      </w:pPr>
    </w:p>
    <w:p w14:paraId="64A1D7B8" w14:textId="000DA923" w:rsidR="008D236B" w:rsidRPr="006D2BD0" w:rsidRDefault="008D236B" w:rsidP="00B002D8">
      <w:pPr>
        <w:pStyle w:val="Caption"/>
        <w:jc w:val="center"/>
        <w:rPr>
          <w:rFonts w:ascii="Courier New" w:hAnsi="Courier New" w:cs="Courier New"/>
          <w:sz w:val="21"/>
          <w:szCs w:val="21"/>
        </w:rPr>
      </w:pPr>
      <w:bookmarkStart w:id="19" w:name="_Ref161098891"/>
      <w:r>
        <w:t xml:space="preserve">Table </w:t>
      </w:r>
      <w:r>
        <w:fldChar w:fldCharType="begin"/>
      </w:r>
      <w:r>
        <w:instrText xml:space="preserve"> SEQ Table \* ARABIC </w:instrText>
      </w:r>
      <w:r>
        <w:fldChar w:fldCharType="separate"/>
      </w:r>
      <w:r w:rsidR="00943191">
        <w:rPr>
          <w:noProof/>
        </w:rPr>
        <w:t>8</w:t>
      </w:r>
      <w:r>
        <w:fldChar w:fldCharType="end"/>
      </w:r>
      <w:bookmarkEnd w:id="19"/>
      <w:r>
        <w:rPr>
          <w:noProof/>
        </w:rPr>
        <w:t xml:space="preserve"> Placebo difference-in-difference</w:t>
      </w:r>
    </w:p>
    <w:p w14:paraId="1DE20447" w14:textId="1A5764A4" w:rsidR="008D236B" w:rsidRDefault="00B002D8" w:rsidP="00640DD5">
      <w:pPr>
        <w:jc w:val="center"/>
      </w:pPr>
      <w:r>
        <w:t>[Table 8 about here]</w:t>
      </w:r>
    </w:p>
    <w:p w14:paraId="50CBABCA" w14:textId="4EE302F1" w:rsidR="00B002D8" w:rsidRDefault="00B002D8" w:rsidP="004B2BEF"/>
    <w:p w14:paraId="40466E11" w14:textId="610068B4" w:rsidR="002853F0" w:rsidRDefault="002853F0" w:rsidP="00AB12F9">
      <w:pPr>
        <w:pStyle w:val="Heading2"/>
      </w:pPr>
      <w:r>
        <w:t>Liquidity</w:t>
      </w:r>
    </w:p>
    <w:p w14:paraId="1AEA17CD" w14:textId="70E0707B" w:rsidR="003B16CA" w:rsidRDefault="004B2BEF" w:rsidP="00031822">
      <w:r>
        <w:t xml:space="preserve">Table 9 shows the results </w:t>
      </w:r>
      <w:r w:rsidR="003B16CA">
        <w:t>of difference-in-difference regression for the liquidity metric (bid-ask spread as a percentage of mid-price). Note that since the period of study is short (ten trading days before and ten trading after the clearing mandate implementation), and since liquidity is a “market wide”, rather than an individual contract-based measure, the opportunity to control for other variables that impact liquidity is limited. If a longer period were being studied, other variables that impact liquidity</w:t>
      </w:r>
      <w:r w:rsidR="001F696E">
        <w:t>,</w:t>
      </w:r>
      <w:r w:rsidR="003B16CA">
        <w:t xml:space="preserve"> such as monetary policy and credit availability could be added as controls. However, these variables do not change significantly during the short period studied.</w:t>
      </w:r>
    </w:p>
    <w:p w14:paraId="7390CEB8" w14:textId="62049A5E" w:rsidR="002853F0" w:rsidRDefault="003B16CA" w:rsidP="00031822">
      <w:r>
        <w:t xml:space="preserve">The clearing mandate does not impact the liquidity </w:t>
      </w:r>
      <w:r w:rsidR="001F696E">
        <w:t xml:space="preserve">as measured by bid-ask spreads. As noted in the </w:t>
      </w:r>
      <w:r w:rsidR="001319F2">
        <w:t>theory section, we should expect reductions in counterparty risk of interest rate swaps to cause a narrowing of the bid-ask spread (the spread is charged by dealers to offset their expected losses from holding inventory). However, the spread is also driven by supply and demand conditions in the market. As explored in the pricing section, a reduction in riskiness of IRS increases their demand. If the swaps market is monopolistic (that is, new swaps dealers face barriers to entry), then incumbent dealers can choose not to lower their bid-ask spreads and pocket the additional profits from the high demand.</w:t>
      </w:r>
    </w:p>
    <w:p w14:paraId="7F78FE30" w14:textId="1BDED5DB" w:rsidR="002853F0" w:rsidRDefault="002853F0" w:rsidP="00AB12F9">
      <w:pPr>
        <w:pStyle w:val="Heading2"/>
      </w:pPr>
      <w:r>
        <w:t>Price Volatility</w:t>
      </w:r>
    </w:p>
    <w:p w14:paraId="0F321A6C" w14:textId="6A8031CC" w:rsidR="002853F0" w:rsidRPr="002853F0" w:rsidRDefault="001319F2" w:rsidP="00031822">
      <w:r>
        <w:t xml:space="preserve">Table 10 shows the results of </w:t>
      </w:r>
      <w:r w:rsidR="00ED10A4">
        <w:t>the price volatility difference-in-difference regression. Price volatility (as measured by realized volatility) is not affected by the clearing mandate. During “normal” trading periods, prices appear to follow a random walk, which makes it difficult to analyze the impact of the clearing mandate on volatility. Only during periods of market stress would we expect the volatility measure to behave differently in cleared vs. uncleared markets. However, since periods of market stress are unique events, this does not lend itself to difference-</w:t>
      </w:r>
      <w:r w:rsidR="00ED10A4">
        <w:lastRenderedPageBreak/>
        <w:t xml:space="preserve">in-difference type analysis. As an alternative, I perform an “event study” type analysis, looking at the volatility in USD and CAD denominated contracts </w:t>
      </w:r>
      <w:r w:rsidR="00892B9D">
        <w:t>around the time of the (second) “Grexit” vote. Caution should be exercised when interpreting these results, as the “control group” (CAD contracts) have different exposure to the Greek economy than the “treatment” group. Nonetheless, we observe that the USD contracts had much lower price volatility during this period compared to CAD contracts.</w:t>
      </w:r>
    </w:p>
    <w:p w14:paraId="46EB96B1" w14:textId="14F41234" w:rsidR="00A96B98" w:rsidRDefault="00A96B98" w:rsidP="009C0453">
      <w:pPr>
        <w:pStyle w:val="Heading1"/>
        <w:numPr>
          <w:ilvl w:val="0"/>
          <w:numId w:val="33"/>
        </w:numPr>
      </w:pPr>
      <w:bookmarkStart w:id="20" w:name="_Ref157719507"/>
      <w:r>
        <w:t>Conclusion</w:t>
      </w:r>
      <w:bookmarkEnd w:id="20"/>
    </w:p>
    <w:p w14:paraId="04B82C4A" w14:textId="3D7E79AC" w:rsidR="00AE2A76" w:rsidRDefault="00AE2A76" w:rsidP="00AE2A76">
      <w:r>
        <w:t>Conclusion goes here</w:t>
      </w:r>
    </w:p>
    <w:p w14:paraId="2F054196" w14:textId="77777777" w:rsidR="00B9115F" w:rsidRDefault="00B9115F" w:rsidP="00AE2A76"/>
    <w:p w14:paraId="013C1347" w14:textId="78BC429D" w:rsidR="00B9115F" w:rsidRDefault="00B9115F">
      <w:pPr>
        <w:spacing w:line="240" w:lineRule="auto"/>
        <w:ind w:firstLine="0"/>
        <w:jc w:val="left"/>
      </w:pPr>
      <w:r>
        <w:br w:type="page"/>
      </w:r>
    </w:p>
    <w:p w14:paraId="17259E34" w14:textId="77777777" w:rsidR="00CA0708" w:rsidRPr="00CA0708" w:rsidRDefault="00B9115F" w:rsidP="00CA0708">
      <w:pPr>
        <w:pStyle w:val="Bibliography"/>
      </w:pPr>
      <w:r>
        <w:lastRenderedPageBreak/>
        <w:fldChar w:fldCharType="begin"/>
      </w:r>
      <w:r w:rsidR="00D41525">
        <w:instrText xml:space="preserve"> ADDIN ZOTERO_BIBL {"uncited":[],"omitted":[],"custom":[]} CSL_BIBLIOGRAPHY </w:instrText>
      </w:r>
      <w:r>
        <w:fldChar w:fldCharType="separate"/>
      </w:r>
      <w:r w:rsidR="00CA0708" w:rsidRPr="00CA0708">
        <w:t xml:space="preserve">Allen, Franklin, and Douglas Gale. 2000. “Financial Contagion.” </w:t>
      </w:r>
      <w:r w:rsidR="00CA0708" w:rsidRPr="00CA0708">
        <w:rPr>
          <w:i/>
          <w:iCs/>
        </w:rPr>
        <w:t>Journal of Political Economy</w:t>
      </w:r>
      <w:r w:rsidR="00CA0708" w:rsidRPr="00CA0708">
        <w:t xml:space="preserve"> 108 (1): 1–33. https://doi.org/10.1086/262109.</w:t>
      </w:r>
    </w:p>
    <w:p w14:paraId="1932FF32" w14:textId="77777777" w:rsidR="00CA0708" w:rsidRPr="00CA0708" w:rsidRDefault="00CA0708" w:rsidP="00CA0708">
      <w:pPr>
        <w:pStyle w:val="Bibliography"/>
      </w:pPr>
      <w:r w:rsidRPr="00CA0708">
        <w:t>Allen, Franklin, and Douglas M. Gale. 2007. “An Introduction to Financial Crises.” SSRN Scholarly Paper. Rochester, NY. https://doi.org/10.2139/ssrn.1008311.</w:t>
      </w:r>
    </w:p>
    <w:p w14:paraId="5474CD85" w14:textId="77777777" w:rsidR="00CA0708" w:rsidRPr="00CA0708" w:rsidRDefault="00CA0708" w:rsidP="00CA0708">
      <w:pPr>
        <w:pStyle w:val="Bibliography"/>
      </w:pPr>
      <w:r w:rsidRPr="00CA0708">
        <w:t xml:space="preserve">Azad, A. S. M. Sohel, Victor Fang, and Chi-Hsiou Hung. 2012. “Linking the Interest Rate Swap Markets to the Macroeconomic Risk: The UK and Us Evidence.” </w:t>
      </w:r>
      <w:r w:rsidRPr="00CA0708">
        <w:rPr>
          <w:i/>
          <w:iCs/>
        </w:rPr>
        <w:t>International Review of Financial Analysis</w:t>
      </w:r>
      <w:r w:rsidRPr="00CA0708">
        <w:t xml:space="preserve"> 22 (April):38–47. https://doi.org/10.1016/j.irfa.2012.03.001.</w:t>
      </w:r>
    </w:p>
    <w:p w14:paraId="1FFD558A" w14:textId="77777777" w:rsidR="00CA0708" w:rsidRPr="00CA0708" w:rsidRDefault="00CA0708" w:rsidP="00CA0708">
      <w:pPr>
        <w:pStyle w:val="Bibliography"/>
      </w:pPr>
      <w:r w:rsidRPr="00CA0708">
        <w:t xml:space="preserve">Bebchuk, Lucian A., and Itay Goldstein. 2011. “Self-Fulfilling Credit Market Freezes.” </w:t>
      </w:r>
      <w:r w:rsidRPr="00CA0708">
        <w:rPr>
          <w:i/>
          <w:iCs/>
        </w:rPr>
        <w:t>The Review of Financial Studies</w:t>
      </w:r>
      <w:r w:rsidRPr="00CA0708">
        <w:t xml:space="preserve"> 24 (11): 3519–55. https://doi.org/10.1093/rfs/hhr086.</w:t>
      </w:r>
    </w:p>
    <w:p w14:paraId="54C74A07" w14:textId="77777777" w:rsidR="00CA0708" w:rsidRPr="00CA0708" w:rsidRDefault="00CA0708" w:rsidP="00CA0708">
      <w:pPr>
        <w:pStyle w:val="Bibliography"/>
      </w:pPr>
      <w:r w:rsidRPr="00CA0708">
        <w:t>Benos, Evangelos, Wenqian Huang, Albert J. Menkveld, and Michalis Vasios. 2019. “The Cost of Clearing Fragmentation.” SSRN Scholarly Paper ID 3502465. Rochester, NY: Social Science Research Network. https://papers.ssrn.com/abstract=3502465.</w:t>
      </w:r>
    </w:p>
    <w:p w14:paraId="7C6FBF89" w14:textId="77777777" w:rsidR="00CA0708" w:rsidRPr="00CA0708" w:rsidRDefault="00CA0708" w:rsidP="00CA0708">
      <w:pPr>
        <w:pStyle w:val="Bibliography"/>
      </w:pPr>
      <w:r w:rsidRPr="00CA0708">
        <w:t xml:space="preserve">Benos, Evangelos, Richard Payne, and Michalis Vasios. 2020. “Centralized Trading, Transparency, and Interest Rate Swap Market Liquidity: Evidence from the Implementation of the Dodd–Frank Act.” </w:t>
      </w:r>
      <w:r w:rsidRPr="00CA0708">
        <w:rPr>
          <w:i/>
          <w:iCs/>
        </w:rPr>
        <w:t>Journal of Financial and Quantitative Analysis</w:t>
      </w:r>
      <w:r w:rsidRPr="00CA0708">
        <w:t xml:space="preserve"> 55 (1): 159–92. https://doi.org/10.1017/S0022109018001527.</w:t>
      </w:r>
    </w:p>
    <w:p w14:paraId="6613F888" w14:textId="77777777" w:rsidR="00CA0708" w:rsidRPr="00CA0708" w:rsidRDefault="00CA0708" w:rsidP="00CA0708">
      <w:pPr>
        <w:pStyle w:val="Bibliography"/>
      </w:pPr>
      <w:r w:rsidRPr="00CA0708">
        <w:t xml:space="preserve">Bernstein, Asaf, Eric Hughson, and Marc Weidenmier. 2019. “Counterparty Risk and the Establishment of the New York Stock Exchange Clearinghouse.” </w:t>
      </w:r>
      <w:r w:rsidRPr="00CA0708">
        <w:rPr>
          <w:i/>
          <w:iCs/>
        </w:rPr>
        <w:t>Journal of Political Economy</w:t>
      </w:r>
      <w:r w:rsidRPr="00CA0708">
        <w:t xml:space="preserve"> 127 (2): 689–729. https://doi.org/10.1086/701033.</w:t>
      </w:r>
    </w:p>
    <w:p w14:paraId="27326CB9" w14:textId="77777777" w:rsidR="00CA0708" w:rsidRPr="00CA0708" w:rsidRDefault="00CA0708" w:rsidP="00CA0708">
      <w:pPr>
        <w:pStyle w:val="Bibliography"/>
      </w:pPr>
      <w:r w:rsidRPr="00CA0708">
        <w:t xml:space="preserve">Biais, Bruno. 1993. “Price Formation and Equilibrium Liquidity in Fragmented and Centralized Markets.” </w:t>
      </w:r>
      <w:r w:rsidRPr="00CA0708">
        <w:rPr>
          <w:i/>
          <w:iCs/>
        </w:rPr>
        <w:t>The Journal of Finance</w:t>
      </w:r>
      <w:r w:rsidRPr="00CA0708">
        <w:t xml:space="preserve"> 48 (1): 157–85. https://doi.org/10.1111/j.1540-6261.1993.tb04705.x.</w:t>
      </w:r>
    </w:p>
    <w:p w14:paraId="5481BD96" w14:textId="77777777" w:rsidR="00CA0708" w:rsidRPr="00CA0708" w:rsidRDefault="00CA0708" w:rsidP="00CA0708">
      <w:pPr>
        <w:pStyle w:val="Bibliography"/>
      </w:pPr>
      <w:r w:rsidRPr="00CA0708">
        <w:t xml:space="preserve">Bicksler, James, and Andrew H. Chen. 1986. “An Economic Analysis of Interest Rate Swaps.” </w:t>
      </w:r>
      <w:r w:rsidRPr="00CA0708">
        <w:rPr>
          <w:i/>
          <w:iCs/>
        </w:rPr>
        <w:t>The Journal of Finance</w:t>
      </w:r>
      <w:r w:rsidRPr="00CA0708">
        <w:t xml:space="preserve"> 41 (3): 645–55. https://doi.org/10.2307/2328495.</w:t>
      </w:r>
    </w:p>
    <w:p w14:paraId="10530F2B" w14:textId="77777777" w:rsidR="00CA0708" w:rsidRPr="00CA0708" w:rsidRDefault="00CA0708" w:rsidP="00CA0708">
      <w:pPr>
        <w:pStyle w:val="Bibliography"/>
      </w:pPr>
      <w:r w:rsidRPr="00CA0708">
        <w:t>Bolandnazar, Mohammadreza. 2020. “The Market Structure of Dealer-to-Client Interest Rate Swaps.” SSRN Scholarly Paper 3752367. Rochester, NY: Social Science Research Network. https://doi.org/10.2139/ssrn.3752367.</w:t>
      </w:r>
    </w:p>
    <w:p w14:paraId="5D7998C5" w14:textId="77777777" w:rsidR="00CA0708" w:rsidRPr="00CA0708" w:rsidRDefault="00CA0708" w:rsidP="00CA0708">
      <w:pPr>
        <w:pStyle w:val="Bibliography"/>
      </w:pPr>
      <w:r w:rsidRPr="00CA0708">
        <w:t>Boudiaf, Ismael Alexander, Immo Frieden, and Martin Scheicher. 2024. “The Market Liquidity of Interest Rate Swaps.” SSRN Scholarly Paper. Rochester, NY. https://doi.org/10.2139/ssrn.4745740.</w:t>
      </w:r>
    </w:p>
    <w:p w14:paraId="1CE6A798" w14:textId="77777777" w:rsidR="00CA0708" w:rsidRPr="00CA0708" w:rsidRDefault="00CA0708" w:rsidP="00CA0708">
      <w:pPr>
        <w:pStyle w:val="Bibliography"/>
      </w:pPr>
      <w:r w:rsidRPr="00CA0708">
        <w:t xml:space="preserve">Brunnermeier, Markus K. 2009. “Deciphering the Liquidity and Credit Crunch 2007-2008.” </w:t>
      </w:r>
      <w:r w:rsidRPr="00CA0708">
        <w:rPr>
          <w:i/>
          <w:iCs/>
        </w:rPr>
        <w:t>Journal of Economic Perspectives</w:t>
      </w:r>
      <w:r w:rsidRPr="00CA0708">
        <w:t xml:space="preserve"> 23 (1): 77–100. https://doi.org/10.1257/jep.23.1.77.</w:t>
      </w:r>
    </w:p>
    <w:p w14:paraId="57B82685" w14:textId="77777777" w:rsidR="00CA0708" w:rsidRPr="00CA0708" w:rsidRDefault="00CA0708" w:rsidP="00CA0708">
      <w:pPr>
        <w:pStyle w:val="Bibliography"/>
      </w:pPr>
      <w:r w:rsidRPr="00CA0708">
        <w:t xml:space="preserve">Capponi, Agostino, and Martin Larsson. 2015. “Price Contagion through Balance Sheet Linkages.” </w:t>
      </w:r>
      <w:r w:rsidRPr="00CA0708">
        <w:rPr>
          <w:i/>
          <w:iCs/>
        </w:rPr>
        <w:t>The Review of Asset Pricing Studies</w:t>
      </w:r>
      <w:r w:rsidRPr="00CA0708">
        <w:t xml:space="preserve"> 5 (2): 227–53. https://doi.org/10.1093/rapstu/rav006.</w:t>
      </w:r>
    </w:p>
    <w:p w14:paraId="4EAA8DEA" w14:textId="77777777" w:rsidR="00CA0708" w:rsidRPr="00CA0708" w:rsidRDefault="00CA0708" w:rsidP="00CA0708">
      <w:pPr>
        <w:pStyle w:val="Bibliography"/>
      </w:pPr>
      <w:r w:rsidRPr="00CA0708">
        <w:t xml:space="preserve">Cifuentes, Rodrigo, Gianluigi Ferrucci, and Hyun Song Shin. 2005. “Liquidity Risk and Contagion.” </w:t>
      </w:r>
      <w:r w:rsidRPr="00CA0708">
        <w:rPr>
          <w:i/>
          <w:iCs/>
        </w:rPr>
        <w:t>Journal of the European Economic Association</w:t>
      </w:r>
      <w:r w:rsidRPr="00CA0708">
        <w:t xml:space="preserve"> 3 (2–3): 556–66. https://doi.org/10.1162/jeea.2005.3.2-3.556.</w:t>
      </w:r>
    </w:p>
    <w:p w14:paraId="00131C6F" w14:textId="77777777" w:rsidR="00CA0708" w:rsidRPr="00CA0708" w:rsidRDefault="00CA0708" w:rsidP="00CA0708">
      <w:pPr>
        <w:pStyle w:val="Bibliography"/>
      </w:pPr>
      <w:r w:rsidRPr="00CA0708">
        <w:t xml:space="preserve">Diamond, Douglas W., and Philip H. Dybvig. 1983. “Bank Runs, Deposit Insurance, and Liquidity.” </w:t>
      </w:r>
      <w:r w:rsidRPr="00CA0708">
        <w:rPr>
          <w:i/>
          <w:iCs/>
        </w:rPr>
        <w:t>Journal of Political Economy</w:t>
      </w:r>
      <w:r w:rsidRPr="00CA0708">
        <w:t xml:space="preserve"> 91 (3): 401–19. https://doi.org/10.1086/261155.</w:t>
      </w:r>
    </w:p>
    <w:p w14:paraId="78367A4E" w14:textId="77777777" w:rsidR="00CA0708" w:rsidRPr="00CA0708" w:rsidRDefault="00CA0708" w:rsidP="00CA0708">
      <w:pPr>
        <w:pStyle w:val="Bibliography"/>
      </w:pPr>
      <w:r w:rsidRPr="00CA0708">
        <w:t xml:space="preserve">Diamond, Douglas W., and Raghuram G. Rajan. 2011. “Fear of Fire Sales, Illiquidity Seeking, and Credit Freezes *.” </w:t>
      </w:r>
      <w:r w:rsidRPr="00CA0708">
        <w:rPr>
          <w:i/>
          <w:iCs/>
        </w:rPr>
        <w:t>The Quarterly Journal of Economics</w:t>
      </w:r>
      <w:r w:rsidRPr="00CA0708">
        <w:t xml:space="preserve"> 126 (2): 557–91. https://doi.org/10.1093/qje/qjr012.</w:t>
      </w:r>
    </w:p>
    <w:p w14:paraId="5CFEF414" w14:textId="77777777" w:rsidR="00CA0708" w:rsidRPr="00CA0708" w:rsidRDefault="00CA0708" w:rsidP="00CA0708">
      <w:pPr>
        <w:pStyle w:val="Bibliography"/>
      </w:pPr>
      <w:r w:rsidRPr="00CA0708">
        <w:t xml:space="preserve">Duffie, Darrell, and Haoxiang Zhu. 2011. “Does a Central Clearing Counterparty Reduce Counterparty Risk?” </w:t>
      </w:r>
      <w:r w:rsidRPr="00CA0708">
        <w:rPr>
          <w:i/>
          <w:iCs/>
        </w:rPr>
        <w:t>Review of Asset Pricing Studies</w:t>
      </w:r>
      <w:r w:rsidRPr="00CA0708">
        <w:t xml:space="preserve"> 1 (1): 74–95.</w:t>
      </w:r>
    </w:p>
    <w:p w14:paraId="3BE68067" w14:textId="77777777" w:rsidR="00CA0708" w:rsidRPr="00CA0708" w:rsidRDefault="00CA0708" w:rsidP="00CA0708">
      <w:pPr>
        <w:pStyle w:val="Bibliography"/>
      </w:pPr>
      <w:r w:rsidRPr="00CA0708">
        <w:lastRenderedPageBreak/>
        <w:t xml:space="preserve">Gai, Prasanna, and Sujit Kapadia. 2010. “Contagion in Financial Networks.” </w:t>
      </w:r>
      <w:r w:rsidRPr="00CA0708">
        <w:rPr>
          <w:i/>
          <w:iCs/>
        </w:rPr>
        <w:t>Proceedings of the Royal Society A: Mathematical, Physical and Engineering Sciences</w:t>
      </w:r>
      <w:r w:rsidRPr="00CA0708">
        <w:t xml:space="preserve"> 466 (2120): 2401–23. https://doi.org/10.1098/rspa.2009.0410.</w:t>
      </w:r>
    </w:p>
    <w:p w14:paraId="14D8C0CB" w14:textId="77777777" w:rsidR="00CA0708" w:rsidRPr="00CA0708" w:rsidRDefault="00CA0708" w:rsidP="00CA0708">
      <w:pPr>
        <w:pStyle w:val="Bibliography"/>
      </w:pPr>
      <w:r w:rsidRPr="00CA0708">
        <w:t xml:space="preserve">Greenwood, Robin, Augustin Landier, and David Thesmar. 2015. “Vulnerable Banks.” </w:t>
      </w:r>
      <w:r w:rsidRPr="00CA0708">
        <w:rPr>
          <w:i/>
          <w:iCs/>
        </w:rPr>
        <w:t>Journal of Financial Economics</w:t>
      </w:r>
      <w:r w:rsidRPr="00CA0708">
        <w:t xml:space="preserve"> 115 (3): 471–85. https://doi.org/10.1016/j.jfineco.2014.11.006.</w:t>
      </w:r>
    </w:p>
    <w:p w14:paraId="5A68E943" w14:textId="77777777" w:rsidR="00CA0708" w:rsidRPr="00CA0708" w:rsidRDefault="00CA0708" w:rsidP="00CA0708">
      <w:pPr>
        <w:pStyle w:val="Bibliography"/>
      </w:pPr>
      <w:r w:rsidRPr="00CA0708">
        <w:t xml:space="preserve">Jackson, Matthew O., and Agathe Pernoud. 2021. “Systemic Risk in Financial Networks: A Survey.” </w:t>
      </w:r>
      <w:r w:rsidRPr="00CA0708">
        <w:rPr>
          <w:i/>
          <w:iCs/>
        </w:rPr>
        <w:t>Annual Review of Economics</w:t>
      </w:r>
      <w:r w:rsidRPr="00CA0708">
        <w:t xml:space="preserve"> 13 (1): 171–202. https://doi.org/10.1146/annurev-economics-083120-111540.</w:t>
      </w:r>
    </w:p>
    <w:p w14:paraId="05C98E0E" w14:textId="77777777" w:rsidR="00CA0708" w:rsidRPr="00CA0708" w:rsidRDefault="00CA0708" w:rsidP="00CA0708">
      <w:pPr>
        <w:pStyle w:val="Bibliography"/>
      </w:pPr>
      <w:r w:rsidRPr="00CA0708">
        <w:t xml:space="preserve">Kiyotaki, Nobuhiro, and John Moore. 1997. “Credit Cycles.” </w:t>
      </w:r>
      <w:r w:rsidRPr="00CA0708">
        <w:rPr>
          <w:i/>
          <w:iCs/>
        </w:rPr>
        <w:t>Journal of Political Economy</w:t>
      </w:r>
      <w:r w:rsidRPr="00CA0708">
        <w:t xml:space="preserve"> 105 (2): 211–48. https://doi.org/10.1086/262072.</w:t>
      </w:r>
    </w:p>
    <w:p w14:paraId="205B52FB" w14:textId="77777777" w:rsidR="00CA0708" w:rsidRPr="00CA0708" w:rsidRDefault="00CA0708" w:rsidP="00CA0708">
      <w:pPr>
        <w:pStyle w:val="Bibliography"/>
      </w:pPr>
      <w:r w:rsidRPr="00CA0708">
        <w:t>Kleist, Karsten von, and C. Mallo. 2011. “OTC Derivatives Market Activity in the Second Half of 2010.” Bank of International Settlements. https://www.bis.org/publ/otc_hy1105.pdf.</w:t>
      </w:r>
    </w:p>
    <w:p w14:paraId="6A8B1AE2" w14:textId="77777777" w:rsidR="00CA0708" w:rsidRPr="00CA0708" w:rsidRDefault="00CA0708" w:rsidP="00CA0708">
      <w:pPr>
        <w:pStyle w:val="Bibliography"/>
      </w:pPr>
      <w:r w:rsidRPr="00CA0708">
        <w:t xml:space="preserve">Liu, Jun, Francis A. Longstaff, and Ravit E. Mandell. 2006. “The Market Price of Risk in Interest Rate Swaps: The Roles of Default and Liquidity Risks.” </w:t>
      </w:r>
      <w:r w:rsidRPr="00CA0708">
        <w:rPr>
          <w:i/>
          <w:iCs/>
        </w:rPr>
        <w:t>The Journal of Business</w:t>
      </w:r>
      <w:r w:rsidRPr="00CA0708">
        <w:t xml:space="preserve"> 79 (5): 2337–59. https://doi.org/10.1086/505237.</w:t>
      </w:r>
    </w:p>
    <w:p w14:paraId="759336AD" w14:textId="77777777" w:rsidR="00CA0708" w:rsidRPr="00CA0708" w:rsidRDefault="00CA0708" w:rsidP="00CA0708">
      <w:pPr>
        <w:pStyle w:val="Bibliography"/>
      </w:pPr>
      <w:r w:rsidRPr="00CA0708">
        <w:t xml:space="preserve">Loon, Yee Cheng, and Zhaodong Ken Zhong. 2014. “The Impact of Central Clearing on Counterparty Risk, Liquidity, and Trading: Evidence from the Credit Default Swap Market.” </w:t>
      </w:r>
      <w:r w:rsidRPr="00CA0708">
        <w:rPr>
          <w:i/>
          <w:iCs/>
        </w:rPr>
        <w:t>Journal of Financial Economics</w:t>
      </w:r>
      <w:r w:rsidRPr="00CA0708">
        <w:t xml:space="preserve"> 112 (1): 91–115. https://doi.org/10.1016/j.jfineco.2013.12.001.</w:t>
      </w:r>
    </w:p>
    <w:p w14:paraId="2BA57E3D" w14:textId="77777777" w:rsidR="00CA0708" w:rsidRPr="00CA0708" w:rsidRDefault="00CA0708" w:rsidP="00CA0708">
      <w:pPr>
        <w:pStyle w:val="Bibliography"/>
      </w:pPr>
      <w:r w:rsidRPr="00CA0708">
        <w:t xml:space="preserve">McPartland, John W. 2009. “Clearing and Settlement of Exchange Traded Derivatives.” </w:t>
      </w:r>
      <w:r w:rsidRPr="00CA0708">
        <w:rPr>
          <w:i/>
          <w:iCs/>
        </w:rPr>
        <w:t>Chicago Fed Letter</w:t>
      </w:r>
      <w:r w:rsidRPr="00CA0708">
        <w:t xml:space="preserve"> 267 (2). https://fraser.stlouisfed.org/files/docs/historical/frbchi/policydiscussion/frbchi_policy_2009-02.pdf.</w:t>
      </w:r>
    </w:p>
    <w:p w14:paraId="06E8B983" w14:textId="77777777" w:rsidR="00CA0708" w:rsidRPr="00CA0708" w:rsidRDefault="00CA0708" w:rsidP="00CA0708">
      <w:pPr>
        <w:pStyle w:val="Bibliography"/>
      </w:pPr>
      <w:r w:rsidRPr="00CA0708">
        <w:t xml:space="preserve">Minton, Bernadette A. 1997. “An Empirical Examination of Basic Valuation Models for Plain Vanilla U.S. Interest Rate Swaps.” </w:t>
      </w:r>
      <w:r w:rsidRPr="00CA0708">
        <w:rPr>
          <w:i/>
          <w:iCs/>
        </w:rPr>
        <w:t>Journal of Financial Economics</w:t>
      </w:r>
      <w:r w:rsidRPr="00CA0708">
        <w:t xml:space="preserve"> 44 (2): 251–77. https://doi.org/10.1016/S0304-405X(97)00005-6.</w:t>
      </w:r>
    </w:p>
    <w:p w14:paraId="292197C7" w14:textId="77777777" w:rsidR="00CA0708" w:rsidRPr="00CA0708" w:rsidRDefault="00CA0708" w:rsidP="00CA0708">
      <w:pPr>
        <w:pStyle w:val="Bibliography"/>
      </w:pPr>
      <w:r w:rsidRPr="00CA0708">
        <w:t>Pirrong, Craig. 2011. “The Economics of Central Clearing: Theory and Practice.”</w:t>
      </w:r>
    </w:p>
    <w:p w14:paraId="08C8882F" w14:textId="77777777" w:rsidR="00CA0708" w:rsidRPr="00CA0708" w:rsidRDefault="00CA0708" w:rsidP="00CA0708">
      <w:pPr>
        <w:pStyle w:val="Bibliography"/>
      </w:pPr>
      <w:r w:rsidRPr="00CA0708">
        <w:t xml:space="preserve">Rochet, Jean-Charles, and Jean Tirole. 1996. “Interbank Lending and Systemic Risk.” </w:t>
      </w:r>
      <w:r w:rsidRPr="00CA0708">
        <w:rPr>
          <w:i/>
          <w:iCs/>
        </w:rPr>
        <w:t>Journal of Money, Credit and Banking</w:t>
      </w:r>
      <w:r w:rsidRPr="00CA0708">
        <w:t xml:space="preserve"> 28 (4): 733–62. https://doi.org/10.2307/2077918.</w:t>
      </w:r>
    </w:p>
    <w:p w14:paraId="101D3337" w14:textId="77777777" w:rsidR="00CA0708" w:rsidRPr="00CA0708" w:rsidRDefault="00CA0708" w:rsidP="00CA0708">
      <w:pPr>
        <w:pStyle w:val="Bibliography"/>
      </w:pPr>
      <w:r w:rsidRPr="00CA0708">
        <w:t xml:space="preserve">Roll, Richard. 1984. “A Simple Implicit Measure of the Effective Bid-Ask Spread in an Efficient Market.” </w:t>
      </w:r>
      <w:r w:rsidRPr="00CA0708">
        <w:rPr>
          <w:i/>
          <w:iCs/>
        </w:rPr>
        <w:t>The Journal of Finance</w:t>
      </w:r>
      <w:r w:rsidRPr="00CA0708">
        <w:t xml:space="preserve"> 39 (4): 1127–39. https://doi.org/10.1111/j.1540-6261.1984.tb03897.x.</w:t>
      </w:r>
    </w:p>
    <w:p w14:paraId="4B428B0A" w14:textId="77777777" w:rsidR="00CA0708" w:rsidRPr="00CA0708" w:rsidRDefault="00CA0708" w:rsidP="00CA0708">
      <w:pPr>
        <w:pStyle w:val="Bibliography"/>
      </w:pPr>
      <w:r w:rsidRPr="00CA0708">
        <w:t>Skarr, Doug, and Kristin Szakaly-Moore. 2007. “Understanding Interest Rate Swap Math &amp; Pricing.” California Debt and Investment Advisory Commission. https://www.treasurer.ca.gov/cdiac/publications/math.pdf.</w:t>
      </w:r>
    </w:p>
    <w:p w14:paraId="52DCD21A" w14:textId="77777777" w:rsidR="00CA0708" w:rsidRPr="00CA0708" w:rsidRDefault="00CA0708" w:rsidP="00CA0708">
      <w:pPr>
        <w:pStyle w:val="Bibliography"/>
      </w:pPr>
      <w:r w:rsidRPr="00CA0708">
        <w:t xml:space="preserve">Smith, Clifford W., Charles W. Smithson, and Lee Macdonald Wakeman. 1988. “The Market for Interest Rate Swaps.” </w:t>
      </w:r>
      <w:r w:rsidRPr="00CA0708">
        <w:rPr>
          <w:i/>
          <w:iCs/>
        </w:rPr>
        <w:t>Financial Management</w:t>
      </w:r>
      <w:r w:rsidRPr="00CA0708">
        <w:t xml:space="preserve"> 17 (4): 34–44. https://doi.org/10.2307/3665765.</w:t>
      </w:r>
    </w:p>
    <w:p w14:paraId="7C75169E" w14:textId="77777777" w:rsidR="00CA0708" w:rsidRPr="00CA0708" w:rsidRDefault="00CA0708" w:rsidP="00CA0708">
      <w:pPr>
        <w:pStyle w:val="Bibliography"/>
      </w:pPr>
      <w:r w:rsidRPr="00CA0708">
        <w:t xml:space="preserve">Sun, Tong-sheng, Suresh Sundaresan, and Ching Wang. 1993. “Interest Rate Swaps: An Empirical Investigation.” </w:t>
      </w:r>
      <w:r w:rsidRPr="00CA0708">
        <w:rPr>
          <w:i/>
          <w:iCs/>
        </w:rPr>
        <w:t>Journal of Financial Economics</w:t>
      </w:r>
      <w:r w:rsidRPr="00CA0708">
        <w:t xml:space="preserve"> 34 (1): 77–99. https://doi.org/10.1016/0304-405X(93)90041-9.</w:t>
      </w:r>
    </w:p>
    <w:p w14:paraId="6954673C" w14:textId="383FAEEF" w:rsidR="00B9115F" w:rsidRPr="00AE2A76" w:rsidRDefault="00B9115F" w:rsidP="00AE2A76">
      <w:r>
        <w:fldChar w:fldCharType="end"/>
      </w:r>
    </w:p>
    <w:sectPr w:rsidR="00B9115F" w:rsidRPr="00AE2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55CDD" w14:textId="77777777" w:rsidR="0069531C" w:rsidRDefault="0069531C" w:rsidP="00633D5C">
      <w:r>
        <w:separator/>
      </w:r>
    </w:p>
  </w:endnote>
  <w:endnote w:type="continuationSeparator" w:id="0">
    <w:p w14:paraId="5F7E75F3" w14:textId="77777777" w:rsidR="0069531C" w:rsidRDefault="0069531C" w:rsidP="00633D5C">
      <w:r>
        <w:continuationSeparator/>
      </w:r>
    </w:p>
  </w:endnote>
  <w:endnote w:type="continuationNotice" w:id="1">
    <w:p w14:paraId="72A4E8EC" w14:textId="77777777" w:rsidR="0069531C" w:rsidRDefault="006953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354E3" w14:textId="77777777" w:rsidR="0069531C" w:rsidRDefault="0069531C" w:rsidP="00633D5C">
      <w:r>
        <w:separator/>
      </w:r>
    </w:p>
  </w:footnote>
  <w:footnote w:type="continuationSeparator" w:id="0">
    <w:p w14:paraId="5658772A" w14:textId="77777777" w:rsidR="0069531C" w:rsidRDefault="0069531C" w:rsidP="00633D5C">
      <w:r>
        <w:continuationSeparator/>
      </w:r>
    </w:p>
  </w:footnote>
  <w:footnote w:type="continuationNotice" w:id="1">
    <w:p w14:paraId="2FF84C8B" w14:textId="77777777" w:rsidR="0069531C" w:rsidRDefault="0069531C"/>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 w:id="3">
    <w:p w14:paraId="43EBE5EA" w14:textId="00625F7E" w:rsidR="00CA0708" w:rsidRDefault="00CA0708" w:rsidP="00CA0708">
      <w:pPr>
        <w:pStyle w:val="FootnoteText"/>
      </w:pPr>
      <w:r>
        <w:rPr>
          <w:rStyle w:val="FootnoteReference"/>
        </w:rPr>
        <w:footnoteRef/>
      </w:r>
      <w:r>
        <w:t xml:space="preserve"> The </w:t>
      </w:r>
      <w:r w:rsidR="00B40742">
        <w:t xml:space="preserve">clearing </w:t>
      </w:r>
      <w:r>
        <w:t xml:space="preserve">counterparty is usually a dealer who is a clearing member at the CCP. “A clearing member is usually a trade intermediary that can deal directly with the CCP. Trade intermediaries that are not clearing members must clear their trades through a trade intermediary that is a clearing member” </w:t>
      </w:r>
      <w:r>
        <w:fldChar w:fldCharType="begin"/>
      </w:r>
      <w:r>
        <w:instrText xml:space="preserve"> ADDIN ZOTERO_ITEM CSL_CITATION {"citationID":"Zpd9MOX1","properties":{"formattedCitation":"(McPartland 2009)","plainCitation":"(McPartland 2009)","noteIndex":2},"citationItems":[{"id":932,"uris":["http://zotero.org/users/1226582/items/UKYMTLBF"],"itemData":{"id":932,"type":"article-journal","container-title":"Chicago Fed Letter","issue":"2","note":"publisher: Federal Reserve Bank of Chicago","source":"Google Scholar","title":"Clearing and settlement of exchange traded derivatives","URL":"https://fraser.stlouisfed.org/files/docs/historical/frbchi/policydiscussion/frbchi_policy_2009-02.pdf","volume":"267","author":[{"family":"McPartland","given":"John W."}],"accessed":{"date-parts":[["2024",5,23]]},"issued":{"date-parts":[["2009"]]}}}],"schema":"https://github.com/citation-style-language/schema/raw/master/csl-citation.json"} </w:instrText>
      </w:r>
      <w:r>
        <w:fldChar w:fldCharType="separate"/>
      </w:r>
      <w:r>
        <w:rPr>
          <w:noProof/>
        </w:rPr>
        <w:t>(McPartland 2009)</w:t>
      </w:r>
      <w:r>
        <w:fldChar w:fldCharType="end"/>
      </w:r>
      <w:r>
        <w:t>. Trade intermediaries that are clearing members will collect collateral from their non-clearing member clients and pass it on to the CCP.</w:t>
      </w:r>
    </w:p>
  </w:footnote>
  <w:footnote w:id="4">
    <w:p w14:paraId="2E914C86" w14:textId="7CA1010D" w:rsidR="00DB3BA3" w:rsidRDefault="00DB3BA3">
      <w:pPr>
        <w:pStyle w:val="FootnoteText"/>
      </w:pPr>
      <w:r>
        <w:rPr>
          <w:rStyle w:val="FootnoteReference"/>
        </w:rPr>
        <w:footnoteRef/>
      </w:r>
      <w:r>
        <w:t xml:space="preserve"> I exclude discussion regarding the data availability of US-dollar denominated contracts. In general, there are enough contracts traded for each trading day and contract specification that a realized volatility measure can be calculated for each. The availability of data for the US market is not a limiting factor in my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12529"/>
    <w:rsid w:val="00016AE6"/>
    <w:rsid w:val="000212F8"/>
    <w:rsid w:val="00022852"/>
    <w:rsid w:val="00025AA4"/>
    <w:rsid w:val="00031822"/>
    <w:rsid w:val="00033177"/>
    <w:rsid w:val="00034DC8"/>
    <w:rsid w:val="00035E4A"/>
    <w:rsid w:val="00042905"/>
    <w:rsid w:val="0004387C"/>
    <w:rsid w:val="00044125"/>
    <w:rsid w:val="00046423"/>
    <w:rsid w:val="000510E8"/>
    <w:rsid w:val="00053C4A"/>
    <w:rsid w:val="00057A12"/>
    <w:rsid w:val="000614F4"/>
    <w:rsid w:val="00061729"/>
    <w:rsid w:val="00065EFF"/>
    <w:rsid w:val="0006794D"/>
    <w:rsid w:val="000712B2"/>
    <w:rsid w:val="000761CF"/>
    <w:rsid w:val="00077366"/>
    <w:rsid w:val="00077879"/>
    <w:rsid w:val="0008027D"/>
    <w:rsid w:val="0008096F"/>
    <w:rsid w:val="000816B7"/>
    <w:rsid w:val="000939CA"/>
    <w:rsid w:val="00096D58"/>
    <w:rsid w:val="0009785E"/>
    <w:rsid w:val="000A41CF"/>
    <w:rsid w:val="000A5607"/>
    <w:rsid w:val="000A677E"/>
    <w:rsid w:val="000A7150"/>
    <w:rsid w:val="000A7FDC"/>
    <w:rsid w:val="000B5142"/>
    <w:rsid w:val="000B7B5D"/>
    <w:rsid w:val="000C07B7"/>
    <w:rsid w:val="000C5086"/>
    <w:rsid w:val="000C584E"/>
    <w:rsid w:val="000C76FB"/>
    <w:rsid w:val="000D2256"/>
    <w:rsid w:val="000D4B1B"/>
    <w:rsid w:val="000D7CEC"/>
    <w:rsid w:val="000E2133"/>
    <w:rsid w:val="000E6933"/>
    <w:rsid w:val="000F0F21"/>
    <w:rsid w:val="000F28B2"/>
    <w:rsid w:val="000F3327"/>
    <w:rsid w:val="000F476F"/>
    <w:rsid w:val="0010299E"/>
    <w:rsid w:val="001124E1"/>
    <w:rsid w:val="0011666A"/>
    <w:rsid w:val="001234EE"/>
    <w:rsid w:val="00124826"/>
    <w:rsid w:val="0012752B"/>
    <w:rsid w:val="001317B0"/>
    <w:rsid w:val="001319F2"/>
    <w:rsid w:val="00131FCD"/>
    <w:rsid w:val="00143C59"/>
    <w:rsid w:val="0014676D"/>
    <w:rsid w:val="00147694"/>
    <w:rsid w:val="00155FCB"/>
    <w:rsid w:val="00161437"/>
    <w:rsid w:val="0016169B"/>
    <w:rsid w:val="00164132"/>
    <w:rsid w:val="001655FC"/>
    <w:rsid w:val="00166D41"/>
    <w:rsid w:val="00170083"/>
    <w:rsid w:val="00180890"/>
    <w:rsid w:val="00184052"/>
    <w:rsid w:val="00191190"/>
    <w:rsid w:val="00191C9A"/>
    <w:rsid w:val="00194EB9"/>
    <w:rsid w:val="001A25AE"/>
    <w:rsid w:val="001A6EFA"/>
    <w:rsid w:val="001A7F55"/>
    <w:rsid w:val="001B775F"/>
    <w:rsid w:val="001C1D1C"/>
    <w:rsid w:val="001C24F9"/>
    <w:rsid w:val="001C74A9"/>
    <w:rsid w:val="001D3062"/>
    <w:rsid w:val="001D57E1"/>
    <w:rsid w:val="001F4D2E"/>
    <w:rsid w:val="001F696E"/>
    <w:rsid w:val="001F7299"/>
    <w:rsid w:val="002009FF"/>
    <w:rsid w:val="00200D6D"/>
    <w:rsid w:val="00200E6F"/>
    <w:rsid w:val="002112FE"/>
    <w:rsid w:val="002172B6"/>
    <w:rsid w:val="002202C1"/>
    <w:rsid w:val="00220BDA"/>
    <w:rsid w:val="00220F82"/>
    <w:rsid w:val="00232831"/>
    <w:rsid w:val="00233C90"/>
    <w:rsid w:val="002343F4"/>
    <w:rsid w:val="00234D83"/>
    <w:rsid w:val="00243E6E"/>
    <w:rsid w:val="00246F90"/>
    <w:rsid w:val="0025043C"/>
    <w:rsid w:val="002570E4"/>
    <w:rsid w:val="00265F4A"/>
    <w:rsid w:val="002718B1"/>
    <w:rsid w:val="0027378C"/>
    <w:rsid w:val="00275B46"/>
    <w:rsid w:val="0028086E"/>
    <w:rsid w:val="00284488"/>
    <w:rsid w:val="002853F0"/>
    <w:rsid w:val="00286D2E"/>
    <w:rsid w:val="00286E2A"/>
    <w:rsid w:val="00290667"/>
    <w:rsid w:val="00290E18"/>
    <w:rsid w:val="00293578"/>
    <w:rsid w:val="002938B2"/>
    <w:rsid w:val="002A688F"/>
    <w:rsid w:val="002B03E9"/>
    <w:rsid w:val="002B63F1"/>
    <w:rsid w:val="002C58F6"/>
    <w:rsid w:val="002C726E"/>
    <w:rsid w:val="002D09A5"/>
    <w:rsid w:val="002D4411"/>
    <w:rsid w:val="002D4CD7"/>
    <w:rsid w:val="002E0CE1"/>
    <w:rsid w:val="002E6207"/>
    <w:rsid w:val="002E6266"/>
    <w:rsid w:val="002F3376"/>
    <w:rsid w:val="002F4ED0"/>
    <w:rsid w:val="002F6C5B"/>
    <w:rsid w:val="00301A1C"/>
    <w:rsid w:val="00305FCA"/>
    <w:rsid w:val="0031486E"/>
    <w:rsid w:val="00320206"/>
    <w:rsid w:val="0032163A"/>
    <w:rsid w:val="003314C1"/>
    <w:rsid w:val="00336313"/>
    <w:rsid w:val="0033757F"/>
    <w:rsid w:val="00340196"/>
    <w:rsid w:val="0034098A"/>
    <w:rsid w:val="003439E1"/>
    <w:rsid w:val="00343A08"/>
    <w:rsid w:val="00345031"/>
    <w:rsid w:val="003520EC"/>
    <w:rsid w:val="003564C5"/>
    <w:rsid w:val="00357E12"/>
    <w:rsid w:val="00362ED7"/>
    <w:rsid w:val="00366CA0"/>
    <w:rsid w:val="0037689C"/>
    <w:rsid w:val="003778E9"/>
    <w:rsid w:val="00377D40"/>
    <w:rsid w:val="00380D21"/>
    <w:rsid w:val="00381A4D"/>
    <w:rsid w:val="0038485E"/>
    <w:rsid w:val="00387B98"/>
    <w:rsid w:val="0039332A"/>
    <w:rsid w:val="003936A2"/>
    <w:rsid w:val="0039392E"/>
    <w:rsid w:val="0039580A"/>
    <w:rsid w:val="003A69DC"/>
    <w:rsid w:val="003B1077"/>
    <w:rsid w:val="003B16CA"/>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27A98"/>
    <w:rsid w:val="00430C3C"/>
    <w:rsid w:val="00434FFE"/>
    <w:rsid w:val="00435055"/>
    <w:rsid w:val="00435E0C"/>
    <w:rsid w:val="00440DF6"/>
    <w:rsid w:val="00440E83"/>
    <w:rsid w:val="00441C17"/>
    <w:rsid w:val="004446BE"/>
    <w:rsid w:val="00445059"/>
    <w:rsid w:val="00446E24"/>
    <w:rsid w:val="0044741C"/>
    <w:rsid w:val="00451E7F"/>
    <w:rsid w:val="004521B3"/>
    <w:rsid w:val="00455D2C"/>
    <w:rsid w:val="00455F39"/>
    <w:rsid w:val="004567C0"/>
    <w:rsid w:val="00456AFB"/>
    <w:rsid w:val="0047037D"/>
    <w:rsid w:val="00470CAE"/>
    <w:rsid w:val="00470F75"/>
    <w:rsid w:val="00475EE6"/>
    <w:rsid w:val="00476D32"/>
    <w:rsid w:val="004776E9"/>
    <w:rsid w:val="00482903"/>
    <w:rsid w:val="00487EF1"/>
    <w:rsid w:val="00492449"/>
    <w:rsid w:val="00492712"/>
    <w:rsid w:val="004A2BFC"/>
    <w:rsid w:val="004B2BEF"/>
    <w:rsid w:val="004B3291"/>
    <w:rsid w:val="004C093C"/>
    <w:rsid w:val="004C1AD0"/>
    <w:rsid w:val="004D2D2D"/>
    <w:rsid w:val="004D458D"/>
    <w:rsid w:val="004D5907"/>
    <w:rsid w:val="004D6ECB"/>
    <w:rsid w:val="004E5AEE"/>
    <w:rsid w:val="004F0BE2"/>
    <w:rsid w:val="004F43A3"/>
    <w:rsid w:val="00502B0A"/>
    <w:rsid w:val="00506DDF"/>
    <w:rsid w:val="00525BB3"/>
    <w:rsid w:val="0053175A"/>
    <w:rsid w:val="00531890"/>
    <w:rsid w:val="005356E2"/>
    <w:rsid w:val="005364E5"/>
    <w:rsid w:val="00537BC1"/>
    <w:rsid w:val="00540C73"/>
    <w:rsid w:val="00540DEF"/>
    <w:rsid w:val="00544B00"/>
    <w:rsid w:val="00550DA4"/>
    <w:rsid w:val="00551244"/>
    <w:rsid w:val="00552C5E"/>
    <w:rsid w:val="005534B7"/>
    <w:rsid w:val="0056306A"/>
    <w:rsid w:val="005651C7"/>
    <w:rsid w:val="00566732"/>
    <w:rsid w:val="00571695"/>
    <w:rsid w:val="005744E9"/>
    <w:rsid w:val="00575523"/>
    <w:rsid w:val="00577089"/>
    <w:rsid w:val="0057724B"/>
    <w:rsid w:val="005812DC"/>
    <w:rsid w:val="00581A36"/>
    <w:rsid w:val="00586A9D"/>
    <w:rsid w:val="00593184"/>
    <w:rsid w:val="00594130"/>
    <w:rsid w:val="005A0C96"/>
    <w:rsid w:val="005A5A35"/>
    <w:rsid w:val="005A6ADC"/>
    <w:rsid w:val="005A7D26"/>
    <w:rsid w:val="005A7F47"/>
    <w:rsid w:val="005B1FFE"/>
    <w:rsid w:val="005B2B99"/>
    <w:rsid w:val="005B3289"/>
    <w:rsid w:val="005B5046"/>
    <w:rsid w:val="005C11C0"/>
    <w:rsid w:val="005D0AA8"/>
    <w:rsid w:val="005D43C4"/>
    <w:rsid w:val="005E0C46"/>
    <w:rsid w:val="005F14CA"/>
    <w:rsid w:val="005F327C"/>
    <w:rsid w:val="005F6B4A"/>
    <w:rsid w:val="005F746F"/>
    <w:rsid w:val="0060706F"/>
    <w:rsid w:val="00607456"/>
    <w:rsid w:val="00611EB7"/>
    <w:rsid w:val="00622956"/>
    <w:rsid w:val="00625ECF"/>
    <w:rsid w:val="00627579"/>
    <w:rsid w:val="00633D5C"/>
    <w:rsid w:val="0063560A"/>
    <w:rsid w:val="0063608A"/>
    <w:rsid w:val="00640DD5"/>
    <w:rsid w:val="00644114"/>
    <w:rsid w:val="006450BA"/>
    <w:rsid w:val="00655B55"/>
    <w:rsid w:val="00664E0B"/>
    <w:rsid w:val="00671C67"/>
    <w:rsid w:val="006722D1"/>
    <w:rsid w:val="006738CB"/>
    <w:rsid w:val="00674BB7"/>
    <w:rsid w:val="006875A1"/>
    <w:rsid w:val="006922D3"/>
    <w:rsid w:val="0069531C"/>
    <w:rsid w:val="0069541B"/>
    <w:rsid w:val="006A2C0D"/>
    <w:rsid w:val="006A345A"/>
    <w:rsid w:val="006A6918"/>
    <w:rsid w:val="006B3C2F"/>
    <w:rsid w:val="006B6124"/>
    <w:rsid w:val="006C0D52"/>
    <w:rsid w:val="006C1963"/>
    <w:rsid w:val="006C36D2"/>
    <w:rsid w:val="006C395A"/>
    <w:rsid w:val="006C5B6D"/>
    <w:rsid w:val="006D47F1"/>
    <w:rsid w:val="006E06F9"/>
    <w:rsid w:val="006E44BE"/>
    <w:rsid w:val="006F1F0C"/>
    <w:rsid w:val="00700348"/>
    <w:rsid w:val="00700AF9"/>
    <w:rsid w:val="0070689F"/>
    <w:rsid w:val="00715923"/>
    <w:rsid w:val="0072700E"/>
    <w:rsid w:val="007303A6"/>
    <w:rsid w:val="00733F0D"/>
    <w:rsid w:val="00747315"/>
    <w:rsid w:val="007475B0"/>
    <w:rsid w:val="0075318B"/>
    <w:rsid w:val="0075597E"/>
    <w:rsid w:val="00755BED"/>
    <w:rsid w:val="0076305C"/>
    <w:rsid w:val="00766098"/>
    <w:rsid w:val="007721E7"/>
    <w:rsid w:val="00781C1A"/>
    <w:rsid w:val="00781E75"/>
    <w:rsid w:val="00782C1A"/>
    <w:rsid w:val="007A0DBE"/>
    <w:rsid w:val="007A4E27"/>
    <w:rsid w:val="007B2C40"/>
    <w:rsid w:val="007B359F"/>
    <w:rsid w:val="007C0619"/>
    <w:rsid w:val="007C099B"/>
    <w:rsid w:val="007C0BF5"/>
    <w:rsid w:val="007D359F"/>
    <w:rsid w:val="007E0CF8"/>
    <w:rsid w:val="007E1203"/>
    <w:rsid w:val="007E2F87"/>
    <w:rsid w:val="007E3CB7"/>
    <w:rsid w:val="007E6044"/>
    <w:rsid w:val="007E64B2"/>
    <w:rsid w:val="007E6980"/>
    <w:rsid w:val="007F2238"/>
    <w:rsid w:val="007F6DDE"/>
    <w:rsid w:val="00802DBB"/>
    <w:rsid w:val="00804046"/>
    <w:rsid w:val="008057C4"/>
    <w:rsid w:val="00810636"/>
    <w:rsid w:val="008138CB"/>
    <w:rsid w:val="00817C94"/>
    <w:rsid w:val="00820E82"/>
    <w:rsid w:val="00821AC5"/>
    <w:rsid w:val="0082521E"/>
    <w:rsid w:val="00826DDA"/>
    <w:rsid w:val="00827924"/>
    <w:rsid w:val="008335A2"/>
    <w:rsid w:val="00834DE5"/>
    <w:rsid w:val="00836236"/>
    <w:rsid w:val="00841768"/>
    <w:rsid w:val="00847A0D"/>
    <w:rsid w:val="0085075E"/>
    <w:rsid w:val="0086025D"/>
    <w:rsid w:val="008640B2"/>
    <w:rsid w:val="0086454B"/>
    <w:rsid w:val="00864A3C"/>
    <w:rsid w:val="008652DB"/>
    <w:rsid w:val="0086750E"/>
    <w:rsid w:val="00870739"/>
    <w:rsid w:val="00876F18"/>
    <w:rsid w:val="00877DDF"/>
    <w:rsid w:val="00882716"/>
    <w:rsid w:val="00883714"/>
    <w:rsid w:val="0088504F"/>
    <w:rsid w:val="0089167A"/>
    <w:rsid w:val="00892B9D"/>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3043"/>
    <w:rsid w:val="008E38DA"/>
    <w:rsid w:val="008E6500"/>
    <w:rsid w:val="008F2992"/>
    <w:rsid w:val="008F79E0"/>
    <w:rsid w:val="008F7BF3"/>
    <w:rsid w:val="009022B9"/>
    <w:rsid w:val="00905428"/>
    <w:rsid w:val="00914E91"/>
    <w:rsid w:val="009150D9"/>
    <w:rsid w:val="0092248B"/>
    <w:rsid w:val="00924BA1"/>
    <w:rsid w:val="00935B7D"/>
    <w:rsid w:val="00935E65"/>
    <w:rsid w:val="00936FB0"/>
    <w:rsid w:val="009373A0"/>
    <w:rsid w:val="00941B60"/>
    <w:rsid w:val="00943191"/>
    <w:rsid w:val="0095406B"/>
    <w:rsid w:val="009561B4"/>
    <w:rsid w:val="00956D41"/>
    <w:rsid w:val="00962018"/>
    <w:rsid w:val="00965D68"/>
    <w:rsid w:val="00973581"/>
    <w:rsid w:val="00974463"/>
    <w:rsid w:val="00981DE6"/>
    <w:rsid w:val="00981EFF"/>
    <w:rsid w:val="00991610"/>
    <w:rsid w:val="009956C6"/>
    <w:rsid w:val="009A69FA"/>
    <w:rsid w:val="009A7D6A"/>
    <w:rsid w:val="009B1EFD"/>
    <w:rsid w:val="009B3B11"/>
    <w:rsid w:val="009C0453"/>
    <w:rsid w:val="009C1462"/>
    <w:rsid w:val="009C4761"/>
    <w:rsid w:val="009C4BAC"/>
    <w:rsid w:val="009C7A56"/>
    <w:rsid w:val="009F06E5"/>
    <w:rsid w:val="009F1DA7"/>
    <w:rsid w:val="009F7AFA"/>
    <w:rsid w:val="009F7D7F"/>
    <w:rsid w:val="00A000EF"/>
    <w:rsid w:val="00A03CBF"/>
    <w:rsid w:val="00A04EBB"/>
    <w:rsid w:val="00A05111"/>
    <w:rsid w:val="00A219EC"/>
    <w:rsid w:val="00A21F7B"/>
    <w:rsid w:val="00A271B6"/>
    <w:rsid w:val="00A355B6"/>
    <w:rsid w:val="00A41FF7"/>
    <w:rsid w:val="00A4495A"/>
    <w:rsid w:val="00A52DB0"/>
    <w:rsid w:val="00A53B21"/>
    <w:rsid w:val="00A626E0"/>
    <w:rsid w:val="00A6337A"/>
    <w:rsid w:val="00A64960"/>
    <w:rsid w:val="00A66524"/>
    <w:rsid w:val="00A669F6"/>
    <w:rsid w:val="00A73855"/>
    <w:rsid w:val="00A74B49"/>
    <w:rsid w:val="00A81AE5"/>
    <w:rsid w:val="00A8236C"/>
    <w:rsid w:val="00A8682C"/>
    <w:rsid w:val="00A930AB"/>
    <w:rsid w:val="00A96B98"/>
    <w:rsid w:val="00AA193A"/>
    <w:rsid w:val="00AA1B8E"/>
    <w:rsid w:val="00AA454A"/>
    <w:rsid w:val="00AA4B78"/>
    <w:rsid w:val="00AA5AFB"/>
    <w:rsid w:val="00AA717C"/>
    <w:rsid w:val="00AB12F9"/>
    <w:rsid w:val="00AB346F"/>
    <w:rsid w:val="00AB38FA"/>
    <w:rsid w:val="00AB5DFD"/>
    <w:rsid w:val="00AB7061"/>
    <w:rsid w:val="00AC06CC"/>
    <w:rsid w:val="00AD3117"/>
    <w:rsid w:val="00AE15AA"/>
    <w:rsid w:val="00AE2A76"/>
    <w:rsid w:val="00AE5664"/>
    <w:rsid w:val="00AE5AFF"/>
    <w:rsid w:val="00AE6CBB"/>
    <w:rsid w:val="00AF1FA3"/>
    <w:rsid w:val="00AF63FA"/>
    <w:rsid w:val="00AF65E9"/>
    <w:rsid w:val="00B002D8"/>
    <w:rsid w:val="00B0289A"/>
    <w:rsid w:val="00B056F6"/>
    <w:rsid w:val="00B1262B"/>
    <w:rsid w:val="00B13BAB"/>
    <w:rsid w:val="00B15828"/>
    <w:rsid w:val="00B30913"/>
    <w:rsid w:val="00B3359E"/>
    <w:rsid w:val="00B36827"/>
    <w:rsid w:val="00B40742"/>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5B75"/>
    <w:rsid w:val="00BD12A4"/>
    <w:rsid w:val="00BD52BB"/>
    <w:rsid w:val="00BD55D3"/>
    <w:rsid w:val="00BE1A00"/>
    <w:rsid w:val="00BE4D80"/>
    <w:rsid w:val="00BF22F0"/>
    <w:rsid w:val="00BF5982"/>
    <w:rsid w:val="00BF6365"/>
    <w:rsid w:val="00BF72AE"/>
    <w:rsid w:val="00C06844"/>
    <w:rsid w:val="00C106ED"/>
    <w:rsid w:val="00C142C4"/>
    <w:rsid w:val="00C14F6A"/>
    <w:rsid w:val="00C16C25"/>
    <w:rsid w:val="00C20541"/>
    <w:rsid w:val="00C223E8"/>
    <w:rsid w:val="00C2255E"/>
    <w:rsid w:val="00C2300D"/>
    <w:rsid w:val="00C26FE9"/>
    <w:rsid w:val="00C31BC3"/>
    <w:rsid w:val="00C3286E"/>
    <w:rsid w:val="00C32ED2"/>
    <w:rsid w:val="00C363CC"/>
    <w:rsid w:val="00C36726"/>
    <w:rsid w:val="00C45CCE"/>
    <w:rsid w:val="00C519BF"/>
    <w:rsid w:val="00C527DB"/>
    <w:rsid w:val="00C538FA"/>
    <w:rsid w:val="00C53957"/>
    <w:rsid w:val="00C54B5B"/>
    <w:rsid w:val="00C57E03"/>
    <w:rsid w:val="00C61057"/>
    <w:rsid w:val="00C63998"/>
    <w:rsid w:val="00C63A02"/>
    <w:rsid w:val="00C64F72"/>
    <w:rsid w:val="00C651D2"/>
    <w:rsid w:val="00C66CC2"/>
    <w:rsid w:val="00C74168"/>
    <w:rsid w:val="00C758C6"/>
    <w:rsid w:val="00C87249"/>
    <w:rsid w:val="00C90716"/>
    <w:rsid w:val="00C94F24"/>
    <w:rsid w:val="00CA0708"/>
    <w:rsid w:val="00CA40C2"/>
    <w:rsid w:val="00CB029B"/>
    <w:rsid w:val="00CB305A"/>
    <w:rsid w:val="00CB32C9"/>
    <w:rsid w:val="00CB5D71"/>
    <w:rsid w:val="00CC1AF2"/>
    <w:rsid w:val="00CC29A8"/>
    <w:rsid w:val="00CC31E9"/>
    <w:rsid w:val="00CC4005"/>
    <w:rsid w:val="00CC46F2"/>
    <w:rsid w:val="00CC69F0"/>
    <w:rsid w:val="00CD17A1"/>
    <w:rsid w:val="00CD1B3E"/>
    <w:rsid w:val="00CD4470"/>
    <w:rsid w:val="00CD5006"/>
    <w:rsid w:val="00CE10FD"/>
    <w:rsid w:val="00CE3FDE"/>
    <w:rsid w:val="00CF1F18"/>
    <w:rsid w:val="00D024F1"/>
    <w:rsid w:val="00D14F43"/>
    <w:rsid w:val="00D200EE"/>
    <w:rsid w:val="00D23019"/>
    <w:rsid w:val="00D3226C"/>
    <w:rsid w:val="00D34404"/>
    <w:rsid w:val="00D41237"/>
    <w:rsid w:val="00D41525"/>
    <w:rsid w:val="00D4375C"/>
    <w:rsid w:val="00D459AC"/>
    <w:rsid w:val="00D5154E"/>
    <w:rsid w:val="00D52B48"/>
    <w:rsid w:val="00D643C8"/>
    <w:rsid w:val="00D645CF"/>
    <w:rsid w:val="00D8044D"/>
    <w:rsid w:val="00D91068"/>
    <w:rsid w:val="00D9234D"/>
    <w:rsid w:val="00DA4FC3"/>
    <w:rsid w:val="00DB01F2"/>
    <w:rsid w:val="00DB3BA3"/>
    <w:rsid w:val="00DB74D5"/>
    <w:rsid w:val="00DC2E73"/>
    <w:rsid w:val="00DC42EB"/>
    <w:rsid w:val="00DC7AD2"/>
    <w:rsid w:val="00DE43A2"/>
    <w:rsid w:val="00DE61E9"/>
    <w:rsid w:val="00DE6F94"/>
    <w:rsid w:val="00DE705F"/>
    <w:rsid w:val="00DF2CFF"/>
    <w:rsid w:val="00DF452F"/>
    <w:rsid w:val="00DF4848"/>
    <w:rsid w:val="00DF6C13"/>
    <w:rsid w:val="00DF7A69"/>
    <w:rsid w:val="00E02555"/>
    <w:rsid w:val="00E051B0"/>
    <w:rsid w:val="00E06975"/>
    <w:rsid w:val="00E106E8"/>
    <w:rsid w:val="00E139B4"/>
    <w:rsid w:val="00E214A1"/>
    <w:rsid w:val="00E31AF6"/>
    <w:rsid w:val="00E402EC"/>
    <w:rsid w:val="00E41AF8"/>
    <w:rsid w:val="00E460D7"/>
    <w:rsid w:val="00E52B02"/>
    <w:rsid w:val="00E5597A"/>
    <w:rsid w:val="00E56F5E"/>
    <w:rsid w:val="00E639B5"/>
    <w:rsid w:val="00E6619F"/>
    <w:rsid w:val="00E66D23"/>
    <w:rsid w:val="00E670C0"/>
    <w:rsid w:val="00E70534"/>
    <w:rsid w:val="00E7111E"/>
    <w:rsid w:val="00E819EF"/>
    <w:rsid w:val="00E84521"/>
    <w:rsid w:val="00E8476A"/>
    <w:rsid w:val="00E95A6F"/>
    <w:rsid w:val="00EA0CB2"/>
    <w:rsid w:val="00EA1749"/>
    <w:rsid w:val="00EB004A"/>
    <w:rsid w:val="00EB1407"/>
    <w:rsid w:val="00EB53A2"/>
    <w:rsid w:val="00EB5A7B"/>
    <w:rsid w:val="00EB7DDA"/>
    <w:rsid w:val="00EC01D7"/>
    <w:rsid w:val="00EC3464"/>
    <w:rsid w:val="00EC5C21"/>
    <w:rsid w:val="00EC78C0"/>
    <w:rsid w:val="00ED10A4"/>
    <w:rsid w:val="00ED4D27"/>
    <w:rsid w:val="00EF140B"/>
    <w:rsid w:val="00EF2D93"/>
    <w:rsid w:val="00EF6757"/>
    <w:rsid w:val="00EF7BA6"/>
    <w:rsid w:val="00F025F8"/>
    <w:rsid w:val="00F040B1"/>
    <w:rsid w:val="00F05299"/>
    <w:rsid w:val="00F108BE"/>
    <w:rsid w:val="00F15E32"/>
    <w:rsid w:val="00F165F2"/>
    <w:rsid w:val="00F249AA"/>
    <w:rsid w:val="00F27E22"/>
    <w:rsid w:val="00F31111"/>
    <w:rsid w:val="00F458EF"/>
    <w:rsid w:val="00F558CC"/>
    <w:rsid w:val="00F57F30"/>
    <w:rsid w:val="00F6394F"/>
    <w:rsid w:val="00F71C54"/>
    <w:rsid w:val="00F872C2"/>
    <w:rsid w:val="00F90CC7"/>
    <w:rsid w:val="00FA0435"/>
    <w:rsid w:val="00FA753D"/>
    <w:rsid w:val="00FB01B7"/>
    <w:rsid w:val="00FB04CE"/>
    <w:rsid w:val="00FC644E"/>
    <w:rsid w:val="00FD368E"/>
    <w:rsid w:val="00FD4074"/>
    <w:rsid w:val="00FD62E9"/>
    <w:rsid w:val="00FD79B0"/>
    <w:rsid w:val="00FE7E8B"/>
    <w:rsid w:val="00FF05D9"/>
    <w:rsid w:val="00FF16CD"/>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BC3"/>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C31BC3"/>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C31BC3"/>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C31BC3"/>
    <w:pPr>
      <w:spacing w:before="260"/>
      <w:ind w:firstLine="0"/>
      <w:outlineLvl w:val="2"/>
    </w:pPr>
    <w:rPr>
      <w:rFonts w:eastAsia="Times New Roman"/>
      <w:bCs/>
    </w:rPr>
  </w:style>
  <w:style w:type="paragraph" w:styleId="Heading4">
    <w:name w:val="heading 4"/>
    <w:basedOn w:val="Normal"/>
    <w:next w:val="Normal"/>
    <w:link w:val="Heading4Char"/>
    <w:qFormat/>
    <w:rsid w:val="00C31BC3"/>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99"/>
    <w:semiHidden/>
    <w:rsid w:val="00C31B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C31BC3"/>
  </w:style>
  <w:style w:type="character" w:customStyle="1" w:styleId="Heading2Char">
    <w:name w:val="Heading 2 Char"/>
    <w:basedOn w:val="DefaultParagraphFont"/>
    <w:link w:val="Heading2"/>
    <w:rsid w:val="00C31BC3"/>
    <w:rPr>
      <w:rFonts w:ascii="Times New Roman" w:eastAsia="Times New Roman" w:hAnsi="Times New Roman"/>
      <w:bCs/>
      <w:i/>
      <w:color w:val="000000"/>
      <w:sz w:val="24"/>
      <w:szCs w:val="26"/>
      <w:lang w:bidi="ar-SA"/>
    </w:rPr>
  </w:style>
  <w:style w:type="paragraph" w:styleId="Title">
    <w:name w:val="Title"/>
    <w:next w:val="Author"/>
    <w:link w:val="TitleChar"/>
    <w:qFormat/>
    <w:rsid w:val="00C31BC3"/>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C31BC3"/>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C31BC3"/>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C31BC3"/>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C31BC3"/>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C31BC3"/>
    <w:pPr>
      <w:spacing w:line="180" w:lineRule="atLeast"/>
    </w:pPr>
    <w:rPr>
      <w:sz w:val="16"/>
    </w:rPr>
  </w:style>
  <w:style w:type="character" w:customStyle="1" w:styleId="FootnoteTextChar">
    <w:name w:val="Footnote Text Char"/>
    <w:basedOn w:val="DefaultParagraphFont"/>
    <w:link w:val="FootnoteText"/>
    <w:semiHidden/>
    <w:rsid w:val="00C31BC3"/>
    <w:rPr>
      <w:rFonts w:ascii="Times New Roman" w:eastAsia="Calisto MT" w:hAnsi="Times New Roman"/>
      <w:sz w:val="16"/>
      <w:szCs w:val="24"/>
      <w:lang w:bidi="ar-SA"/>
    </w:rPr>
  </w:style>
  <w:style w:type="character" w:styleId="FootnoteReference">
    <w:name w:val="footnote reference"/>
    <w:basedOn w:val="DefaultParagraphFont"/>
    <w:semiHidden/>
    <w:rsid w:val="00C31BC3"/>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C31BC3"/>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C31BC3"/>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C31BC3"/>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C31BC3"/>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C31BC3"/>
    <w:pPr>
      <w:ind w:firstLine="0"/>
    </w:pPr>
  </w:style>
  <w:style w:type="paragraph" w:customStyle="1" w:styleId="Contact">
    <w:name w:val="Contact"/>
    <w:next w:val="Normal"/>
    <w:rsid w:val="00C31BC3"/>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C31BC3"/>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C31BC3"/>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C31BC3"/>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C31BC3"/>
    <w:pPr>
      <w:spacing w:after="120"/>
      <w:ind w:left="720" w:right="720" w:firstLine="0"/>
      <w:jc w:val="right"/>
    </w:pPr>
  </w:style>
  <w:style w:type="paragraph" w:customStyle="1" w:styleId="FigureTitle">
    <w:name w:val="Figure Title"/>
    <w:next w:val="Normal"/>
    <w:rsid w:val="00C31BC3"/>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C31BC3"/>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C31BC3"/>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C31BC3"/>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C31BC3"/>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C31BC3"/>
    <w:pPr>
      <w:numPr>
        <w:numId w:val="27"/>
      </w:numPr>
      <w:contextualSpacing/>
    </w:pPr>
  </w:style>
  <w:style w:type="paragraph" w:styleId="ListNumber">
    <w:name w:val="List Number"/>
    <w:basedOn w:val="Normal"/>
    <w:next w:val="Normal"/>
    <w:rsid w:val="00C31BC3"/>
    <w:pPr>
      <w:numPr>
        <w:numId w:val="28"/>
      </w:numPr>
      <w:tabs>
        <w:tab w:val="clear" w:pos="1195"/>
      </w:tabs>
      <w:spacing w:after="260"/>
      <w:ind w:left="1555" w:hanging="720"/>
    </w:pPr>
  </w:style>
  <w:style w:type="paragraph" w:customStyle="1" w:styleId="FigurePlaceholder">
    <w:name w:val="Figure Placeholder"/>
    <w:basedOn w:val="Normal"/>
    <w:next w:val="Normal"/>
    <w:qFormat/>
    <w:rsid w:val="00C31BC3"/>
    <w:pPr>
      <w:spacing w:before="260" w:after="260"/>
      <w:jc w:val="center"/>
    </w:pPr>
  </w:style>
  <w:style w:type="character" w:customStyle="1" w:styleId="TableFootLetter">
    <w:name w:val="Table FootLetter"/>
    <w:basedOn w:val="DefaultParagraphFont"/>
    <w:rsid w:val="00C31BC3"/>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C31BC3"/>
  </w:style>
  <w:style w:type="paragraph" w:customStyle="1" w:styleId="TablePlaceholder">
    <w:name w:val="Table Placeholder"/>
    <w:basedOn w:val="FigurePlaceholder"/>
    <w:next w:val="NoParagraphStyle"/>
    <w:qFormat/>
    <w:rsid w:val="00C31BC3"/>
  </w:style>
  <w:style w:type="paragraph" w:styleId="DocumentMap">
    <w:name w:val="Document Map"/>
    <w:basedOn w:val="Normal"/>
    <w:link w:val="DocumentMapChar"/>
    <w:uiPriority w:val="99"/>
    <w:semiHidden/>
    <w:rsid w:val="00C31BC3"/>
    <w:rPr>
      <w:rFonts w:ascii="Lucida Grande" w:hAnsi="Lucida Grande"/>
    </w:rPr>
  </w:style>
  <w:style w:type="character" w:customStyle="1" w:styleId="DocumentMapChar">
    <w:name w:val="Document Map Char"/>
    <w:basedOn w:val="DefaultParagraphFont"/>
    <w:link w:val="DocumentMap"/>
    <w:uiPriority w:val="99"/>
    <w:semiHidden/>
    <w:rsid w:val="00C31BC3"/>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C31BC3"/>
    <w:rPr>
      <w:sz w:val="18"/>
      <w:szCs w:val="18"/>
    </w:rPr>
  </w:style>
  <w:style w:type="paragraph" w:styleId="CommentText">
    <w:name w:val="annotation text"/>
    <w:basedOn w:val="Normal"/>
    <w:link w:val="CommentTextChar"/>
    <w:uiPriority w:val="99"/>
    <w:semiHidden/>
    <w:rsid w:val="00C31BC3"/>
  </w:style>
  <w:style w:type="character" w:customStyle="1" w:styleId="CommentTextChar">
    <w:name w:val="Comment Text Char"/>
    <w:basedOn w:val="DefaultParagraphFont"/>
    <w:link w:val="CommentText"/>
    <w:uiPriority w:val="99"/>
    <w:semiHidden/>
    <w:rsid w:val="00C31BC3"/>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C31BC3"/>
    <w:rPr>
      <w:b/>
      <w:bCs/>
      <w:sz w:val="20"/>
      <w:szCs w:val="20"/>
    </w:rPr>
  </w:style>
  <w:style w:type="character" w:customStyle="1" w:styleId="CommentSubjectChar">
    <w:name w:val="Comment Subject Char"/>
    <w:basedOn w:val="CommentTextChar"/>
    <w:link w:val="CommentSubject"/>
    <w:uiPriority w:val="99"/>
    <w:semiHidden/>
    <w:rsid w:val="00C31BC3"/>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C31BC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1BC3"/>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4359</TotalTime>
  <Pages>31</Pages>
  <Words>17696</Words>
  <Characters>100869</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Alam, Arnob L CIV NG NGB (USA)</cp:lastModifiedBy>
  <cp:revision>119</cp:revision>
  <dcterms:created xsi:type="dcterms:W3CDTF">2023-12-09T16:13:00Z</dcterms:created>
  <dcterms:modified xsi:type="dcterms:W3CDTF">2024-06-13T05:40:00Z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id="uCdIxe9b"/&gt;&lt;style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