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FC0630">
      <w:pPr>
        <w:pStyle w:val="Heading1"/>
      </w:pPr>
      <w:r w:rsidRPr="00076D05">
        <w:t>Introduction</w:t>
      </w:r>
    </w:p>
    <w:p w14:paraId="4A45CDF2" w14:textId="0B683ACB"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study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other currencies or regions, this research </w:t>
      </w:r>
      <w:r>
        <w:t xml:space="preserve">plausibly </w:t>
      </w:r>
      <w:r w:rsidRPr="000A41CF">
        <w:t xml:space="preserve">identifies the causal impact of the regulation on pricing, </w:t>
      </w:r>
      <w:r>
        <w:t xml:space="preserve">liquidity, and </w:t>
      </w:r>
      <w:r w:rsidRPr="000A41CF">
        <w:t>price volatility in the IR swaps market.</w:t>
      </w:r>
    </w:p>
    <w:p w14:paraId="72FA8AC3" w14:textId="068DE8D5" w:rsidR="00916B59" w:rsidRDefault="00916B59" w:rsidP="00916B59">
      <w:r w:rsidRPr="006875A1">
        <w:t xml:space="preserve">The paper 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076D05">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076D05">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076D05">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076D05">
        <w:t>4</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076D05">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076D05">
        <w:t>6</w:t>
      </w:r>
      <w:r w:rsidR="00076D05">
        <w:fldChar w:fldCharType="end"/>
      </w:r>
      <w:r w:rsidR="00076D05">
        <w:t xml:space="preserve"> </w:t>
      </w:r>
      <w:r>
        <w:t>concludes.</w:t>
      </w:r>
    </w:p>
    <w:p w14:paraId="2EBECE4E" w14:textId="7747D66F" w:rsidR="00386F96" w:rsidRDefault="00386F96" w:rsidP="00FC0630">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18451F0B"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include vanilla fixed-for-floating swaps, basis swaps, and cross-currency basis swaps. Vanilla fixed-for-floating swaps are the most prevalent</w:t>
      </w:r>
      <w:r>
        <w:t>.</w:t>
      </w:r>
      <w:r w:rsidRPr="005A0C96">
        <w:t xml:space="preserve"> </w:t>
      </w:r>
      <w:r>
        <w:t xml:space="preserve">In this type </w:t>
      </w:r>
      <w:r>
        <w:lastRenderedPageBreak/>
        <w:t>of swap,</w:t>
      </w:r>
      <w:r w:rsidRPr="005A0C96">
        <w:t xml:space="preserve"> one party exchanges fixed-rate coupon payments for floating-rate payments on a notional principal</w:t>
      </w:r>
      <w:r>
        <w:t xml:space="preserve"> (the notional principal is never exchanged)</w:t>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w:t>
      </w:r>
      <w:r>
        <w:rPr>
          <w:rStyle w:val="FootnoteReference"/>
        </w:rPr>
        <w:footnoteReference w:id="1"/>
      </w:r>
      <w:r w:rsidRPr="00016AE6">
        <w:t xml:space="preserve">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7CC86299" w:rsidR="00916B59" w:rsidRDefault="00916B59" w:rsidP="00916B59">
      <w:r w:rsidRPr="00161437">
        <w:t xml:space="preserve">IR swaps </w:t>
      </w:r>
      <w:r>
        <w:t>can be</w:t>
      </w:r>
      <w:r w:rsidRPr="00161437">
        <w:t xml:space="preserve"> bespoke contracts, customizable to individual </w:t>
      </w:r>
      <w:r>
        <w:t xml:space="preserve">economic </w:t>
      </w:r>
      <w:r w:rsidRPr="00161437">
        <w:t xml:space="preserve">needs.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Pr="00161437">
        <w:t>.</w:t>
      </w:r>
      <w:r>
        <w:t xml:space="preserve"> During the period of study, the standard US Dollar (USD)-denominated IR swaps contract had semiannual payments for one leg and quarterly payments for the other leg (that is either trading quarterly fixed-rate payments for semiannual floating rate payments, or vice-versa), 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2A62E7">
        <w:t>2.1</w:t>
      </w:r>
      <w:r w:rsidR="002A62E7">
        <w:fldChar w:fldCharType="end"/>
      </w:r>
      <w:r w:rsidR="002A62E7">
        <w:t xml:space="preserve"> </w:t>
      </w:r>
      <w:r>
        <w:t xml:space="preserve">for further explanation). The standard Canadian Dollar (CAD)-denominated contract used 3-month CDOR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 Appendix A. </w:t>
      </w:r>
      <w:r w:rsidR="00DC013C">
        <w:t>The</w:t>
      </w:r>
      <w:r>
        <w:t xml:space="preserve"> </w:t>
      </w:r>
      <w:r w:rsidR="00DC013C">
        <w:t xml:space="preserve">CAD- </w:t>
      </w:r>
      <w:r>
        <w:t xml:space="preserve">and </w:t>
      </w:r>
      <w:r w:rsidR="00DC013C">
        <w:t>USD-</w:t>
      </w:r>
      <w:r>
        <w:t>denominated standard contracts use</w:t>
      </w:r>
      <w:r w:rsidR="00DC013C">
        <w:t xml:space="preserve"> </w:t>
      </w:r>
      <w:r>
        <w:t xml:space="preserve">the </w:t>
      </w:r>
      <w:r>
        <w:lastRenderedPageBreak/>
        <w:t>ISDA master agreement, which detail</w:t>
      </w:r>
      <w:r w:rsidR="00DC013C">
        <w:t>s</w:t>
      </w:r>
      <w:r>
        <w:t xml:space="preserve"> these contract specifications.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77E62D18"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The clearinghouse becomes the counterparty for each leg (that is, paying the fixed leg to the initial party receiving fixed-leg payments and paying the floating leg to the party receiving the floating leg-payments. It also receives the floating leg from the initial party paying the floating rate and the fixed leg from the initial party paying the fixed leg). If one party fails to meet their contractual obligation, the clearinghouse can still make sure the other party gets paid. For this purpose, CCPs practice risk-control measures and have additional resources to make a counterparty whole in case of default. When counterparties clear</w:t>
      </w:r>
      <w:r>
        <w:rPr>
          <w:rStyle w:val="FootnoteReference"/>
        </w:rPr>
        <w:footnoteReference w:id="2"/>
      </w:r>
      <w:r>
        <w:t xml:space="preserve"> their trade through a clearinghouse, they must put up collateral (initial margin) and contribute to a default fund. In case the risk position of the counterparty changes, it can be required to put up additional collateral </w:t>
      </w:r>
      <w:r>
        <w:lastRenderedPageBreak/>
        <w:t>(variation margin). The CCP also has default fund contributions of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47A12F3D" w:rsidR="00916B59" w:rsidRDefault="00916B59" w:rsidP="00916B59">
      <w:r>
        <w:t xml:space="preserve">In addition to financial resources, CCPs exercise </w:t>
      </w:r>
      <w:r w:rsidRPr="00377D40">
        <w:t>prudent risk control measures</w:t>
      </w:r>
      <w:r>
        <w:t xml:space="preserve"> such as monitoring members trading positions and liquidating distressed assets in an orderly fashion</w:t>
      </w:r>
      <w:r w:rsidRPr="00377D40">
        <w:t>.</w:t>
      </w:r>
      <w:r>
        <w:t xml:space="preserve"> Since the CCP can observe all trades that it is clearing, it has a better picture of overall riskiness. Compare this to a bilateral market, where one party is generally unaware of other trades its partner is entering, and thus does not have a thorough understanding of its partner’s riskiness.</w:t>
      </w:r>
    </w:p>
    <w:p w14:paraId="7F1FFE80" w14:textId="77777777" w:rsidR="00916B59" w:rsidRDefault="00916B59" w:rsidP="00916B59">
      <w:r>
        <w:t>Clearing can reduce demand for collateral through a practice called netting. There are two types of netting practices common in the industry: cross-product netting and multilateral netting. For a CCP that clears multiple types of contracts (e.g. interest rate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43047EC7" w:rsidR="00916B59" w:rsidRDefault="00916B59" w:rsidP="00916B59">
      <w:r>
        <w:t xml:space="preserve">Multilateral netting involves netting payments across multiple firms. For example, consider the following series of obligations: firm A owes firm B $100 million and firm C $200 million; firm B owes firm A $50 million and firm C $150 million; firm C owes firm A $100 million and firm B $100 million. Without multilateral netting, the firms can still engage in bilateral netting. In a bilateral netting regime, the following payments would need to be </w:t>
      </w:r>
      <w:proofErr w:type="gramStart"/>
      <w:r>
        <w:t>made:</w:t>
      </w:r>
      <w:proofErr w:type="gramEnd"/>
      <w:r>
        <w:t xml:space="preserve"> firm A would need to pay firm B ($100 - $50) = $50 million and firm C ($200 - $100) = $100 million; firm B would need to pay firm C ($150 - $100) = $50 million. The total collateral demand would be $200 million. With multilateral netting by the CCP, the $50 million payment from firm B to firm C can be eliminated. Firm A would pay the CCP $150 million and the CCP would pay firm C $150 million (while firm B would not make any payments at all). The total collateral demand would be $150 million.</w:t>
      </w:r>
      <w:r w:rsidR="002A62E7">
        <w:t xml:space="preserve"> </w:t>
      </w:r>
      <w:r w:rsidR="002A62E7">
        <w:fldChar w:fldCharType="begin"/>
      </w:r>
      <w:r w:rsidR="002A62E7">
        <w:instrText xml:space="preserve"> REF _Ref169916310 \h </w:instrText>
      </w:r>
      <w:r w:rsidR="002A62E7">
        <w:fldChar w:fldCharType="separate"/>
      </w:r>
      <w:r w:rsidR="002A62E7">
        <w:t xml:space="preserve">Figure </w:t>
      </w:r>
      <w:r w:rsidR="002A62E7">
        <w:rPr>
          <w:noProof/>
        </w:rPr>
        <w:t>1</w:t>
      </w:r>
      <w:r w:rsidR="002A62E7">
        <w:fldChar w:fldCharType="end"/>
      </w:r>
      <w:r w:rsidR="002A62E7">
        <w:t xml:space="preserve"> graphically depicts the various netting scenarios described above.</w:t>
      </w:r>
    </w:p>
    <w:p w14:paraId="274B0D09" w14:textId="606B0547" w:rsidR="009F16B5" w:rsidRDefault="009F16B5" w:rsidP="009F16B5">
      <w:pPr>
        <w:pStyle w:val="Caption"/>
        <w:keepNext/>
        <w:jc w:val="center"/>
      </w:pPr>
      <w:bookmarkStart w:id="1" w:name="_Ref169916310"/>
      <w:r>
        <w:lastRenderedPageBreak/>
        <w:t xml:space="preserve">Figure </w:t>
      </w:r>
      <w:r w:rsidR="003D15B5">
        <w:fldChar w:fldCharType="begin"/>
      </w:r>
      <w:r w:rsidR="003D15B5">
        <w:instrText xml:space="preserve"> SEQ Figure \* ARABIC </w:instrText>
      </w:r>
      <w:r w:rsidR="003D15B5">
        <w:fldChar w:fldCharType="separate"/>
      </w:r>
      <w:r w:rsidR="003D15B5">
        <w:rPr>
          <w:noProof/>
        </w:rPr>
        <w:t>1</w:t>
      </w:r>
      <w:r w:rsidR="003D15B5">
        <w:fldChar w:fldCharType="end"/>
      </w:r>
      <w:bookmarkEnd w:id="1"/>
      <w:r>
        <w:rPr>
          <w:noProof/>
        </w:rPr>
        <w:t xml:space="preserve"> </w:t>
      </w:r>
      <w:r w:rsidR="00C83A7E">
        <w:rPr>
          <w:noProof/>
        </w:rPr>
        <w:t>Example of obligations between three firms (a) without any netting (b) with bilagteral netting (c) with multilateral netting</w:t>
      </w:r>
    </w:p>
    <w:p w14:paraId="4F634A46" w14:textId="77777777" w:rsidR="009F16B5" w:rsidRDefault="009F16B5" w:rsidP="009F16B5">
      <w:pPr>
        <w:ind w:firstLine="0"/>
        <w:jc w:val="center"/>
      </w:pPr>
      <w:r>
        <w:t>(a)</w:t>
      </w:r>
    </w:p>
    <w:p w14:paraId="1013610A" w14:textId="0743FAB7" w:rsidR="0098035B" w:rsidRDefault="0098035B" w:rsidP="009F16B5">
      <w:pPr>
        <w:ind w:firstLine="0"/>
        <w:jc w:val="center"/>
        <w:rPr>
          <w:noProof/>
          <w14:ligatures w14:val="standardContextual"/>
        </w:rPr>
      </w:pPr>
      <w:r>
        <w:rPr>
          <w:noProof/>
          <w14:ligatures w14:val="standardContextual"/>
        </w:rPr>
        <w:drawing>
          <wp:inline distT="0" distB="0" distL="0" distR="0" wp14:anchorId="0AC777E3" wp14:editId="3857C17C">
            <wp:extent cx="2126609" cy="1371600"/>
            <wp:effectExtent l="0" t="0" r="0" b="0"/>
            <wp:docPr id="17095902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90202" name="Graphic 1709590202"/>
                    <pic:cNvPicPr/>
                  </pic:nvPicPr>
                  <pic:blipFill>
                    <a:blip r:embed="rId8">
                      <a:extLst>
                        <a:ext uri="{96DAC541-7B7A-43D3-8B79-37D633B846F1}">
                          <asvg:svgBlip xmlns:asvg="http://schemas.microsoft.com/office/drawing/2016/SVG/main" r:embed="rId9"/>
                        </a:ext>
                      </a:extLst>
                    </a:blip>
                    <a:stretch>
                      <a:fillRect/>
                    </a:stretch>
                  </pic:blipFill>
                  <pic:spPr>
                    <a:xfrm>
                      <a:off x="0" y="0"/>
                      <a:ext cx="2126609" cy="1371600"/>
                    </a:xfrm>
                    <a:prstGeom prst="rect">
                      <a:avLst/>
                    </a:prstGeom>
                  </pic:spPr>
                </pic:pic>
              </a:graphicData>
            </a:graphic>
          </wp:inline>
        </w:drawing>
      </w:r>
      <w:r>
        <w:t>(b)</w:t>
      </w:r>
      <w:r>
        <w:rPr>
          <w:noProof/>
          <w14:ligatures w14:val="standardContextual"/>
        </w:rPr>
        <w:drawing>
          <wp:inline distT="0" distB="0" distL="0" distR="0" wp14:anchorId="3DDC0F65" wp14:editId="3E475B13">
            <wp:extent cx="2126609" cy="1371600"/>
            <wp:effectExtent l="0" t="0" r="0" b="0"/>
            <wp:docPr id="138735264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2649" name="Graphic 1387352649"/>
                    <pic:cNvPicPr/>
                  </pic:nvPicPr>
                  <pic:blipFill>
                    <a:blip r:embed="rId10">
                      <a:extLst>
                        <a:ext uri="{96DAC541-7B7A-43D3-8B79-37D633B846F1}">
                          <asvg:svgBlip xmlns:asvg="http://schemas.microsoft.com/office/drawing/2016/SVG/main" r:embed="rId11"/>
                        </a:ext>
                      </a:extLst>
                    </a:blip>
                    <a:stretch>
                      <a:fillRect/>
                    </a:stretch>
                  </pic:blipFill>
                  <pic:spPr>
                    <a:xfrm>
                      <a:off x="0" y="0"/>
                      <a:ext cx="2126609" cy="1371600"/>
                    </a:xfrm>
                    <a:prstGeom prst="rect">
                      <a:avLst/>
                    </a:prstGeom>
                  </pic:spPr>
                </pic:pic>
              </a:graphicData>
            </a:graphic>
          </wp:inline>
        </w:drawing>
      </w:r>
    </w:p>
    <w:p w14:paraId="61A52579" w14:textId="12ACF3D8" w:rsidR="0098035B" w:rsidRDefault="0098035B" w:rsidP="009F16B5">
      <w:pPr>
        <w:ind w:firstLine="0"/>
        <w:jc w:val="center"/>
      </w:pPr>
      <w:r>
        <w:rPr>
          <w:noProof/>
          <w14:ligatures w14:val="standardContextual"/>
        </w:rPr>
        <w:t>(c)</w:t>
      </w:r>
      <w:r>
        <w:rPr>
          <w:noProof/>
          <w14:ligatures w14:val="standardContextual"/>
        </w:rPr>
        <w:drawing>
          <wp:inline distT="0" distB="0" distL="0" distR="0" wp14:anchorId="1FB78259" wp14:editId="5E104874">
            <wp:extent cx="2126609" cy="1371600"/>
            <wp:effectExtent l="0" t="0" r="0" b="0"/>
            <wp:docPr id="204851836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18364" name="Graphic 2048518364"/>
                    <pic:cNvPicPr/>
                  </pic:nvPicPr>
                  <pic:blipFill>
                    <a:blip r:embed="rId12">
                      <a:extLst>
                        <a:ext uri="{96DAC541-7B7A-43D3-8B79-37D633B846F1}">
                          <asvg:svgBlip xmlns:asvg="http://schemas.microsoft.com/office/drawing/2016/SVG/main" r:embed="rId13"/>
                        </a:ext>
                      </a:extLst>
                    </a:blip>
                    <a:stretch>
                      <a:fillRect/>
                    </a:stretch>
                  </pic:blipFill>
                  <pic:spPr>
                    <a:xfrm>
                      <a:off x="0" y="0"/>
                      <a:ext cx="2126609" cy="1371600"/>
                    </a:xfrm>
                    <a:prstGeom prst="rect">
                      <a:avLst/>
                    </a:prstGeom>
                  </pic:spPr>
                </pic:pic>
              </a:graphicData>
            </a:graphic>
          </wp:inline>
        </w:drawing>
      </w:r>
    </w:p>
    <w:p w14:paraId="5E7C5443" w14:textId="37B8AD50" w:rsidR="0098035B" w:rsidRDefault="0098035B" w:rsidP="0098035B">
      <w:pPr>
        <w:ind w:firstLine="0"/>
      </w:pPr>
    </w:p>
    <w:p w14:paraId="731EE71E" w14:textId="04831EC5" w:rsidR="0098035B" w:rsidRDefault="0098035B" w:rsidP="0098035B">
      <w:pPr>
        <w:ind w:firstLine="0"/>
      </w:pPr>
    </w:p>
    <w:p w14:paraId="370E068A" w14:textId="77777777" w:rsidR="00916B59" w:rsidRDefault="00916B59" w:rsidP="00916B59">
      <w:r w:rsidRPr="0025043C">
        <w:t xml:space="preserve">Originally created for </w:t>
      </w:r>
      <w:r>
        <w:t xml:space="preserve">members of </w:t>
      </w:r>
      <w:r w:rsidRPr="0025043C">
        <w:t xml:space="preserve">futures </w:t>
      </w:r>
      <w:r>
        <w:t xml:space="preserve">and equities </w:t>
      </w:r>
      <w:r w:rsidRPr="0025043C">
        <w:t xml:space="preserve">exchanges, clearinghouses became more significant with regulations like the </w:t>
      </w:r>
      <w:r>
        <w:t xml:space="preserve">DFA (2010) </w:t>
      </w:r>
      <w:r w:rsidRPr="0025043C">
        <w:t>and European Market Infrastructure Regulation (EMIR</w:t>
      </w:r>
      <w:r>
        <w:t>, 2012</w:t>
      </w:r>
      <w:r w:rsidRPr="0025043C">
        <w:t xml:space="preserve">) mandating central clearing of derivatives. Mandated clearing </w:t>
      </w:r>
      <w:r>
        <w:t>can</w:t>
      </w:r>
      <w:r w:rsidRPr="0025043C">
        <w:t xml:space="preserve"> have macro and micro effects on the </w:t>
      </w:r>
      <w:r>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lastRenderedPageBreak/>
        <w:t>Regulatory Background</w:t>
      </w:r>
    </w:p>
    <w:p w14:paraId="77748051" w14:textId="4A71D2E5" w:rsidR="00E33F8A" w:rsidRDefault="00E33F8A" w:rsidP="00076D05">
      <w:pPr>
        <w:pStyle w:val="Heading3"/>
      </w:pPr>
      <w:r>
        <w:t xml:space="preserve">US </w:t>
      </w:r>
      <w:r w:rsidRPr="00076D05">
        <w:t>Context</w:t>
      </w:r>
    </w:p>
    <w:p w14:paraId="7FCC5BD7" w14:textId="50DDAD0B" w:rsidR="00916B59" w:rsidRDefault="00916B59" w:rsidP="00916B59">
      <w:r w:rsidRPr="0086750E">
        <w:t xml:space="preserve">Following the financial crisis, Congress passed the DFA to enhance the US financial system's reliability. Since </w:t>
      </w:r>
      <w:r>
        <w:t xml:space="preserve">OTC </w:t>
      </w:r>
      <w:r w:rsidRPr="0086750E">
        <w:t xml:space="preserve">derivatives markets played a role in the crisis, </w:t>
      </w:r>
      <w:r>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5DEC4D4D" w14:textId="392FE775" w:rsidR="00916B59" w:rsidRDefault="00916B59" w:rsidP="00916B59">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or </w:t>
      </w:r>
      <w:r>
        <w:t>D</w:t>
      </w:r>
      <w:r w:rsidRPr="00715923">
        <w:t xml:space="preserve">esignated </w:t>
      </w:r>
      <w:r>
        <w:t>C</w:t>
      </w:r>
      <w:r w:rsidRPr="00715923">
        <w:t xml:space="preserve">ontract </w:t>
      </w:r>
      <w:r>
        <w:t>M</w:t>
      </w:r>
      <w:r w:rsidRPr="00715923">
        <w:t>arkets (DCMs)</w:t>
      </w:r>
      <w:r>
        <w:t>. To make trade data more readily available, it requires real-time reporting 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and for uncleared contracts, requires parties to post margin to mitigate default effects</w:t>
      </w:r>
      <w:r>
        <w:t>)</w:t>
      </w:r>
      <w:r w:rsidRPr="00715923">
        <w:t xml:space="preserve">. </w:t>
      </w:r>
      <w:r w:rsidR="002A62E7">
        <w:fldChar w:fldCharType="begin"/>
      </w:r>
      <w:r w:rsidR="002A62E7">
        <w:instrText xml:space="preserve"> REF _Ref169916240 \h </w:instrText>
      </w:r>
      <w:r w:rsidR="002A62E7">
        <w:fldChar w:fldCharType="separate"/>
      </w:r>
      <w:r w:rsidR="002A62E7">
        <w:t xml:space="preserve">Table </w:t>
      </w:r>
      <w:r w:rsidR="002A62E7">
        <w:rPr>
          <w:noProof/>
        </w:rPr>
        <w:t>1</w:t>
      </w:r>
      <w:r w:rsidR="002A62E7">
        <w:fldChar w:fldCharType="end"/>
      </w:r>
      <w:r w:rsidR="002A62E7">
        <w:t xml:space="preserve"> </w:t>
      </w:r>
      <w:r w:rsidRPr="00715923">
        <w:t xml:space="preserve">summarizes the CFTC </w:t>
      </w:r>
      <w:r>
        <w:t xml:space="preserve">key </w:t>
      </w:r>
      <w:r w:rsidRPr="00715923">
        <w:t>rulemaking in these areas.</w:t>
      </w:r>
    </w:p>
    <w:p w14:paraId="59F2B912" w14:textId="7076688F" w:rsidR="0098035B" w:rsidRDefault="0098035B">
      <w:pPr>
        <w:spacing w:line="240" w:lineRule="auto"/>
        <w:ind w:firstLine="0"/>
        <w:jc w:val="left"/>
      </w:pPr>
      <w:r>
        <w:br w:type="page"/>
      </w:r>
    </w:p>
    <w:p w14:paraId="6F415CFC" w14:textId="0C02301A" w:rsidR="009F16B5" w:rsidRDefault="009F16B5" w:rsidP="009F16B5">
      <w:pPr>
        <w:pStyle w:val="Caption"/>
        <w:keepNext/>
      </w:pPr>
      <w:bookmarkStart w:id="2" w:name="_Ref169916240"/>
      <w:r>
        <w:lastRenderedPageBreak/>
        <w:t xml:space="preserve">Table </w:t>
      </w:r>
      <w:r>
        <w:fldChar w:fldCharType="begin"/>
      </w:r>
      <w:r>
        <w:instrText xml:space="preserve"> SEQ Table \* ARABIC </w:instrText>
      </w:r>
      <w:r>
        <w:fldChar w:fldCharType="separate"/>
      </w:r>
      <w:r w:rsidR="00930217">
        <w:rPr>
          <w:noProof/>
        </w:rPr>
        <w:t>1</w:t>
      </w:r>
      <w:r>
        <w:fldChar w:fldCharType="end"/>
      </w:r>
      <w:bookmarkEnd w:id="2"/>
      <w:r>
        <w:rPr>
          <w:noProof/>
        </w:rPr>
        <w:t xml:space="preserve"> </w:t>
      </w:r>
      <w:r w:rsidR="00C83A7E">
        <w:rPr>
          <w:noProof/>
        </w:rPr>
        <w:t>Major Rule-Making Areas of the Dodd-Frank Act</w:t>
      </w:r>
    </w:p>
    <w:tbl>
      <w:tblPr>
        <w:tblStyle w:val="GridTable1Light"/>
        <w:tblW w:w="0" w:type="auto"/>
        <w:tblLook w:val="06A0" w:firstRow="1" w:lastRow="0" w:firstColumn="1" w:lastColumn="0" w:noHBand="1" w:noVBand="1"/>
      </w:tblPr>
      <w:tblGrid>
        <w:gridCol w:w="3751"/>
        <w:gridCol w:w="5599"/>
      </w:tblGrid>
      <w:tr w:rsidR="0098035B" w14:paraId="52C93243"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rsidP="00597E0D">
            <w:pPr>
              <w:spacing w:line="240" w:lineRule="auto"/>
              <w:jc w:val="left"/>
            </w:pPr>
            <w:r>
              <w:t>Rulemaking Area</w:t>
            </w:r>
          </w:p>
        </w:tc>
        <w:tc>
          <w:tcPr>
            <w:tcW w:w="0" w:type="auto"/>
          </w:tcPr>
          <w:p w14:paraId="2219CC8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rsidP="00597E0D">
            <w:pPr>
              <w:spacing w:line="240" w:lineRule="auto"/>
              <w:jc w:val="left"/>
            </w:pPr>
            <w:r>
              <w:t>Swaps Dealers and Major Swaps Participants</w:t>
            </w:r>
          </w:p>
        </w:tc>
        <w:tc>
          <w:tcPr>
            <w:tcW w:w="0" w:type="auto"/>
          </w:tcPr>
          <w:p w14:paraId="2E869EC0"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7D84E883"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6ED8F5B4"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1456EDDC"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98035B" w14:paraId="23138F1B"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rsidP="00597E0D">
            <w:pPr>
              <w:spacing w:line="240" w:lineRule="auto"/>
              <w:jc w:val="left"/>
            </w:pPr>
            <w:r>
              <w:t>Data Requirements</w:t>
            </w:r>
          </w:p>
        </w:tc>
        <w:tc>
          <w:tcPr>
            <w:tcW w:w="0" w:type="auto"/>
          </w:tcPr>
          <w:p w14:paraId="188807FE"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 Data Repositories (SDR)</w:t>
            </w:r>
          </w:p>
          <w:p w14:paraId="35A75844"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w:t>
            </w:r>
          </w:p>
          <w:p w14:paraId="6FF1FCFF"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3183A9BD"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98035B" w14:paraId="0D8B4B8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rsidP="00597E0D">
            <w:pPr>
              <w:spacing w:line="240" w:lineRule="auto"/>
              <w:jc w:val="left"/>
            </w:pPr>
            <w:r>
              <w:t>Clearing Requirements</w:t>
            </w:r>
          </w:p>
        </w:tc>
        <w:tc>
          <w:tcPr>
            <w:tcW w:w="0" w:type="auto"/>
          </w:tcPr>
          <w:p w14:paraId="18500DE0"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p>
          <w:p w14:paraId="52310C9C"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p>
          <w:p w14:paraId="3EBDAC64"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p>
        </w:tc>
      </w:tr>
      <w:tr w:rsidR="0098035B" w14:paraId="5216D0F6"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rsidP="00597E0D">
            <w:pPr>
              <w:spacing w:line="240" w:lineRule="auto"/>
              <w:jc w:val="left"/>
            </w:pPr>
            <w:r>
              <w:t>Trading Requirements</w:t>
            </w:r>
          </w:p>
        </w:tc>
        <w:tc>
          <w:tcPr>
            <w:tcW w:w="0" w:type="auto"/>
          </w:tcPr>
          <w:p w14:paraId="227BFF5E"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p>
          <w:p w14:paraId="0A008C66"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designation/requirement</w:t>
            </w:r>
          </w:p>
        </w:tc>
      </w:tr>
      <w:tr w:rsidR="0098035B" w14:paraId="54C611C7"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rsidP="00597E0D">
            <w:pPr>
              <w:spacing w:line="240" w:lineRule="auto"/>
              <w:jc w:val="left"/>
            </w:pPr>
            <w:r>
              <w:t>Position Limits</w:t>
            </w:r>
          </w:p>
        </w:tc>
        <w:tc>
          <w:tcPr>
            <w:tcW w:w="0" w:type="auto"/>
          </w:tcPr>
          <w:p w14:paraId="5B5130B2"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98035B" w14:paraId="77BD085F"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rsidP="00597E0D">
            <w:pPr>
              <w:spacing w:line="240" w:lineRule="auto"/>
              <w:jc w:val="left"/>
            </w:pPr>
            <w:r>
              <w:t>Enforcement</w:t>
            </w:r>
          </w:p>
        </w:tc>
        <w:tc>
          <w:tcPr>
            <w:tcW w:w="0" w:type="auto"/>
          </w:tcPr>
          <w:p w14:paraId="479DE55C"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0F74DDEE"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1172AF55"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98035B" w14:paraId="2E7B0DA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rsidP="00597E0D">
            <w:pPr>
              <w:spacing w:line="240" w:lineRule="auto"/>
              <w:jc w:val="left"/>
            </w:pPr>
            <w:r>
              <w:t>Other</w:t>
            </w:r>
          </w:p>
        </w:tc>
        <w:tc>
          <w:tcPr>
            <w:tcW w:w="0" w:type="auto"/>
          </w:tcPr>
          <w:p w14:paraId="09091513"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C7A41D6"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393C709B"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5EB8B72F"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6F586DD9"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6F87EA52"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xml:space="preserve">, which shares similar aims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2A62E7">
        <w:t xml:space="preserve">Table </w:t>
      </w:r>
      <w:r w:rsidR="002A62E7">
        <w:rPr>
          <w:noProof/>
        </w:rPr>
        <w:t>2</w:t>
      </w:r>
      <w:r w:rsidR="002A62E7">
        <w:fldChar w:fldCharType="end"/>
      </w:r>
      <w:r w:rsidR="002A62E7">
        <w:t xml:space="preserve"> </w:t>
      </w:r>
      <w:r w:rsidRPr="00821AC5">
        <w:t>summarizes the international context</w:t>
      </w:r>
      <w:r w:rsidR="0098035B">
        <w:t>.</w:t>
      </w:r>
    </w:p>
    <w:p w14:paraId="35228905" w14:textId="08EF4E1A" w:rsidR="0098035B" w:rsidRDefault="0098035B">
      <w:pPr>
        <w:spacing w:line="240" w:lineRule="auto"/>
        <w:ind w:firstLine="0"/>
        <w:jc w:val="left"/>
      </w:pPr>
      <w:r>
        <w:br w:type="page"/>
      </w:r>
    </w:p>
    <w:p w14:paraId="395ABD8F" w14:textId="7A231D50" w:rsidR="009F16B5" w:rsidRDefault="009F16B5" w:rsidP="009F16B5">
      <w:pPr>
        <w:pStyle w:val="Caption"/>
        <w:keepNext/>
      </w:pPr>
      <w:bookmarkStart w:id="3" w:name="_Ref169916258"/>
      <w:r>
        <w:lastRenderedPageBreak/>
        <w:t xml:space="preserve">Table </w:t>
      </w:r>
      <w:r>
        <w:fldChar w:fldCharType="begin"/>
      </w:r>
      <w:r>
        <w:instrText xml:space="preserve"> SEQ Table \* ARABIC </w:instrText>
      </w:r>
      <w:r>
        <w:fldChar w:fldCharType="separate"/>
      </w:r>
      <w:r w:rsidR="00930217">
        <w:rPr>
          <w:noProof/>
        </w:rPr>
        <w:t>2</w:t>
      </w:r>
      <w:r>
        <w:fldChar w:fldCharType="end"/>
      </w:r>
      <w:bookmarkEnd w:id="3"/>
      <w:r>
        <w:rPr>
          <w:noProof/>
        </w:rPr>
        <w:t xml:space="preserve"> </w:t>
      </w:r>
      <w:r w:rsidR="00C83A7E">
        <w:rPr>
          <w:noProof/>
        </w:rPr>
        <w:t>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98035B" w14:paraId="3219A2C5"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rsidP="00597E0D">
            <w:pPr>
              <w:spacing w:line="240" w:lineRule="auto"/>
              <w:jc w:val="left"/>
            </w:pPr>
            <w:r>
              <w:t>Jurisdiction</w:t>
            </w:r>
          </w:p>
        </w:tc>
        <w:tc>
          <w:tcPr>
            <w:tcW w:w="3629" w:type="pct"/>
          </w:tcPr>
          <w:p w14:paraId="07A0779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rsidP="00597E0D">
            <w:pPr>
              <w:spacing w:line="240" w:lineRule="auto"/>
              <w:jc w:val="left"/>
            </w:pPr>
            <w:r>
              <w:t>North America</w:t>
            </w:r>
          </w:p>
        </w:tc>
        <w:tc>
          <w:tcPr>
            <w:tcW w:w="3629" w:type="pct"/>
          </w:tcPr>
          <w:p w14:paraId="61725DB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 GBP, EUR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rsidP="00597E0D">
            <w:pPr>
              <w:spacing w:line="240" w:lineRule="auto"/>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rsidP="00597E0D">
            <w:pPr>
              <w:spacing w:line="240" w:lineRule="auto"/>
              <w:jc w:val="left"/>
            </w:pPr>
            <w:r>
              <w:t>Asia</w:t>
            </w:r>
          </w:p>
        </w:tc>
        <w:tc>
          <w:tcPr>
            <w:tcW w:w="3629" w:type="pct"/>
          </w:tcPr>
          <w:p w14:paraId="2DE24421"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Japan Financial Stability Authority (JFSA) requires yen denominated IR swaps referencing LIBOR to be cleared by end of 2012.</w:t>
            </w:r>
          </w:p>
          <w:p w14:paraId="5C5C7D5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Monetary Authority (HKMA) and the Securities and Futures Commission (SFC) release consultation paper in 2011 on clearing of certain IR swaps denominated in Asian currencies.</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70ECC7E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Monetary Authority of Singapore (MAS) releases consultation paper in 2011 on plans for clearing of certain Singapore Dollar denominated IR swaps.</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rsidP="00597E0D">
            <w:pPr>
              <w:spacing w:line="240" w:lineRule="auto"/>
              <w:jc w:val="left"/>
            </w:pPr>
            <w:r>
              <w:t>Australia</w:t>
            </w:r>
          </w:p>
        </w:tc>
        <w:tc>
          <w:tcPr>
            <w:tcW w:w="3629" w:type="pct"/>
          </w:tcPr>
          <w:p w14:paraId="427568BE" w14:textId="77777777"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Australian Council of Financial Regulators (CFR) pass legislation requiring mandatory clearing of Australian dollar 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2F0B949C"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rate liabilities);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rate vs. variable rate arising due to market imperfections (differences in regulations or credit market imperfections can give firms comparative advantage in borrowing in one market over another).</w:t>
      </w:r>
    </w:p>
    <w:p w14:paraId="5C4A5781" w14:textId="77777777"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 exchanged (that is, it is a “notional” principal). Thus, the impact of a default is greater for a corporate bond than for an interest rate swap. Futures contracts on the other-hand are exchange-traded, cleared,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B0BE940" w14:textId="77777777"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62B231F" w14:textId="0B7023B2" w:rsidR="00E33F8A" w:rsidRDefault="00E33F8A" w:rsidP="00076D05">
      <w:pPr>
        <w:pStyle w:val="Heading3"/>
      </w:pPr>
      <w:r>
        <w:lastRenderedPageBreak/>
        <w:t>Liquidity</w:t>
      </w:r>
    </w:p>
    <w:p w14:paraId="652CFDFF" w14:textId="6A9204D1"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337EDA">
        <w:t>2.4</w:t>
      </w:r>
      <w:r w:rsidR="00337EDA">
        <w:fldChar w:fldCharType="end"/>
      </w:r>
      <w:r w:rsidR="00337EDA">
        <w:t xml:space="preserve">. </w:t>
      </w:r>
      <w:r>
        <w:t xml:space="preserve">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swap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77777777" w:rsidR="00916B59" w:rsidRDefault="00916B59" w:rsidP="00916B59">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77777777"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w:t>
      </w:r>
      <w:proofErr w:type="spellStart"/>
      <w:r>
        <w:t>Tirole</w:t>
      </w:r>
      <w:proofErr w:type="spellEnd"/>
      <w:r>
        <w:t xml:space="preserv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77777777"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assets 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This type of models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t xml:space="preserve">  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77777777" w:rsidR="00916B59" w:rsidRDefault="00916B59" w:rsidP="00916B59">
      <w:r>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w:t>
      </w:r>
      <w:r>
        <w:lastRenderedPageBreak/>
        <w:t xml:space="preserve">lead to panic and bank runs. Banks lend out money long term and take in deposits for short terms.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77777777"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  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selection issues).  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77777777"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lastRenderedPageBreak/>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77777777" w:rsidR="00916B59" w:rsidRDefault="00916B59" w:rsidP="00916B59">
      <w:r>
        <w:t xml:space="preserve">An interest rate swap can be thought of as an exchange of a series of fixed payments by one party for a series of variable (floating) payments by the other party involved in the swap. For the fixed leg, the present value of the payments is given by </w:t>
      </w:r>
      <w:r>
        <w:fldChar w:fldCharType="begin"/>
      </w:r>
      <w:r>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rsidTr="00496DC0">
        <w:tc>
          <w:tcPr>
            <w:tcW w:w="350" w:type="pct"/>
          </w:tcPr>
          <w:p w14:paraId="23215704" w14:textId="77777777" w:rsidR="00916B59" w:rsidRDefault="00916B59" w:rsidP="00496DC0">
            <w:pPr>
              <w:ind w:firstLine="0"/>
            </w:pPr>
          </w:p>
        </w:tc>
        <w:tc>
          <w:tcPr>
            <w:tcW w:w="4300" w:type="pct"/>
          </w:tcPr>
          <w:p w14:paraId="5113ED53"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67BBF5DB"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w:t>
            </w:r>
            <w:r>
              <w:fldChar w:fldCharType="end"/>
            </w:r>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rsidTr="00496DC0">
        <w:tc>
          <w:tcPr>
            <w:tcW w:w="350" w:type="pct"/>
          </w:tcPr>
          <w:p w14:paraId="79A3459A" w14:textId="77777777" w:rsidR="00916B59" w:rsidRDefault="00916B59" w:rsidP="00496DC0">
            <w:pPr>
              <w:ind w:firstLine="0"/>
            </w:pPr>
          </w:p>
        </w:tc>
        <w:tc>
          <w:tcPr>
            <w:tcW w:w="4300" w:type="pct"/>
          </w:tcPr>
          <w:p w14:paraId="07B2199D"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46245C4D"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w:t>
            </w:r>
            <w:r>
              <w:fldChar w:fldCharType="end"/>
            </w:r>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rsidTr="00496DC0">
        <w:tc>
          <w:tcPr>
            <w:tcW w:w="350" w:type="pct"/>
          </w:tcPr>
          <w:p w14:paraId="2F80D8F7" w14:textId="77777777" w:rsidR="00916B59" w:rsidRDefault="00916B59" w:rsidP="00496DC0">
            <w:pPr>
              <w:ind w:firstLine="0"/>
            </w:pPr>
          </w:p>
        </w:tc>
        <w:tc>
          <w:tcPr>
            <w:tcW w:w="4300" w:type="pct"/>
          </w:tcPr>
          <w:p w14:paraId="7D104B13" w14:textId="77777777" w:rsidR="00916B59" w:rsidRPr="008652DB" w:rsidRDefault="00916B59" w:rsidP="00496DC0">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2DA8E759" w:rsidR="00916B59" w:rsidRDefault="00916B59" w:rsidP="00496DC0">
            <w:pPr>
              <w:pStyle w:val="Caption"/>
              <w:keepNext/>
              <w:jc w:val="right"/>
            </w:pPr>
            <w:bookmarkStart w:id="6" w:name="_Ref167361621"/>
            <w:r>
              <w:t>(</w:t>
            </w:r>
            <w:r>
              <w:fldChar w:fldCharType="begin"/>
            </w:r>
            <w:r>
              <w:instrText xml:space="preserve"> SEQ Equation \* ARABIC </w:instrText>
            </w:r>
            <w:r>
              <w:fldChar w:fldCharType="separate"/>
            </w:r>
            <w:r w:rsidR="00C07EA6">
              <w:rPr>
                <w:noProof/>
              </w:rPr>
              <w:t>3</w:t>
            </w:r>
            <w:r>
              <w:fldChar w:fldCharType="end"/>
            </w:r>
            <w:r>
              <w:t>)</w:t>
            </w:r>
            <w:bookmarkEnd w:id="6"/>
          </w:p>
        </w:tc>
      </w:tr>
    </w:tbl>
    <w:p w14:paraId="1BF31B24" w14:textId="77777777" w:rsidR="00916B59" w:rsidRPr="00B42996" w:rsidRDefault="00916B59" w:rsidP="00916B59">
      <w:pPr>
        <w:rPr>
          <w:rFonts w:eastAsiaTheme="minorEastAsia"/>
          <w:i/>
          <w:iCs/>
        </w:rPr>
      </w:pPr>
      <w:r w:rsidRPr="00B42996">
        <w:rPr>
          <w:rFonts w:eastAsiaTheme="minorEastAsia"/>
          <w:i/>
          <w:iCs/>
        </w:rPr>
        <w:t>(</w:t>
      </w:r>
      <w:r w:rsidRPr="00E50868">
        <w:rPr>
          <w:rFonts w:eastAsiaTheme="minorEastAsia"/>
          <w:i/>
          <w:iCs/>
        </w:rPr>
        <w:t>The counterpart</w:t>
      </w:r>
      <w:r>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35EB1807" w14:textId="5B593293" w:rsidR="00916B59" w:rsidRDefault="00916B59" w:rsidP="00C75B0C">
      <w:r>
        <w:t>Floating rate payments are unknown in advance but are usually forecasted by a relevant yield curve. For instance, if the floating leg payment is based on USD LIBOR, a USD LIBOR curve, constructed by interpolating short-term deposit rates, medium-term Eurodollar futures, and long-term instruments like forward rate agreements and existing swaps, is used. At the outset of the contract, its value (</w:t>
      </w:r>
      <m:oMath>
        <m:r>
          <w:rPr>
            <w:rFonts w:ascii="Cambria Math" w:hAnsi="Cambria Math"/>
          </w:rPr>
          <m:t>PV</m:t>
        </m:r>
      </m:oMath>
      <w:r>
        <w:t xml:space="preserve">) is zero. This is achieved by determining the present value of the floating </w:t>
      </w:r>
      <w:r>
        <w:lastRenderedPageBreak/>
        <w:t xml:space="preserve">leg using the forecasted payments (using the LIBOR yield curve), and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C07EA6">
        <w:t>(</w:t>
      </w:r>
      <w:r w:rsidR="00C07EA6">
        <w:rPr>
          <w:noProof/>
        </w:rPr>
        <w:t>3</w:t>
      </w:r>
      <w:r w:rsidR="00C07EA6">
        <w:t>)</w:t>
      </w:r>
      <w:r>
        <w:fldChar w:fldCharType="end"/>
      </w:r>
      <w:r>
        <w:t xml:space="preserve"> such that the present values of both legs equal.</w:t>
      </w:r>
    </w:p>
    <w:p w14:paraId="06037FE9" w14:textId="165DDDA3" w:rsidR="00E33F8A" w:rsidRDefault="00E33F8A" w:rsidP="00076D05">
      <w:pPr>
        <w:pStyle w:val="Heading2"/>
      </w:pPr>
      <w:r>
        <w:t>Pricing with Counterparty Risk (Credit/Debit Valuation Adjustment)</w:t>
      </w:r>
    </w:p>
    <w:p w14:paraId="4F09D6B8" w14:textId="506E3F59" w:rsidR="00916B59" w:rsidRDefault="00916B59" w:rsidP="00F54200">
      <w:r>
        <w:t>The interest rate swap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These SDs and MSPs offer buy and sell 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2A62E7">
        <w:t xml:space="preserve">Figure </w:t>
      </w:r>
      <w:r w:rsidR="002A62E7">
        <w:rPr>
          <w:noProof/>
        </w:rPr>
        <w:t>2</w:t>
      </w:r>
      <w:r w:rsidR="002A62E7">
        <w:fldChar w:fldCharType="end"/>
      </w:r>
      <w:r w:rsidR="002A62E7">
        <w:t xml:space="preserve"> </w:t>
      </w:r>
      <w:r>
        <w:t>depicts a hypothetical network model of such a market.</w:t>
      </w:r>
    </w:p>
    <w:p w14:paraId="66879F21" w14:textId="48F1B09F" w:rsidR="009F16B5" w:rsidRDefault="009F16B5" w:rsidP="009F16B5">
      <w:pPr>
        <w:pStyle w:val="Caption"/>
        <w:keepNext/>
        <w:jc w:val="center"/>
      </w:pPr>
      <w:bookmarkStart w:id="7" w:name="_Ref169916362"/>
      <w:r>
        <w:t xml:space="preserve">Figure </w:t>
      </w:r>
      <w:r w:rsidR="003D15B5">
        <w:fldChar w:fldCharType="begin"/>
      </w:r>
      <w:r w:rsidR="003D15B5">
        <w:instrText xml:space="preserve"> SEQ Figure \* ARABIC </w:instrText>
      </w:r>
      <w:r w:rsidR="003D15B5">
        <w:fldChar w:fldCharType="separate"/>
      </w:r>
      <w:r w:rsidR="003D15B5">
        <w:rPr>
          <w:noProof/>
        </w:rPr>
        <w:t>2</w:t>
      </w:r>
      <w:r w:rsidR="003D15B5">
        <w:fldChar w:fldCharType="end"/>
      </w:r>
      <w:bookmarkEnd w:id="7"/>
      <w:r>
        <w:rPr>
          <w:noProof/>
        </w:rPr>
        <w:t xml:space="preserve"> </w:t>
      </w:r>
      <w:r w:rsidR="00C83A7E">
        <w:rPr>
          <w:noProof/>
        </w:rPr>
        <w:t>Dealer-based Market without Central Clearing</w:t>
      </w:r>
    </w:p>
    <w:p w14:paraId="4AC490BB" w14:textId="354D6FFE" w:rsidR="00565535" w:rsidRDefault="00565535" w:rsidP="00565535">
      <w:pPr>
        <w:ind w:firstLine="0"/>
        <w:jc w:val="center"/>
      </w:pPr>
      <w:r>
        <w:rPr>
          <w:noProof/>
          <w14:ligatures w14:val="standardContextual"/>
        </w:rPr>
        <w:drawing>
          <wp:inline distT="0" distB="0" distL="0" distR="0" wp14:anchorId="76CE2F3F" wp14:editId="59A16BF2">
            <wp:extent cx="1968500" cy="1841500"/>
            <wp:effectExtent l="0" t="0" r="0" b="0"/>
            <wp:docPr id="803224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4950" name="Picture 803224950"/>
                    <pic:cNvPicPr/>
                  </pic:nvPicPr>
                  <pic:blipFill>
                    <a:blip r:embed="rId14">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4FC00149" w14:textId="77777777" w:rsidR="00916B59" w:rsidRDefault="00916B59" w:rsidP="00916B59">
      <w:r>
        <w:t>In the figure, three dealers (D) each engage with their set of clients (C). Note that dealers might engage in interdealer trading (indicated by bi-directional arrows between dealers) and bulk futures markets trading (not shown) for cash flow or risk management purposes. Customers can trade with multiple dealers (indicated by arrows going from C to multiple Ds) or occasionally engage in bilateral trades (indicated by arrows going from C to C) amongst themselves. However, bilateral trades typically have low volume. It is believed that the dealer-centric network structure lowers search costs compared to a direct customer-to-customer market.</w:t>
      </w:r>
    </w:p>
    <w:p w14:paraId="13FE3227" w14:textId="77777777" w:rsidR="00916B59" w:rsidRDefault="00916B59" w:rsidP="00916B59">
      <w:r>
        <w:t xml:space="preserve">In practice, customers and dealers must account for the risk associated with counterparties defaulting. The "risk-free" present value pricing above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rsidTr="00496DC0">
        <w:tc>
          <w:tcPr>
            <w:tcW w:w="350" w:type="pct"/>
          </w:tcPr>
          <w:p w14:paraId="235C4BDB" w14:textId="77777777" w:rsidR="00916B59" w:rsidRDefault="00916B59" w:rsidP="00496DC0">
            <w:pPr>
              <w:ind w:firstLine="0"/>
            </w:pPr>
          </w:p>
        </w:tc>
        <w:tc>
          <w:tcPr>
            <w:tcW w:w="4300" w:type="pct"/>
          </w:tcPr>
          <w:p w14:paraId="26D6E095" w14:textId="77777777" w:rsidR="00916B59" w:rsidRPr="008652DB" w:rsidRDefault="00916B59" w:rsidP="00496DC0">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3DFD8AFE"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4</w:t>
            </w:r>
            <w:r>
              <w:fldChar w:fldCharType="end"/>
            </w:r>
            <w:r>
              <w:t>)</w:t>
            </w:r>
          </w:p>
        </w:tc>
      </w:tr>
    </w:tbl>
    <w:p w14:paraId="49847508" w14:textId="77777777" w:rsidR="00916B59" w:rsidRDefault="00916B59" w:rsidP="00916B59">
      <w:r>
        <w:lastRenderedPageBreak/>
        <w:t xml:space="preserve">The fixed rate payment </w:t>
      </w:r>
      <m:oMath>
        <m:r>
          <w:rPr>
            <w:rFonts w:ascii="Cambria Math" w:hAnsi="Cambria Math"/>
          </w:rPr>
          <m:t>CF</m:t>
        </m:r>
      </m:oMath>
      <w:r>
        <w:t xml:space="preserve"> needs to account for the modified PV of the floating leg. </w:t>
      </w:r>
    </w:p>
    <w:p w14:paraId="798A80B4" w14:textId="77777777"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his/her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1422082C"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667B32">
        <w:t xml:space="preserve">Figure </w:t>
      </w:r>
      <w:r w:rsidR="00667B32">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 and the CCP.</w:t>
      </w:r>
    </w:p>
    <w:p w14:paraId="7855E8D3" w14:textId="1738290B" w:rsidR="009F16B5" w:rsidRDefault="009F16B5" w:rsidP="009F16B5">
      <w:pPr>
        <w:pStyle w:val="Caption"/>
        <w:keepNext/>
        <w:jc w:val="center"/>
      </w:pPr>
      <w:bookmarkStart w:id="8" w:name="_Ref169916763"/>
      <w:r>
        <w:t xml:space="preserve">Figure </w:t>
      </w:r>
      <w:r w:rsidR="003D15B5">
        <w:fldChar w:fldCharType="begin"/>
      </w:r>
      <w:r w:rsidR="003D15B5">
        <w:instrText xml:space="preserve"> SEQ Figure \* ARABIC </w:instrText>
      </w:r>
      <w:r w:rsidR="003D15B5">
        <w:fldChar w:fldCharType="separate"/>
      </w:r>
      <w:r w:rsidR="003D15B5">
        <w:rPr>
          <w:noProof/>
        </w:rPr>
        <w:t>3</w:t>
      </w:r>
      <w:r w:rsidR="003D15B5">
        <w:fldChar w:fldCharType="end"/>
      </w:r>
      <w:bookmarkEnd w:id="8"/>
      <w:r>
        <w:rPr>
          <w:noProof/>
        </w:rPr>
        <w:t xml:space="preserve"> </w:t>
      </w:r>
      <w:r w:rsidR="00C83A7E">
        <w:rPr>
          <w:noProof/>
        </w:rPr>
        <w:t>Dealer-based Market with Central Clearing</w:t>
      </w:r>
    </w:p>
    <w:p w14:paraId="44E4C7E5" w14:textId="7323A251" w:rsidR="00565535" w:rsidRDefault="00565535" w:rsidP="00565535">
      <w:pPr>
        <w:ind w:firstLine="0"/>
        <w:jc w:val="center"/>
      </w:pPr>
      <w:r>
        <w:rPr>
          <w:noProof/>
          <w14:ligatures w14:val="standardContextual"/>
        </w:rPr>
        <w:drawing>
          <wp:inline distT="0" distB="0" distL="0" distR="0" wp14:anchorId="3916F4F0" wp14:editId="169F8548">
            <wp:extent cx="1968500" cy="1841500"/>
            <wp:effectExtent l="0" t="0" r="0" b="0"/>
            <wp:docPr id="554176499"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6499" name="Picture 6" descr="Sha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9" w:name="_Ref169917084"/>
      <w:r>
        <w:lastRenderedPageBreak/>
        <w:t>Model of Liquidity (Bid-Ask Spreads)</w:t>
      </w:r>
      <w:bookmarkEnd w:id="9"/>
    </w:p>
    <w:p w14:paraId="6ED39CE3" w14:textId="5A5E39CD" w:rsidR="00E162B2" w:rsidRPr="00E162B2" w:rsidRDefault="00E162B2" w:rsidP="00076D05">
      <w:pPr>
        <w:pStyle w:val="Heading3"/>
      </w:pPr>
      <w:r>
        <w:t>Liquidity with no Counterparty Risk</w:t>
      </w:r>
    </w:p>
    <w:p w14:paraId="5859E065" w14:textId="77777777" w:rsidR="00916B59"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The liquidity trader then decides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77777777"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77777777" w:rsidR="00916B59" w:rsidRDefault="00916B59" w:rsidP="00916B59">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this trader receives wealth:</w:t>
      </w:r>
    </w:p>
    <w:tbl>
      <w:tblPr>
        <w:tblW w:w="5000" w:type="pct"/>
        <w:tblLook w:val="04A0" w:firstRow="1" w:lastRow="0" w:firstColumn="1" w:lastColumn="0" w:noHBand="0" w:noVBand="1"/>
      </w:tblPr>
      <w:tblGrid>
        <w:gridCol w:w="655"/>
        <w:gridCol w:w="8050"/>
        <w:gridCol w:w="655"/>
      </w:tblGrid>
      <w:tr w:rsidR="00916B59" w14:paraId="33EEFB04" w14:textId="77777777" w:rsidTr="00496DC0">
        <w:tc>
          <w:tcPr>
            <w:tcW w:w="350" w:type="pct"/>
          </w:tcPr>
          <w:p w14:paraId="170FE4E0" w14:textId="77777777" w:rsidR="00916B59" w:rsidRDefault="00916B59" w:rsidP="00496DC0"/>
        </w:tc>
        <w:tc>
          <w:tcPr>
            <w:tcW w:w="4300" w:type="pct"/>
          </w:tcPr>
          <w:p w14:paraId="57CC25E3" w14:textId="77777777" w:rsidR="00916B59" w:rsidRPr="002D09A5" w:rsidRDefault="00916B59" w:rsidP="00496DC0">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1F93221C"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5</w:t>
            </w:r>
            <w:r>
              <w:fldChar w:fldCharType="end"/>
            </w:r>
            <w:r>
              <w:t>)</w:t>
            </w:r>
          </w:p>
        </w:tc>
      </w:tr>
    </w:tbl>
    <w:p w14:paraId="72208B23" w14:textId="77777777"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rsidTr="00496DC0">
        <w:tc>
          <w:tcPr>
            <w:tcW w:w="350" w:type="pct"/>
          </w:tcPr>
          <w:p w14:paraId="6586B0E1" w14:textId="77777777" w:rsidR="00916B59" w:rsidRDefault="00916B59" w:rsidP="00496DC0"/>
        </w:tc>
        <w:tc>
          <w:tcPr>
            <w:tcW w:w="4300" w:type="pct"/>
          </w:tcPr>
          <w:p w14:paraId="7B3C889E" w14:textId="77777777" w:rsidR="00916B59" w:rsidRPr="008652DB" w:rsidRDefault="00000000" w:rsidP="00496DC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0F23F46D"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6</w:t>
            </w:r>
            <w:r>
              <w:fldChar w:fldCharType="end"/>
            </w:r>
            <w:r>
              <w:t>)</w:t>
            </w:r>
          </w:p>
        </w:tc>
      </w:tr>
    </w:tbl>
    <w:p w14:paraId="7698D68C" w14:textId="77777777"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p>
    <w:p w14:paraId="606BB936" w14:textId="77777777" w:rsidR="00916B59" w:rsidRDefault="00916B59" w:rsidP="00916B59">
      <w:r>
        <w:t>If dealer 1 has the best price, s/he receives the order flow and has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rsidTr="00496DC0">
        <w:tc>
          <w:tcPr>
            <w:tcW w:w="350" w:type="pct"/>
          </w:tcPr>
          <w:p w14:paraId="1FAD2C4E" w14:textId="77777777" w:rsidR="00916B59" w:rsidRDefault="00916B59" w:rsidP="00496DC0"/>
        </w:tc>
        <w:tc>
          <w:tcPr>
            <w:tcW w:w="4300" w:type="pct"/>
          </w:tcPr>
          <w:p w14:paraId="51895E16" w14:textId="77777777" w:rsidR="00916B59" w:rsidRPr="008652DB" w:rsidRDefault="00916B59" w:rsidP="00496DC0">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174579E1"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7</w:t>
            </w:r>
            <w:r>
              <w:fldChar w:fldCharType="end"/>
            </w:r>
            <w:r>
              <w:t>)</w:t>
            </w:r>
          </w:p>
        </w:tc>
      </w:tr>
    </w:tbl>
    <w:p w14:paraId="2D4B6600" w14:textId="77777777"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his random inventory position (a number between </w:t>
      </w:r>
      <m:oMath>
        <m:r>
          <w:rPr>
            <w:rFonts w:ascii="Cambria Math" w:hAnsi="Cambria Math"/>
          </w:rPr>
          <m:t>[-R, R]</m:t>
        </m:r>
      </m:oMath>
      <w:r>
        <w:t>). If dealer 1 does not have the best price, s/he receives:</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rsidTr="00496DC0">
        <w:tc>
          <w:tcPr>
            <w:tcW w:w="350" w:type="pct"/>
          </w:tcPr>
          <w:p w14:paraId="38492002" w14:textId="77777777" w:rsidR="00916B59" w:rsidRDefault="00916B59" w:rsidP="00496DC0">
            <w:pPr>
              <w:ind w:firstLine="0"/>
            </w:pPr>
          </w:p>
        </w:tc>
        <w:tc>
          <w:tcPr>
            <w:tcW w:w="4300" w:type="pct"/>
          </w:tcPr>
          <w:p w14:paraId="685DB03C"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2A402CF9"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8</w:t>
            </w:r>
            <w:r>
              <w:fldChar w:fldCharType="end"/>
            </w:r>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rsidTr="00496DC0">
        <w:tc>
          <w:tcPr>
            <w:tcW w:w="350" w:type="pct"/>
          </w:tcPr>
          <w:p w14:paraId="0B2FEDFE" w14:textId="77777777" w:rsidR="00916B59" w:rsidRDefault="00916B59" w:rsidP="00496DC0">
            <w:pPr>
              <w:ind w:firstLine="0"/>
            </w:pPr>
          </w:p>
        </w:tc>
        <w:tc>
          <w:tcPr>
            <w:tcW w:w="4300" w:type="pct"/>
          </w:tcPr>
          <w:p w14:paraId="48C9CD04"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7FCA5FD6"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9</w:t>
            </w:r>
            <w:r>
              <w:fldChar w:fldCharType="end"/>
            </w:r>
            <w:r>
              <w:t>)</w:t>
            </w:r>
          </w:p>
        </w:tc>
      </w:tr>
    </w:tbl>
    <w:p w14:paraId="343AC0C5" w14:textId="77777777"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rsidTr="00496DC0">
        <w:tc>
          <w:tcPr>
            <w:tcW w:w="350" w:type="pct"/>
          </w:tcPr>
          <w:p w14:paraId="4D022775" w14:textId="77777777" w:rsidR="00916B59" w:rsidRDefault="00916B59" w:rsidP="00496DC0">
            <w:pPr>
              <w:ind w:firstLine="0"/>
            </w:pPr>
          </w:p>
        </w:tc>
        <w:tc>
          <w:tcPr>
            <w:tcW w:w="4300" w:type="pct"/>
          </w:tcPr>
          <w:p w14:paraId="66B0958C"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624F3822"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10</w:t>
            </w:r>
            <w:r>
              <w:fldChar w:fldCharType="end"/>
            </w:r>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rsidTr="00496DC0">
        <w:tc>
          <w:tcPr>
            <w:tcW w:w="350" w:type="pct"/>
          </w:tcPr>
          <w:p w14:paraId="2DC8628D" w14:textId="77777777" w:rsidR="00916B59" w:rsidRDefault="00916B59" w:rsidP="00496DC0">
            <w:pPr>
              <w:ind w:firstLine="0"/>
            </w:pPr>
          </w:p>
        </w:tc>
        <w:tc>
          <w:tcPr>
            <w:tcW w:w="4300" w:type="pct"/>
          </w:tcPr>
          <w:p w14:paraId="7B797969"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0CD88FB9"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11</w:t>
            </w:r>
            <w:r>
              <w:fldChar w:fldCharType="end"/>
            </w:r>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77777777" w:rsidR="00916B59" w:rsidRDefault="00916B59" w:rsidP="00916B59">
      <w:pPr>
        <w:rPr>
          <w:rFonts w:eastAsiaTheme="minorEastAsia"/>
        </w:rPr>
      </w:pPr>
      <w:r>
        <w:rPr>
          <w:rFonts w:eastAsiaTheme="minorEastAsia"/>
        </w:rPr>
        <w:t xml:space="preserve">I analyze the case of the optimal bid quote for dealer 1, </w:t>
      </w:r>
      <w:r>
        <w:t xml:space="preserve">assuming competing dealers do not observe the other’s inventory levels, but both assume that the others inventory is drawn uniformly from </w:t>
      </w:r>
      <m:oMath>
        <m:r>
          <w:rPr>
            <w:rFonts w:ascii="Cambria Math" w:hAnsi="Cambria Math"/>
          </w:rPr>
          <m:t>[-R,R]</m:t>
        </m:r>
      </m:oMath>
      <w:r>
        <w:rPr>
          <w:rFonts w:eastAsiaTheme="minorEastAsia"/>
        </w:rPr>
        <w:t>. By increasing his/her bid quote, a dealer increases his/her probability of winning the order flow but must balance this against the fact that s/he pays more for each unit acquired. S/He would not like to increase the quote beyond his/her reservation price. The optimal bid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rsidTr="00496DC0">
        <w:tc>
          <w:tcPr>
            <w:tcW w:w="350" w:type="pct"/>
          </w:tcPr>
          <w:p w14:paraId="6D6EFE6E" w14:textId="77777777" w:rsidR="00916B59" w:rsidRDefault="00916B59" w:rsidP="00496DC0">
            <w:pPr>
              <w:ind w:firstLine="0"/>
            </w:pPr>
          </w:p>
        </w:tc>
        <w:tc>
          <w:tcPr>
            <w:tcW w:w="4300" w:type="pct"/>
          </w:tcPr>
          <w:p w14:paraId="5623C562"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362961B0"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12</w:t>
            </w:r>
            <w:r>
              <w:fldChar w:fldCharType="end"/>
            </w:r>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rsidTr="00496DC0">
        <w:tc>
          <w:tcPr>
            <w:tcW w:w="350" w:type="pct"/>
          </w:tcPr>
          <w:p w14:paraId="3DE8E5DB" w14:textId="77777777" w:rsidR="00916B59" w:rsidRDefault="00916B59" w:rsidP="00496DC0">
            <w:pPr>
              <w:ind w:firstLine="0"/>
            </w:pPr>
          </w:p>
        </w:tc>
        <w:tc>
          <w:tcPr>
            <w:tcW w:w="4300" w:type="pct"/>
          </w:tcPr>
          <w:p w14:paraId="2AC6CADE"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6D7B9DBE"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13</w:t>
            </w:r>
            <w:r>
              <w:fldChar w:fldCharType="end"/>
            </w:r>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rsidTr="00496DC0">
        <w:tc>
          <w:tcPr>
            <w:tcW w:w="350" w:type="pct"/>
          </w:tcPr>
          <w:p w14:paraId="449A99E0" w14:textId="77777777" w:rsidR="00916B59" w:rsidRDefault="00916B59" w:rsidP="00496DC0">
            <w:pPr>
              <w:ind w:firstLine="0"/>
            </w:pPr>
          </w:p>
        </w:tc>
        <w:tc>
          <w:tcPr>
            <w:tcW w:w="4300" w:type="pct"/>
          </w:tcPr>
          <w:p w14:paraId="7A0E059B"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1AA059B2" w:rsidR="00916B59" w:rsidRDefault="00916B59" w:rsidP="00496DC0">
            <w:pPr>
              <w:pStyle w:val="Caption"/>
              <w:keepNext/>
              <w:jc w:val="right"/>
            </w:pPr>
            <w:bookmarkStart w:id="10" w:name="_Ref167364187"/>
            <w:r>
              <w:t>(</w:t>
            </w:r>
            <w:r>
              <w:fldChar w:fldCharType="begin"/>
            </w:r>
            <w:r>
              <w:instrText xml:space="preserve"> SEQ Equation \* ARABIC </w:instrText>
            </w:r>
            <w:r>
              <w:fldChar w:fldCharType="separate"/>
            </w:r>
            <w:r w:rsidR="00C07EA6">
              <w:rPr>
                <w:noProof/>
              </w:rPr>
              <w:t>14</w:t>
            </w:r>
            <w:r>
              <w:fldChar w:fldCharType="end"/>
            </w:r>
            <w:r>
              <w:t>)</w:t>
            </w:r>
            <w:bookmarkEnd w:id="10"/>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rsidTr="00496DC0">
        <w:tc>
          <w:tcPr>
            <w:tcW w:w="350" w:type="pct"/>
          </w:tcPr>
          <w:p w14:paraId="0F752F2C" w14:textId="77777777" w:rsidR="00916B59" w:rsidRDefault="00916B59" w:rsidP="00496DC0">
            <w:pPr>
              <w:ind w:firstLine="0"/>
            </w:pPr>
          </w:p>
        </w:tc>
        <w:tc>
          <w:tcPr>
            <w:tcW w:w="4300" w:type="pct"/>
          </w:tcPr>
          <w:p w14:paraId="1D9F5D30" w14:textId="77777777" w:rsidR="00916B59" w:rsidRPr="008652DB" w:rsidRDefault="00916B59" w:rsidP="00496DC0">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09735365"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15</w:t>
            </w:r>
            <w:r>
              <w:fldChar w:fldCharType="end"/>
            </w:r>
            <w:r>
              <w:t>)</w:t>
            </w:r>
          </w:p>
        </w:tc>
      </w:tr>
    </w:tbl>
    <w:p w14:paraId="1746F076" w14:textId="2ADE123B" w:rsidR="00916B59" w:rsidRDefault="00916B59" w:rsidP="00916B59">
      <w:r>
        <w:t xml:space="preserve">note: Under competition with many dealers, the second term on the RHS of the </w:t>
      </w:r>
      <w:r>
        <w:fldChar w:fldCharType="begin"/>
      </w:r>
      <w:r>
        <w:instrText xml:space="preserve"> REF _Ref167364187 \h </w:instrText>
      </w:r>
      <w:r>
        <w:fldChar w:fldCharType="separate"/>
      </w:r>
      <w:r w:rsidR="00C07EA6">
        <w:t>(</w:t>
      </w:r>
      <w:r w:rsidR="00C07EA6">
        <w:rPr>
          <w:noProof/>
        </w:rPr>
        <w:t>14</w:t>
      </w:r>
      <w:r w:rsidR="00C07EA6">
        <w:t>)</w:t>
      </w:r>
      <w:r>
        <w:fldChar w:fldCharType="end"/>
      </w:r>
      <w:r>
        <w:t xml:space="preserve">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t xml:space="preserve"> approaches </w:t>
      </w:r>
      <m:oMath>
        <m:r>
          <w:rPr>
            <w:rFonts w:ascii="Cambria Math" w:hAnsi="Cambria Math"/>
          </w:rPr>
          <m:t>0</m:t>
        </m:r>
      </m:oMath>
      <w:r>
        <w:t xml:space="preserve"> as </w:t>
      </w:r>
      <m:oMath>
        <m:r>
          <w:rPr>
            <w:rFonts w:ascii="Cambria Math" w:hAnsi="Cambria Math"/>
          </w:rPr>
          <m:t>N→∞</m:t>
        </m:r>
      </m:oMath>
      <w:r>
        <w:t>, and the bid ask quotes become the reservation quotes.</w:t>
      </w:r>
    </w:p>
    <w:p w14:paraId="0D30C13A" w14:textId="38E3D6DE" w:rsidR="00E162B2" w:rsidRDefault="00E162B2" w:rsidP="00076D05">
      <w:pPr>
        <w:pStyle w:val="Heading3"/>
      </w:pPr>
      <w:r>
        <w:t>Liquidity with Counterparty Risk</w:t>
      </w:r>
    </w:p>
    <w:p w14:paraId="5F4A2F99" w14:textId="77777777"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rsidTr="00496DC0">
        <w:tc>
          <w:tcPr>
            <w:tcW w:w="350" w:type="pct"/>
          </w:tcPr>
          <w:p w14:paraId="3C10E4E9" w14:textId="77777777" w:rsidR="00916B59" w:rsidRDefault="00916B59" w:rsidP="00496DC0">
            <w:pPr>
              <w:ind w:firstLine="0"/>
            </w:pPr>
          </w:p>
        </w:tc>
        <w:tc>
          <w:tcPr>
            <w:tcW w:w="4300" w:type="pct"/>
          </w:tcPr>
          <w:p w14:paraId="6F2AA0CC" w14:textId="77777777" w:rsidR="00916B59" w:rsidRPr="008652DB" w:rsidRDefault="00000000" w:rsidP="00496DC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614A2DD8"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16</w:t>
            </w:r>
            <w:r>
              <w:fldChar w:fldCharType="end"/>
            </w:r>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rsidTr="00496DC0">
        <w:tc>
          <w:tcPr>
            <w:tcW w:w="350" w:type="pct"/>
          </w:tcPr>
          <w:p w14:paraId="40F87BC8" w14:textId="77777777" w:rsidR="00916B59" w:rsidRDefault="00916B59" w:rsidP="00496DC0">
            <w:pPr>
              <w:ind w:firstLine="0"/>
            </w:pPr>
          </w:p>
        </w:tc>
        <w:tc>
          <w:tcPr>
            <w:tcW w:w="4300" w:type="pct"/>
          </w:tcPr>
          <w:p w14:paraId="17B1829F" w14:textId="77777777" w:rsidR="00916B59" w:rsidRPr="008652DB" w:rsidRDefault="00000000" w:rsidP="00496DC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14C2A6AF"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17</w:t>
            </w:r>
            <w:r>
              <w:fldChar w:fldCharType="end"/>
            </w:r>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rsidTr="00496DC0">
        <w:tc>
          <w:tcPr>
            <w:tcW w:w="350" w:type="pct"/>
          </w:tcPr>
          <w:p w14:paraId="1E25BEEB" w14:textId="77777777" w:rsidR="00916B59" w:rsidRDefault="00916B59" w:rsidP="00496DC0">
            <w:pPr>
              <w:ind w:firstLine="0"/>
            </w:pPr>
          </w:p>
        </w:tc>
        <w:tc>
          <w:tcPr>
            <w:tcW w:w="4300" w:type="pct"/>
          </w:tcPr>
          <w:p w14:paraId="291A072D"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7FFDA664"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18</w:t>
            </w:r>
            <w:r>
              <w:fldChar w:fldCharType="end"/>
            </w:r>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rsidTr="00496DC0">
        <w:tc>
          <w:tcPr>
            <w:tcW w:w="350" w:type="pct"/>
          </w:tcPr>
          <w:p w14:paraId="3543F2D2" w14:textId="77777777" w:rsidR="00916B59" w:rsidRDefault="00916B59" w:rsidP="00496DC0">
            <w:pPr>
              <w:ind w:firstLine="0"/>
            </w:pPr>
          </w:p>
        </w:tc>
        <w:tc>
          <w:tcPr>
            <w:tcW w:w="4300" w:type="pct"/>
          </w:tcPr>
          <w:p w14:paraId="0AC72C19"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2E30960E"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19</w:t>
            </w:r>
            <w:r>
              <w:fldChar w:fldCharType="end"/>
            </w:r>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rsidP="00496DC0">
            <w:pPr>
              <w:ind w:firstLine="0"/>
            </w:pPr>
          </w:p>
        </w:tc>
        <w:tc>
          <w:tcPr>
            <w:tcW w:w="4284" w:type="pct"/>
          </w:tcPr>
          <w:p w14:paraId="61E8ED93"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44EDC667"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20</w:t>
            </w:r>
            <w:r>
              <w:fldChar w:fldCharType="end"/>
            </w:r>
            <w:r>
              <w:t>)</w:t>
            </w:r>
          </w:p>
        </w:tc>
      </w:tr>
    </w:tbl>
    <w:p w14:paraId="520636F1" w14:textId="77777777" w:rsidR="00667B32" w:rsidRDefault="00667B32" w:rsidP="00667B32"/>
    <w:p w14:paraId="13A02477" w14:textId="77777777" w:rsidR="00667B32" w:rsidRPr="00667B32" w:rsidRDefault="00667B32" w:rsidP="00667B32"/>
    <w:p w14:paraId="6EBB401B" w14:textId="7522C5AB" w:rsidR="00E33F8A" w:rsidRDefault="00E33F8A" w:rsidP="00076D05">
      <w:pPr>
        <w:pStyle w:val="Heading2"/>
      </w:pPr>
      <w:r>
        <w:lastRenderedPageBreak/>
        <w:t>Model of Price Volatility</w:t>
      </w:r>
    </w:p>
    <w:p w14:paraId="331A1770" w14:textId="0D2C34C1" w:rsidR="00E33F8A" w:rsidRDefault="00E33F8A" w:rsidP="00076D05">
      <w:pPr>
        <w:pStyle w:val="Heading3"/>
      </w:pPr>
      <w:r>
        <w:t>Volatility without Counterparty Risk</w:t>
      </w:r>
    </w:p>
    <w:p w14:paraId="127A3FC0" w14:textId="375FBBFA"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rsidTr="00496DC0">
        <w:tc>
          <w:tcPr>
            <w:tcW w:w="350" w:type="pct"/>
          </w:tcPr>
          <w:p w14:paraId="76EC6E35" w14:textId="77777777" w:rsidR="00916B59" w:rsidRDefault="00916B59" w:rsidP="00496DC0">
            <w:pPr>
              <w:ind w:firstLine="0"/>
            </w:pPr>
          </w:p>
        </w:tc>
        <w:tc>
          <w:tcPr>
            <w:tcW w:w="4300" w:type="pct"/>
          </w:tcPr>
          <w:p w14:paraId="674CCFB4" w14:textId="77777777" w:rsidR="00916B59" w:rsidRPr="008652DB" w:rsidRDefault="00916B59" w:rsidP="00496DC0">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28355F69"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21</w:t>
            </w:r>
            <w:r>
              <w:fldChar w:fldCharType="end"/>
            </w:r>
            <w:r>
              <w:t>)</w:t>
            </w:r>
          </w:p>
        </w:tc>
      </w:tr>
    </w:tbl>
    <w:p w14:paraId="1B70D89C" w14:textId="77777777" w:rsidR="00916B59" w:rsidRDefault="00916B59" w:rsidP="00916B59">
      <w:r>
        <w:t>Market-makers adjust their next period price based on the current period’s observed order-flow: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rsidTr="00496DC0">
        <w:tc>
          <w:tcPr>
            <w:tcW w:w="350" w:type="pct"/>
          </w:tcPr>
          <w:p w14:paraId="5332A83F" w14:textId="77777777" w:rsidR="00916B59" w:rsidRDefault="00916B59" w:rsidP="00496DC0">
            <w:pPr>
              <w:ind w:firstLine="0"/>
            </w:pPr>
          </w:p>
        </w:tc>
        <w:tc>
          <w:tcPr>
            <w:tcW w:w="4300" w:type="pct"/>
          </w:tcPr>
          <w:p w14:paraId="596D4EFA" w14:textId="77777777" w:rsidR="00916B59" w:rsidRPr="008652DB" w:rsidRDefault="00000000" w:rsidP="00496DC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7F4113A7"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22</w:t>
            </w:r>
            <w:r>
              <w:fldChar w:fldCharType="end"/>
            </w:r>
            <w:r>
              <w:t>)</w:t>
            </w:r>
          </w:p>
        </w:tc>
      </w:tr>
    </w:tbl>
    <w:p w14:paraId="40577F18" w14:textId="77777777" w:rsidR="00916B59" w:rsidRDefault="00916B59" w:rsidP="00916B59">
      <w:pPr>
        <w:ind w:firstLine="0"/>
      </w:pPr>
      <w:r>
        <w:t xml:space="preserve">where: </w:t>
      </w:r>
      <m:oMath>
        <m:r>
          <w:rPr>
            <w:rFonts w:ascii="Cambria Math" w:hAnsi="Cambria Math"/>
          </w:rPr>
          <m:t>α</m:t>
        </m:r>
      </m:oMath>
      <w:r>
        <w:t xml:space="preserve"> is a parameter for the market-makers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rsidTr="00496DC0">
        <w:tc>
          <w:tcPr>
            <w:tcW w:w="350" w:type="pct"/>
          </w:tcPr>
          <w:p w14:paraId="40C511E1" w14:textId="77777777" w:rsidR="00916B59" w:rsidRDefault="00916B59" w:rsidP="00496DC0">
            <w:pPr>
              <w:ind w:firstLine="0"/>
            </w:pPr>
          </w:p>
        </w:tc>
        <w:tc>
          <w:tcPr>
            <w:tcW w:w="4300" w:type="pct"/>
          </w:tcPr>
          <w:p w14:paraId="634BB4AF" w14:textId="77777777" w:rsidR="00916B59" w:rsidRPr="008652DB" w:rsidRDefault="00916B59" w:rsidP="00496DC0">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7D1B11AE"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23</w:t>
            </w:r>
            <w:r>
              <w:fldChar w:fldCharType="end"/>
            </w:r>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rsidTr="00496DC0">
        <w:tc>
          <w:tcPr>
            <w:tcW w:w="350" w:type="pct"/>
          </w:tcPr>
          <w:p w14:paraId="324D945F" w14:textId="77777777" w:rsidR="00916B59" w:rsidRDefault="00916B59" w:rsidP="00496DC0">
            <w:pPr>
              <w:ind w:firstLine="0"/>
            </w:pPr>
          </w:p>
        </w:tc>
        <w:tc>
          <w:tcPr>
            <w:tcW w:w="4300" w:type="pct"/>
          </w:tcPr>
          <w:p w14:paraId="6541D04F" w14:textId="77777777" w:rsidR="00916B59" w:rsidRPr="008652DB" w:rsidRDefault="00916B59" w:rsidP="00496DC0">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6269C3A7"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24</w:t>
            </w:r>
            <w:r>
              <w:fldChar w:fldCharType="end"/>
            </w:r>
            <w:r>
              <w:t>)</w:t>
            </w:r>
          </w:p>
        </w:tc>
      </w:tr>
    </w:tbl>
    <w:p w14:paraId="3948D430" w14:textId="77777777"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77777777" w:rsidR="00916B59" w:rsidRDefault="00916B59" w:rsidP="00916B59">
      <w:r>
        <w:t>The expression for the price chance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rsidTr="00496DC0">
        <w:tc>
          <w:tcPr>
            <w:tcW w:w="350" w:type="pct"/>
          </w:tcPr>
          <w:p w14:paraId="55522CDC" w14:textId="77777777" w:rsidR="00916B59" w:rsidRDefault="00916B59" w:rsidP="00496DC0">
            <w:pPr>
              <w:ind w:firstLine="0"/>
            </w:pPr>
          </w:p>
        </w:tc>
        <w:tc>
          <w:tcPr>
            <w:tcW w:w="4300" w:type="pct"/>
          </w:tcPr>
          <w:p w14:paraId="4C8FE656" w14:textId="77777777" w:rsidR="00916B59" w:rsidRPr="008652DB" w:rsidRDefault="00916B59" w:rsidP="00496DC0">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47845918" w14:textId="4E66081C"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25</w:t>
            </w:r>
            <w:r>
              <w:fldChar w:fldCharType="end"/>
            </w:r>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rsidTr="00496DC0">
        <w:tc>
          <w:tcPr>
            <w:tcW w:w="350" w:type="pct"/>
          </w:tcPr>
          <w:p w14:paraId="5D78B0ED" w14:textId="77777777" w:rsidR="00916B59" w:rsidRDefault="00916B59" w:rsidP="00496DC0">
            <w:pPr>
              <w:ind w:firstLine="0"/>
            </w:pPr>
          </w:p>
        </w:tc>
        <w:tc>
          <w:tcPr>
            <w:tcW w:w="4300" w:type="pct"/>
          </w:tcPr>
          <w:p w14:paraId="7A285FD7" w14:textId="77777777" w:rsidR="00916B59" w:rsidRPr="008652DB" w:rsidRDefault="00916B59" w:rsidP="00496DC0">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79F1C2F2" w14:textId="421527D3"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26</w:t>
            </w:r>
            <w:r>
              <w:fldChar w:fldCharType="end"/>
            </w:r>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rsidTr="00496DC0">
        <w:tc>
          <w:tcPr>
            <w:tcW w:w="350" w:type="pct"/>
          </w:tcPr>
          <w:p w14:paraId="6709DA96" w14:textId="77777777" w:rsidR="00916B59" w:rsidRDefault="00916B59" w:rsidP="00496DC0">
            <w:pPr>
              <w:ind w:firstLine="0"/>
            </w:pPr>
          </w:p>
        </w:tc>
        <w:tc>
          <w:tcPr>
            <w:tcW w:w="4300" w:type="pct"/>
          </w:tcPr>
          <w:p w14:paraId="00138CEE" w14:textId="77777777" w:rsidR="00916B59" w:rsidRPr="008652DB" w:rsidRDefault="00916B59" w:rsidP="00496DC0">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75D911B9"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27</w:t>
            </w:r>
            <w:r>
              <w:fldChar w:fldCharType="end"/>
            </w:r>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rsidTr="00496DC0">
        <w:tc>
          <w:tcPr>
            <w:tcW w:w="350" w:type="pct"/>
          </w:tcPr>
          <w:p w14:paraId="41C715FF" w14:textId="77777777" w:rsidR="00916B59" w:rsidRDefault="00916B59" w:rsidP="00496DC0">
            <w:pPr>
              <w:ind w:firstLine="0"/>
            </w:pPr>
          </w:p>
        </w:tc>
        <w:tc>
          <w:tcPr>
            <w:tcW w:w="4300" w:type="pct"/>
          </w:tcPr>
          <w:p w14:paraId="0DA3A019" w14:textId="77777777" w:rsidR="00916B59" w:rsidRPr="008652DB" w:rsidRDefault="00916B59" w:rsidP="00496DC0">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tc>
        <w:tc>
          <w:tcPr>
            <w:tcW w:w="350" w:type="pct"/>
          </w:tcPr>
          <w:p w14:paraId="594184FF" w14:textId="706301F8"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28</w:t>
            </w:r>
            <w:r>
              <w:fldChar w:fldCharType="end"/>
            </w:r>
            <w:r>
              <w:t>)</w:t>
            </w:r>
          </w:p>
        </w:tc>
      </w:tr>
    </w:tbl>
    <w:p w14:paraId="7F6C53F0" w14:textId="77777777"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7D9CEEBD" w14:textId="517508E8" w:rsidR="00E162B2" w:rsidRDefault="00E162B2" w:rsidP="00076D05">
      <w:pPr>
        <w:pStyle w:val="Heading1"/>
      </w:pPr>
      <w:bookmarkStart w:id="11" w:name="_Ref169916041"/>
      <w:r>
        <w:t>Identification Strategy</w:t>
      </w:r>
      <w:bookmarkEnd w:id="11"/>
    </w:p>
    <w:p w14:paraId="6482980E" w14:textId="079AB0CC" w:rsidR="00E162B2" w:rsidRPr="00E162B2" w:rsidRDefault="00E162B2" w:rsidP="00076D05">
      <w:pPr>
        <w:pStyle w:val="Heading2"/>
      </w:pPr>
      <w:r>
        <w:t>Pricing</w:t>
      </w:r>
    </w:p>
    <w:p w14:paraId="095C4E16" w14:textId="00A0BD28" w:rsidR="00916B59" w:rsidRDefault="00916B59" w:rsidP="00916B59">
      <w:r>
        <w:t xml:space="preserve">I investigate the causal impact of the central clearing mandate on the interest rate swap prices by comparing the premium above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667B32">
        <w:t>2.1</w:t>
      </w:r>
      <w:r w:rsidR="00667B32">
        <w:fldChar w:fldCharType="end"/>
      </w:r>
      <w:r w:rsidR="00667B32">
        <w:t xml:space="preserve"> </w:t>
      </w:r>
      <w:r>
        <w:t>and the observed fixed rate on an actual contract) on USD denominated swaps versus the premium on CAD denominated swaps before and after the mandate. I employ a difference-in-differences (DiD) identification strategy, with the CAD denominated swaps acting as the control group, which allows me to plausibly isolate the causal effect of the mandate on the swap premiums by exploiting the variation in the timing of the policy implementation.</w:t>
      </w:r>
    </w:p>
    <w:p w14:paraId="352C5CF6" w14:textId="77777777" w:rsidR="00916B59" w:rsidRDefault="00916B59" w:rsidP="00916B59">
      <w:r>
        <w:t>I begin by selecting a sample of interest rate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77777777" w:rsidR="00916B59" w:rsidRDefault="00916B59" w:rsidP="00916B59">
      <w:r>
        <w:t>To estimate the causal effect of the central clearing mandate on swap premiums, I employ a DiD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rsidTr="00496DC0">
        <w:tc>
          <w:tcPr>
            <w:tcW w:w="350" w:type="pct"/>
          </w:tcPr>
          <w:p w14:paraId="00C69D2A" w14:textId="77777777" w:rsidR="00916B59" w:rsidRDefault="00916B59" w:rsidP="00496DC0">
            <w:pPr>
              <w:ind w:firstLine="0"/>
            </w:pPr>
          </w:p>
        </w:tc>
        <w:tc>
          <w:tcPr>
            <w:tcW w:w="4300" w:type="pct"/>
          </w:tcPr>
          <w:p w14:paraId="5E87FB39" w14:textId="77777777" w:rsidR="00916B59" w:rsidRPr="008652DB" w:rsidRDefault="00000000" w:rsidP="00496DC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3136B5E0"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29</w:t>
            </w:r>
            <w:r>
              <w:fldChar w:fldCharType="end"/>
            </w:r>
            <w:r>
              <w:t>)</w:t>
            </w:r>
          </w:p>
        </w:tc>
      </w:tr>
    </w:tbl>
    <w:p w14:paraId="33E0300A" w14:textId="77777777" w:rsidR="00916B59" w:rsidRDefault="00916B59" w:rsidP="00916B59">
      <w:pPr>
        <w:ind w:firstLine="0"/>
      </w:pPr>
      <w:r>
        <w:lastRenderedPageBreak/>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3A9FB0AC" w14:textId="6287D92A" w:rsidR="00916B59" w:rsidRDefault="00916B59" w:rsidP="00916B59">
      <w:r>
        <w:t xml:space="preserve">To ensure the validity of the identification strategy, I test the parallel trends assumption by visually inspecting the pre-treatment trends of swap premiums for both treatment and control groups and conducting placebo tests. Additionally, </w:t>
      </w:r>
      <w:r w:rsidR="00F66971">
        <w:t>I</w:t>
      </w:r>
      <w:r>
        <w:t xml:space="preserve"> us</w:t>
      </w:r>
      <w:r w:rsidR="00F66971">
        <w:t>e</w:t>
      </w:r>
      <w:r>
        <w:t xml:space="preserve"> alternative control and experimental groups</w:t>
      </w:r>
      <w:r w:rsidR="00F66971">
        <w:t xml:space="preserve"> to lend further support to my findings.</w:t>
      </w:r>
    </w:p>
    <w:p w14:paraId="1B498EF1" w14:textId="221F90AE" w:rsidR="00916B59" w:rsidRDefault="00916B59" w:rsidP="00916B59">
      <w:r>
        <w:t>I examin</w:t>
      </w:r>
      <w:r w:rsidR="00BA653F">
        <w:t>e</w:t>
      </w:r>
      <w:r>
        <w:t xml:space="preserve"> whether the parallel trends assumption holds by visually inspecting the swap rate (fixed rate of an 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667B32">
        <w:t xml:space="preserve">Figure </w:t>
      </w:r>
      <w:r w:rsidR="00667B32">
        <w:rPr>
          <w:noProof/>
        </w:rPr>
        <w:t>4</w:t>
      </w:r>
      <w:r w:rsidR="00667B32">
        <w:fldChar w:fldCharType="end"/>
      </w:r>
      <w:r>
        <w:t xml:space="preserve"> shows these trends for the periods described above. The swaps rates show a parallel trend prior to the implementation of the clearing mandate, with the Canadian swaps rate being higher than the US rate. This is likely due to differences in key policy rates between the US (lower Fed Funds target rate 0%) and Canada (key policy rate target 1%). There was no change to these policy rates in 2013.</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6"/>
          <w:pgSz w:w="12240" w:h="15840"/>
          <w:pgMar w:top="1440" w:right="1440" w:bottom="1440" w:left="1440" w:header="720" w:footer="720" w:gutter="0"/>
          <w:cols w:space="720"/>
          <w:docGrid w:linePitch="360"/>
        </w:sectPr>
      </w:pPr>
    </w:p>
    <w:p w14:paraId="655B9119" w14:textId="16750A03" w:rsidR="00C07EA6" w:rsidRDefault="00C07EA6" w:rsidP="009B3614">
      <w:pPr>
        <w:pStyle w:val="Caption"/>
        <w:keepNext/>
        <w:jc w:val="center"/>
      </w:pPr>
      <w:bookmarkStart w:id="12" w:name="_Ref169917013"/>
      <w:r>
        <w:lastRenderedPageBreak/>
        <w:t xml:space="preserve">Figure </w:t>
      </w:r>
      <w:r w:rsidR="003D15B5">
        <w:fldChar w:fldCharType="begin"/>
      </w:r>
      <w:r w:rsidR="003D15B5">
        <w:instrText xml:space="preserve"> SEQ Figure \* ARABIC </w:instrText>
      </w:r>
      <w:r w:rsidR="003D15B5">
        <w:fldChar w:fldCharType="separate"/>
      </w:r>
      <w:r w:rsidR="003D15B5">
        <w:rPr>
          <w:noProof/>
        </w:rPr>
        <w:t>4</w:t>
      </w:r>
      <w:r w:rsidR="003D15B5">
        <w:fldChar w:fldCharType="end"/>
      </w:r>
      <w:bookmarkEnd w:id="12"/>
      <w:r>
        <w:rPr>
          <w:noProof/>
        </w:rPr>
        <w:t xml:space="preserve"> Pre-trend for pricing</w:t>
      </w:r>
    </w:p>
    <w:bookmarkStart w:id="13" w:name="_MON_1780527892"/>
    <w:bookmarkEnd w:id="13"/>
    <w:p w14:paraId="6B1590F3" w14:textId="1B618E79" w:rsidR="00C07EA6" w:rsidRDefault="00612436" w:rsidP="00C07EA6">
      <w:pPr>
        <w:ind w:firstLine="0"/>
      </w:pPr>
      <w:r w:rsidRPr="00612436">
        <w:rPr>
          <w:noProof/>
          <w14:ligatures w14:val="standardContextual"/>
        </w:rPr>
        <w:object w:dxaOrig="13060" w:dyaOrig="8160" w14:anchorId="5FECB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652.9pt;height:408.25pt;mso-width-percent:0;mso-height-percent:0;mso-width-percent:0;mso-height-percent:0" o:ole="">
            <v:imagedata r:id="rId17" o:title=""/>
          </v:shape>
          <o:OLEObject Type="Embed" ProgID="Word.Document.12" ShapeID="_x0000_i1033" DrawAspect="Content" ObjectID="_1780665064" r:id="rId18">
            <o:FieldCodes>\s</o:FieldCodes>
          </o:OLEObject>
        </w:object>
      </w:r>
    </w:p>
    <w:p w14:paraId="71B5F9AB" w14:textId="6D380CC7" w:rsidR="00C07EA6" w:rsidRDefault="00C07EA6">
      <w:pPr>
        <w:spacing w:line="240" w:lineRule="auto"/>
        <w:ind w:firstLine="0"/>
        <w:jc w:val="left"/>
      </w:pPr>
      <w:r>
        <w:br w:type="page"/>
      </w:r>
    </w:p>
    <w:p w14:paraId="70F3F5C0" w14:textId="77777777" w:rsidR="00C07EA6" w:rsidRDefault="00C07EA6" w:rsidP="00C07EA6">
      <w:pPr>
        <w:ind w:firstLine="0"/>
        <w:sectPr w:rsidR="00C07EA6" w:rsidSect="00C07EA6">
          <w:pgSz w:w="15840" w:h="12226" w:orient="landscape"/>
          <w:pgMar w:top="1440" w:right="1440" w:bottom="1440" w:left="1440" w:header="720" w:footer="720" w:gutter="0"/>
          <w:cols w:space="720"/>
          <w:docGrid w:linePitch="360"/>
        </w:sectPr>
      </w:pPr>
    </w:p>
    <w:p w14:paraId="1A4F31A5" w14:textId="77777777" w:rsidR="00C07EA6" w:rsidRDefault="00C07EA6" w:rsidP="00C07EA6">
      <w:pPr>
        <w:ind w:firstLine="0"/>
      </w:pPr>
    </w:p>
    <w:p w14:paraId="601D9884" w14:textId="2843350B" w:rsidR="00E162B2" w:rsidRDefault="00E162B2" w:rsidP="00076D05">
      <w:pPr>
        <w:pStyle w:val="Heading2"/>
      </w:pPr>
      <w:r>
        <w:t>Liquidity</w:t>
      </w:r>
    </w:p>
    <w:p w14:paraId="48955599" w14:textId="77777777" w:rsidR="00916B59" w:rsidRDefault="00916B59" w:rsidP="00916B59">
      <w:r>
        <w:t xml:space="preserve">Liquidity is a broad concept defined as how easily one can convert financial assets to cash with minimal impact to prices.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difference-in-differences strategy to identify the impact of the central clearing mandate on liquidity, with CAD denominated contracts serving as the control group and USD denominated contracts serving as the treatment group. I use several measures of liquidity to capture the different notions discussed above.</w:t>
      </w:r>
    </w:p>
    <w:p w14:paraId="2401A341" w14:textId="5D38BAAA"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667B32">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rsidTr="00496DC0">
        <w:tc>
          <w:tcPr>
            <w:tcW w:w="350" w:type="pct"/>
          </w:tcPr>
          <w:p w14:paraId="6DE0B1D4" w14:textId="77777777" w:rsidR="00916B59" w:rsidRDefault="00916B59" w:rsidP="00496DC0">
            <w:pPr>
              <w:ind w:firstLine="0"/>
            </w:pPr>
          </w:p>
        </w:tc>
        <w:tc>
          <w:tcPr>
            <w:tcW w:w="4300" w:type="pct"/>
          </w:tcPr>
          <w:p w14:paraId="6012FB37" w14:textId="77777777" w:rsidR="00916B59" w:rsidRPr="008652DB" w:rsidRDefault="00916B59" w:rsidP="00496DC0">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1A0C3C77"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30</w:t>
            </w:r>
            <w:r>
              <w:fldChar w:fldCharType="end"/>
            </w:r>
            <w:r>
              <w:t>)</w:t>
            </w:r>
          </w:p>
        </w:tc>
      </w:tr>
    </w:tbl>
    <w:p w14:paraId="4C6C2872" w14:textId="13A6DE7C"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6C587022" w14:textId="77777777" w:rsidR="00916B59" w:rsidRDefault="00916B59" w:rsidP="00916B59">
      <w:r>
        <w:t>The bid-ask spread measure discussed above is “low frequency” and does not necessarily reflect the costs traders may face throughout the trading session. To estimate the intraday liquidity that traders may experience, I use two proxies common in the literature: the Roll measure and the Amihud Illiquidity (price impact) measure.</w:t>
      </w:r>
    </w:p>
    <w:p w14:paraId="17D2B693" w14:textId="77777777" w:rsidR="00916B59" w:rsidRDefault="00916B59" w:rsidP="00916B59">
      <w:r>
        <w:t xml:space="preserve">The first measure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rsidTr="00496DC0">
        <w:tc>
          <w:tcPr>
            <w:tcW w:w="350" w:type="pct"/>
          </w:tcPr>
          <w:p w14:paraId="09B2E060" w14:textId="77777777" w:rsidR="00916B59" w:rsidRDefault="00916B59" w:rsidP="00496DC0">
            <w:pPr>
              <w:ind w:firstLine="0"/>
            </w:pPr>
          </w:p>
        </w:tc>
        <w:tc>
          <w:tcPr>
            <w:tcW w:w="4300" w:type="pct"/>
          </w:tcPr>
          <w:p w14:paraId="2E56747B" w14:textId="77777777" w:rsidR="00916B59" w:rsidRPr="008652DB" w:rsidRDefault="00916B59" w:rsidP="00496DC0">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71FD6042"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31</w:t>
            </w:r>
            <w:r>
              <w:fldChar w:fldCharType="end"/>
            </w:r>
            <w:r>
              <w:t>)</w:t>
            </w:r>
          </w:p>
        </w:tc>
      </w:tr>
    </w:tbl>
    <w:p w14:paraId="3C0E064A" w14:textId="7B07CFB7" w:rsidR="00916B59" w:rsidRDefault="00916B59" w:rsidP="00916B59">
      <w:pPr>
        <w:ind w:firstLine="0"/>
      </w:pPr>
      <w:r>
        <w:lastRenderedPageBreak/>
        <w:t xml:space="preserve">where </w:t>
      </w:r>
      <m:oMath>
        <m:r>
          <m:rPr>
            <m:sty m:val="p"/>
          </m:rPr>
          <w:rPr>
            <w:rFonts w:ascii="Cambria Math" w:hAnsi="Cambria Math"/>
          </w:rPr>
          <m:t>Δ</m:t>
        </m:r>
        <m:r>
          <w:rPr>
            <w:rFonts w:ascii="Cambria Math" w:hAnsi="Cambria Math"/>
          </w:rPr>
          <m:t>p</m:t>
        </m:r>
      </m:oMath>
      <w:r>
        <w:t xml:space="preserve"> is the first-order serial covariance of price changes. </w:t>
      </w:r>
      <w:r w:rsidR="00F66971">
        <w:t xml:space="preserve">I group the contracts by tenor and calculate the Roll measure for each trade date. I focus the analysis on 2-year, 5-year and 10-year contracts (the most actively traded contacts). </w:t>
      </w:r>
      <w:r>
        <w:t>For some trading days and tenors, the quantity under the radical is negative. These observations are excluded from the dataset. I also exclude any days where the number of contracts traded is less than five.</w:t>
      </w:r>
    </w:p>
    <w:p w14:paraId="01141BF4" w14:textId="242BAD97"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liquidity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rsidTr="00496DC0">
        <w:tc>
          <w:tcPr>
            <w:tcW w:w="350" w:type="pct"/>
          </w:tcPr>
          <w:p w14:paraId="7B8115A9" w14:textId="77777777" w:rsidR="00916B59" w:rsidRDefault="00916B59" w:rsidP="00496DC0">
            <w:pPr>
              <w:ind w:firstLine="0"/>
            </w:pPr>
          </w:p>
        </w:tc>
        <w:tc>
          <w:tcPr>
            <w:tcW w:w="4300" w:type="pct"/>
          </w:tcPr>
          <w:p w14:paraId="2228F32D" w14:textId="77777777" w:rsidR="00916B59" w:rsidRPr="008652DB" w:rsidRDefault="00916B59" w:rsidP="00496DC0">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27C45F00"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32</w:t>
            </w:r>
            <w:r>
              <w:fldChar w:fldCharType="end"/>
            </w:r>
            <w:r>
              <w:t>)</w:t>
            </w:r>
          </w:p>
        </w:tc>
      </w:tr>
    </w:tbl>
    <w:p w14:paraId="5DDE49E6" w14:textId="329E78BF"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The Amihud liquidity measure, which normalizes inter-period price changes by the market size (volume) is a good measure of how much prices move, scaled by the trade size. I calculate the daily Amihud liquidity measure for US and Canadian two-year, five-year, and ten-year contracts</w:t>
      </w:r>
      <w:r w:rsidR="00FE68A6">
        <w:t xml:space="preserve"> for each trading date (calculating average daily returns </w:t>
      </w:r>
      <w:r w:rsidR="00444FE6">
        <w:t xml:space="preserve">using </w:t>
      </w:r>
      <w:r w:rsidR="00FE68A6">
        <w:t>price changes from trade to trade</w:t>
      </w:r>
      <w:r w:rsidR="00444FE6">
        <w:t xml:space="preserve"> within a day</w:t>
      </w:r>
      <w:r w:rsidR="005B2CFB">
        <w:t>. I use the total notional amount on a given day as the volume measure in the denominator</w:t>
      </w:r>
      <w:r w:rsidR="00FE68A6">
        <w:t>)</w:t>
      </w:r>
      <w:r>
        <w:t>.</w:t>
      </w:r>
    </w:p>
    <w:p w14:paraId="33C5D1D3" w14:textId="77777777" w:rsidR="00916B59" w:rsidRDefault="00916B59" w:rsidP="00916B59">
      <w:r>
        <w:t>For each liquidity measure discussed above, I run a simple difference-in-differences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rsidTr="00496DC0">
        <w:tc>
          <w:tcPr>
            <w:tcW w:w="350" w:type="pct"/>
          </w:tcPr>
          <w:p w14:paraId="470F5A41" w14:textId="77777777" w:rsidR="00916B59" w:rsidRDefault="00916B59" w:rsidP="00496DC0">
            <w:pPr>
              <w:ind w:firstLine="0"/>
            </w:pPr>
          </w:p>
        </w:tc>
        <w:tc>
          <w:tcPr>
            <w:tcW w:w="4300" w:type="pct"/>
          </w:tcPr>
          <w:p w14:paraId="330637D8"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2D8EA9CB"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33</w:t>
            </w:r>
            <w:r>
              <w:fldChar w:fldCharType="end"/>
            </w:r>
            <w:r>
              <w:t>)</w:t>
            </w:r>
          </w:p>
        </w:tc>
      </w:tr>
    </w:tbl>
    <w:p w14:paraId="323DAB38" w14:textId="77777777"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 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control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p>
    <w:p w14:paraId="02DE3EB1" w14:textId="0719E9B1" w:rsidR="00916B59" w:rsidRDefault="00916B59" w:rsidP="00916B59">
      <w:r>
        <w:t xml:space="preserve">For the identification strategy to be valid, the underlying variables must follow parallel trends if there was no intervention. I visually test this by plotting the time-series of the relative spread, Amihud measure, and the Roll measure for the twenty trading days before the period of the study. </w:t>
      </w:r>
      <w:r w:rsidR="00DD00F7">
        <w:fldChar w:fldCharType="begin"/>
      </w:r>
      <w:r w:rsidR="00DD00F7">
        <w:instrText xml:space="preserve"> REF _Ref169958555 \h </w:instrText>
      </w:r>
      <w:r w:rsidR="00DD00F7">
        <w:fldChar w:fldCharType="separate"/>
      </w:r>
      <w:r w:rsidR="00DD00F7">
        <w:t xml:space="preserve">Figure </w:t>
      </w:r>
      <w:r w:rsidR="00DD00F7">
        <w:rPr>
          <w:noProof/>
        </w:rPr>
        <w:t>5</w:t>
      </w:r>
      <w:r w:rsidR="00DD00F7">
        <w:fldChar w:fldCharType="end"/>
      </w:r>
      <w:r w:rsidR="00DD00F7">
        <w:t xml:space="preserve"> </w:t>
      </w:r>
      <w:r>
        <w:t xml:space="preserve">shows the path of the relative spread measure for 5-year contracts for the USD and CAD denominated markets (other </w:t>
      </w:r>
      <w:r w:rsidR="00F66971">
        <w:t xml:space="preserve">contract </w:t>
      </w:r>
      <w:r>
        <w:t xml:space="preserve">tenors show a similar trend). As in the case for the price </w:t>
      </w:r>
      <w:r>
        <w:lastRenderedPageBreak/>
        <w:t xml:space="preserve">premium, the </w:t>
      </w:r>
      <w:r w:rsidR="000623F9">
        <w:t>relative bid-ask spread measure</w:t>
      </w:r>
      <w:r>
        <w:t xml:space="preserve"> in the US and Canadian 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6B0CE0">
        <w:t xml:space="preserve">Figure </w:t>
      </w:r>
      <w:r w:rsidR="006B0CE0">
        <w:rPr>
          <w:noProof/>
        </w:rPr>
        <w:t>6</w:t>
      </w:r>
      <w:r w:rsidR="006B0CE0">
        <w:fldChar w:fldCharType="end"/>
      </w:r>
      <w:r w:rsidR="006B0CE0">
        <w:t xml:space="preserve"> </w:t>
      </w:r>
      <w:r>
        <w:t xml:space="preserve">shows the Roll measure </w:t>
      </w:r>
      <w:r w:rsidR="00FE68A6">
        <w:t xml:space="preserve">for the </w:t>
      </w:r>
      <w:r>
        <w:t xml:space="preserve">5-year USD and CAD interest rate swaps contracts (other tenors show similar trends). Note that due to the limitation discussed above,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6B0CE0">
        <w:t xml:space="preserve">Figure </w:t>
      </w:r>
      <w:r w:rsidR="006B0CE0">
        <w:rPr>
          <w:noProof/>
        </w:rPr>
        <w:t>7</w:t>
      </w:r>
      <w:r w:rsidR="006B0CE0">
        <w:fldChar w:fldCharType="end"/>
      </w:r>
      <w:r>
        <w:t xml:space="preserve"> shows the Amihud illiquidity measure for 5-year USD and CAD interest rate swaps contracts. As </w:t>
      </w:r>
      <w:r w:rsidR="002B0FB0">
        <w:t>expected,</w:t>
      </w:r>
      <w:r w:rsidR="00B2363A">
        <w:t xml:space="preserve"> </w:t>
      </w:r>
      <w:r w:rsidR="002B0FB0">
        <w:t>the Amihud measure is larger (indicating less liquidity) for the Canadian market, due to its smaller size. As is the case with the Roll measure, there 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6E8D6075" w14:textId="38479720" w:rsidR="00DD00F7" w:rsidRDefault="00DD00F7" w:rsidP="00DD00F7">
      <w:pPr>
        <w:pStyle w:val="Caption"/>
        <w:keepNext/>
        <w:jc w:val="center"/>
      </w:pPr>
      <w:bookmarkStart w:id="14" w:name="_Ref169958555"/>
      <w:r>
        <w:lastRenderedPageBreak/>
        <w:t xml:space="preserve">Figure </w:t>
      </w:r>
      <w:r w:rsidR="003D15B5">
        <w:fldChar w:fldCharType="begin"/>
      </w:r>
      <w:r w:rsidR="003D15B5">
        <w:instrText xml:space="preserve"> SEQ Figure \* ARABIC </w:instrText>
      </w:r>
      <w:r w:rsidR="003D15B5">
        <w:fldChar w:fldCharType="separate"/>
      </w:r>
      <w:r w:rsidR="003D15B5">
        <w:rPr>
          <w:noProof/>
        </w:rPr>
        <w:t>5</w:t>
      </w:r>
      <w:r w:rsidR="003D15B5">
        <w:fldChar w:fldCharType="end"/>
      </w:r>
      <w:bookmarkEnd w:id="14"/>
      <w:r>
        <w:rPr>
          <w:noProof/>
        </w:rPr>
        <w:t xml:space="preserve"> Relative Bid-Ask Spread </w:t>
      </w:r>
      <w:r w:rsidR="00302D61">
        <w:rPr>
          <w:noProof/>
        </w:rPr>
        <w:t>for five year contracts (</w:t>
      </w:r>
      <w:r>
        <w:rPr>
          <w:noProof/>
        </w:rPr>
        <w:t>Pre-Trend</w:t>
      </w:r>
      <w:r w:rsidR="00302D61">
        <w:rPr>
          <w:noProof/>
        </w:rPr>
        <w:t xml:space="preserve"> of ten trading days before study period)</w:t>
      </w:r>
    </w:p>
    <w:p w14:paraId="7FEC45A8" w14:textId="37AED1A1" w:rsidR="00DD00F7" w:rsidRDefault="00EA1936" w:rsidP="00DD00F7">
      <w:pPr>
        <w:spacing w:line="240" w:lineRule="auto"/>
        <w:ind w:firstLine="0"/>
        <w:jc w:val="center"/>
      </w:pPr>
      <w:r>
        <w:rPr>
          <w:noProof/>
          <w14:ligatures w14:val="standardContextual"/>
        </w:rPr>
        <w:drawing>
          <wp:inline distT="0" distB="0" distL="0" distR="0" wp14:anchorId="48ACCBFA" wp14:editId="7D1529DF">
            <wp:extent cx="4572000" cy="2286000"/>
            <wp:effectExtent l="0" t="0" r="12700" b="12700"/>
            <wp:docPr id="464590470" name="Chart 1">
              <a:extLst xmlns:a="http://schemas.openxmlformats.org/drawingml/2006/main">
                <a:ext uri="{FF2B5EF4-FFF2-40B4-BE49-F238E27FC236}">
                  <a16:creationId xmlns:a16="http://schemas.microsoft.com/office/drawing/2014/main" id="{A26D2135-623D-3C71-DF5D-9B720DE1E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C1CDC8" w14:textId="77777777" w:rsidR="00DD00F7" w:rsidRDefault="00DD00F7">
      <w:pPr>
        <w:spacing w:line="240" w:lineRule="auto"/>
        <w:ind w:firstLine="0"/>
        <w:jc w:val="left"/>
      </w:pPr>
    </w:p>
    <w:p w14:paraId="06032F58" w14:textId="56B15A2F" w:rsidR="00DD00F7" w:rsidRDefault="00EA1936" w:rsidP="00DD00F7">
      <w:pPr>
        <w:spacing w:line="240" w:lineRule="auto"/>
        <w:ind w:firstLine="0"/>
        <w:jc w:val="center"/>
      </w:pPr>
      <w:r>
        <w:rPr>
          <w:noProof/>
          <w14:ligatures w14:val="standardContextual"/>
        </w:rPr>
        <w:drawing>
          <wp:inline distT="0" distB="0" distL="0" distR="0" wp14:anchorId="6CDDA5F9" wp14:editId="18AF4723">
            <wp:extent cx="4572000" cy="2286000"/>
            <wp:effectExtent l="0" t="0" r="12700" b="12700"/>
            <wp:docPr id="36175893" name="Chart 1">
              <a:extLst xmlns:a="http://schemas.openxmlformats.org/drawingml/2006/main">
                <a:ext uri="{FF2B5EF4-FFF2-40B4-BE49-F238E27FC236}">
                  <a16:creationId xmlns:a16="http://schemas.microsoft.com/office/drawing/2014/main" id="{73F47DA9-AC8F-3540-BF20-EEB1230C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0BD4A50" w14:textId="77777777" w:rsidR="00DD00F7" w:rsidRDefault="00DD00F7">
      <w:pPr>
        <w:spacing w:line="240" w:lineRule="auto"/>
        <w:ind w:firstLine="0"/>
        <w:jc w:val="left"/>
      </w:pPr>
    </w:p>
    <w:p w14:paraId="78FFB655" w14:textId="77777777" w:rsidR="00EA1936" w:rsidRDefault="00EA1936" w:rsidP="00DD00F7">
      <w:pPr>
        <w:spacing w:line="240" w:lineRule="auto"/>
        <w:ind w:firstLine="0"/>
        <w:jc w:val="center"/>
      </w:pPr>
      <w:r>
        <w:rPr>
          <w:noProof/>
          <w14:ligatures w14:val="standardContextual"/>
        </w:rPr>
        <w:drawing>
          <wp:inline distT="0" distB="0" distL="0" distR="0" wp14:anchorId="44485D4D" wp14:editId="4A3DA4B3">
            <wp:extent cx="4572000" cy="2286000"/>
            <wp:effectExtent l="0" t="0" r="12700" b="12700"/>
            <wp:docPr id="1987385011" name="Chart 1">
              <a:extLst xmlns:a="http://schemas.openxmlformats.org/drawingml/2006/main">
                <a:ext uri="{FF2B5EF4-FFF2-40B4-BE49-F238E27FC236}">
                  <a16:creationId xmlns:a16="http://schemas.microsoft.com/office/drawing/2014/main" id="{7D08FD5E-5AC0-7E46-9483-667A90C4B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4E40D0" w14:textId="77777777" w:rsidR="00EA1936" w:rsidRDefault="00EA1936">
      <w:pPr>
        <w:spacing w:line="240" w:lineRule="auto"/>
        <w:ind w:firstLine="0"/>
        <w:jc w:val="left"/>
      </w:pPr>
      <w:r>
        <w:br w:type="page"/>
      </w:r>
    </w:p>
    <w:p w14:paraId="212C82FB" w14:textId="54CFCB3D" w:rsidR="006B0CE0" w:rsidRDefault="006B0CE0" w:rsidP="006B0CE0">
      <w:pPr>
        <w:pStyle w:val="Caption"/>
        <w:keepNext/>
        <w:jc w:val="center"/>
      </w:pPr>
      <w:bookmarkStart w:id="15" w:name="_Ref169960502"/>
      <w:r>
        <w:lastRenderedPageBreak/>
        <w:t xml:space="preserve">Figure </w:t>
      </w:r>
      <w:r w:rsidR="003D15B5">
        <w:fldChar w:fldCharType="begin"/>
      </w:r>
      <w:r w:rsidR="003D15B5">
        <w:instrText xml:space="preserve"> SEQ Figure \* ARABIC </w:instrText>
      </w:r>
      <w:r w:rsidR="003D15B5">
        <w:fldChar w:fldCharType="separate"/>
      </w:r>
      <w:r w:rsidR="003D15B5">
        <w:rPr>
          <w:noProof/>
        </w:rPr>
        <w:t>6</w:t>
      </w:r>
      <w:r w:rsidR="003D15B5">
        <w:fldChar w:fldCharType="end"/>
      </w:r>
      <w:bookmarkEnd w:id="15"/>
      <w:r>
        <w:rPr>
          <w:noProof/>
        </w:rPr>
        <w:t xml:space="preserve"> Roll Measure Pre-Trend</w:t>
      </w:r>
    </w:p>
    <w:p w14:paraId="06CFF015" w14:textId="77777777" w:rsidR="00EA1936" w:rsidRDefault="00EA1936" w:rsidP="00DD00F7">
      <w:pPr>
        <w:spacing w:line="240" w:lineRule="auto"/>
        <w:ind w:firstLine="0"/>
        <w:jc w:val="center"/>
      </w:pPr>
      <w:r>
        <w:rPr>
          <w:noProof/>
          <w14:ligatures w14:val="standardContextual"/>
        </w:rPr>
        <w:drawing>
          <wp:inline distT="0" distB="0" distL="0" distR="0" wp14:anchorId="09B37A1E" wp14:editId="7FC606BA">
            <wp:extent cx="4572000" cy="2286000"/>
            <wp:effectExtent l="0" t="0" r="12700" b="12700"/>
            <wp:docPr id="804603648" name="Chart 1">
              <a:extLst xmlns:a="http://schemas.openxmlformats.org/drawingml/2006/main">
                <a:ext uri="{FF2B5EF4-FFF2-40B4-BE49-F238E27FC236}">
                  <a16:creationId xmlns:a16="http://schemas.microsoft.com/office/drawing/2014/main" id="{1A8BDDC3-8E8D-8073-C374-F708218423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85C5865" w14:textId="77777777" w:rsidR="00EA1936" w:rsidRDefault="00EA1936" w:rsidP="00DD00F7">
      <w:pPr>
        <w:spacing w:line="240" w:lineRule="auto"/>
        <w:ind w:firstLine="0"/>
        <w:jc w:val="center"/>
      </w:pPr>
    </w:p>
    <w:p w14:paraId="449A50D8" w14:textId="77777777" w:rsidR="00EA1936" w:rsidRDefault="00EA1936" w:rsidP="00DD00F7">
      <w:pPr>
        <w:spacing w:line="240" w:lineRule="auto"/>
        <w:ind w:firstLine="0"/>
        <w:jc w:val="center"/>
      </w:pPr>
      <w:r>
        <w:rPr>
          <w:noProof/>
          <w14:ligatures w14:val="standardContextual"/>
        </w:rPr>
        <w:drawing>
          <wp:inline distT="0" distB="0" distL="0" distR="0" wp14:anchorId="7ED62563" wp14:editId="3FDF56A6">
            <wp:extent cx="4572000" cy="2286000"/>
            <wp:effectExtent l="0" t="0" r="12700" b="12700"/>
            <wp:docPr id="834391968" name="Chart 1">
              <a:extLst xmlns:a="http://schemas.openxmlformats.org/drawingml/2006/main">
                <a:ext uri="{FF2B5EF4-FFF2-40B4-BE49-F238E27FC236}">
                  <a16:creationId xmlns:a16="http://schemas.microsoft.com/office/drawing/2014/main" id="{CB506F10-FF78-E243-967E-F7B3643689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D9E32E3" w14:textId="77777777" w:rsidR="00EA1936" w:rsidRDefault="00EA1936" w:rsidP="00DD00F7">
      <w:pPr>
        <w:spacing w:line="240" w:lineRule="auto"/>
        <w:ind w:firstLine="0"/>
        <w:jc w:val="center"/>
      </w:pPr>
    </w:p>
    <w:p w14:paraId="7A1AF404" w14:textId="59ADA01B" w:rsidR="00B2363A" w:rsidRDefault="00EA1936" w:rsidP="00DD00F7">
      <w:pPr>
        <w:spacing w:line="240" w:lineRule="auto"/>
        <w:ind w:firstLine="0"/>
        <w:jc w:val="center"/>
      </w:pPr>
      <w:r>
        <w:rPr>
          <w:noProof/>
          <w14:ligatures w14:val="standardContextual"/>
        </w:rPr>
        <w:drawing>
          <wp:inline distT="0" distB="0" distL="0" distR="0" wp14:anchorId="74E4093E" wp14:editId="390DCFB4">
            <wp:extent cx="4572000" cy="2286000"/>
            <wp:effectExtent l="0" t="0" r="12700" b="12700"/>
            <wp:docPr id="759152400" name="Chart 1">
              <a:extLst xmlns:a="http://schemas.openxmlformats.org/drawingml/2006/main">
                <a:ext uri="{FF2B5EF4-FFF2-40B4-BE49-F238E27FC236}">
                  <a16:creationId xmlns:a16="http://schemas.microsoft.com/office/drawing/2014/main" id="{CAB76878-9CF3-564D-B228-8A36595EE2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B2363A">
        <w:br w:type="page"/>
      </w:r>
    </w:p>
    <w:p w14:paraId="13B67E63" w14:textId="521E6F40" w:rsidR="00302D61" w:rsidRDefault="00302D61" w:rsidP="00302D61">
      <w:pPr>
        <w:pStyle w:val="Caption"/>
        <w:keepNext/>
        <w:jc w:val="center"/>
      </w:pPr>
      <w:bookmarkStart w:id="16" w:name="_Ref169960521"/>
      <w:r>
        <w:lastRenderedPageBreak/>
        <w:t xml:space="preserve">Figure </w:t>
      </w:r>
      <w:r w:rsidR="003D15B5">
        <w:fldChar w:fldCharType="begin"/>
      </w:r>
      <w:r w:rsidR="003D15B5">
        <w:instrText xml:space="preserve"> SEQ Figure \* ARABIC </w:instrText>
      </w:r>
      <w:r w:rsidR="003D15B5">
        <w:fldChar w:fldCharType="separate"/>
      </w:r>
      <w:r w:rsidR="003D15B5">
        <w:rPr>
          <w:noProof/>
        </w:rPr>
        <w:t>7</w:t>
      </w:r>
      <w:r w:rsidR="003D15B5">
        <w:fldChar w:fldCharType="end"/>
      </w:r>
      <w:bookmarkEnd w:id="16"/>
      <w:r>
        <w:rPr>
          <w:noProof/>
        </w:rPr>
        <w:t xml:space="preserve"> Amihud Measure Pre-Trend</w:t>
      </w:r>
    </w:p>
    <w:p w14:paraId="34F1F347" w14:textId="77777777" w:rsidR="000E35F2" w:rsidRDefault="000E35F2" w:rsidP="000E35F2">
      <w:pPr>
        <w:spacing w:line="240" w:lineRule="auto"/>
        <w:ind w:firstLine="0"/>
        <w:jc w:val="center"/>
      </w:pPr>
      <w:r>
        <w:rPr>
          <w:noProof/>
          <w14:ligatures w14:val="standardContextual"/>
        </w:rPr>
        <w:drawing>
          <wp:inline distT="0" distB="0" distL="0" distR="0" wp14:anchorId="32EFAEDB" wp14:editId="779990DA">
            <wp:extent cx="4572000" cy="2286000"/>
            <wp:effectExtent l="0" t="0" r="12700" b="12700"/>
            <wp:docPr id="1724235789" name="Chart 1">
              <a:extLst xmlns:a="http://schemas.openxmlformats.org/drawingml/2006/main">
                <a:ext uri="{FF2B5EF4-FFF2-40B4-BE49-F238E27FC236}">
                  <a16:creationId xmlns:a16="http://schemas.microsoft.com/office/drawing/2014/main" id="{5D8FAB7B-922D-D813-48FD-35E33DD686A5}"/>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F7D624E" w14:textId="77777777" w:rsidR="000E35F2" w:rsidRDefault="000E35F2">
      <w:pPr>
        <w:spacing w:line="240" w:lineRule="auto"/>
        <w:ind w:firstLine="0"/>
        <w:jc w:val="left"/>
      </w:pPr>
    </w:p>
    <w:p w14:paraId="06F162D9" w14:textId="77777777" w:rsidR="000E35F2" w:rsidRDefault="000E35F2" w:rsidP="000E35F2">
      <w:pPr>
        <w:spacing w:line="240" w:lineRule="auto"/>
        <w:ind w:firstLine="0"/>
        <w:jc w:val="center"/>
      </w:pPr>
      <w:r>
        <w:rPr>
          <w:noProof/>
          <w14:ligatures w14:val="standardContextual"/>
        </w:rPr>
        <w:drawing>
          <wp:inline distT="0" distB="0" distL="0" distR="0" wp14:anchorId="131583FB" wp14:editId="168A2725">
            <wp:extent cx="4572000" cy="2286000"/>
            <wp:effectExtent l="0" t="0" r="12700" b="12700"/>
            <wp:docPr id="117206050" name="Chart 1">
              <a:extLst xmlns:a="http://schemas.openxmlformats.org/drawingml/2006/main">
                <a:ext uri="{FF2B5EF4-FFF2-40B4-BE49-F238E27FC236}">
                  <a16:creationId xmlns:a16="http://schemas.microsoft.com/office/drawing/2014/main" id="{38B0B054-4FA2-B440-A759-F6BB32FBDEEC}"/>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A119736" w14:textId="77777777" w:rsidR="000E35F2" w:rsidRDefault="000E35F2">
      <w:pPr>
        <w:spacing w:line="240" w:lineRule="auto"/>
        <w:ind w:firstLine="0"/>
        <w:jc w:val="left"/>
      </w:pPr>
    </w:p>
    <w:p w14:paraId="45EEDE35" w14:textId="7EB47013" w:rsidR="000E35F2" w:rsidRDefault="000E35F2" w:rsidP="000E35F2">
      <w:pPr>
        <w:spacing w:line="240" w:lineRule="auto"/>
        <w:ind w:firstLine="0"/>
        <w:jc w:val="center"/>
      </w:pPr>
      <w:r>
        <w:rPr>
          <w:noProof/>
          <w14:ligatures w14:val="standardContextual"/>
        </w:rPr>
        <w:drawing>
          <wp:inline distT="0" distB="0" distL="0" distR="0" wp14:anchorId="6B3C7FBC" wp14:editId="72FFCEBE">
            <wp:extent cx="4572000" cy="2743200"/>
            <wp:effectExtent l="0" t="0" r="12700" b="12700"/>
            <wp:docPr id="1555061999" name="Chart 1">
              <a:extLst xmlns:a="http://schemas.openxmlformats.org/drawingml/2006/main">
                <a:ext uri="{FF2B5EF4-FFF2-40B4-BE49-F238E27FC236}">
                  <a16:creationId xmlns:a16="http://schemas.microsoft.com/office/drawing/2014/main" id="{C5FAB29B-3230-1D4E-8C05-B80FCFC32A4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77777777" w:rsidR="00916B59" w:rsidRDefault="00916B59" w:rsidP="00916B59">
      <w:r>
        <w:t xml:space="preserve">As is common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rsidTr="00496DC0">
        <w:tc>
          <w:tcPr>
            <w:tcW w:w="350" w:type="pct"/>
          </w:tcPr>
          <w:p w14:paraId="426DF2B8" w14:textId="77777777" w:rsidR="00916B59" w:rsidRDefault="00916B59" w:rsidP="00496DC0">
            <w:pPr>
              <w:ind w:firstLine="0"/>
            </w:pPr>
          </w:p>
        </w:tc>
        <w:tc>
          <w:tcPr>
            <w:tcW w:w="4300" w:type="pct"/>
          </w:tcPr>
          <w:p w14:paraId="0F055D6E"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4141BD81"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34</w:t>
            </w:r>
            <w:r>
              <w:fldChar w:fldCharType="end"/>
            </w:r>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rsidTr="00496DC0">
        <w:tc>
          <w:tcPr>
            <w:tcW w:w="350" w:type="pct"/>
          </w:tcPr>
          <w:p w14:paraId="737C33C7" w14:textId="77777777" w:rsidR="00916B59" w:rsidRDefault="00916B59" w:rsidP="00496DC0">
            <w:pPr>
              <w:ind w:firstLine="0"/>
            </w:pPr>
          </w:p>
        </w:tc>
        <w:tc>
          <w:tcPr>
            <w:tcW w:w="4300" w:type="pct"/>
          </w:tcPr>
          <w:p w14:paraId="7EDB3E98" w14:textId="77777777" w:rsidR="00916B59" w:rsidRPr="008652DB" w:rsidRDefault="00916B59" w:rsidP="00496DC0">
            <w:pPr>
              <w:ind w:firstLine="0"/>
            </w:pPr>
            <m:oMathPara>
              <m:oMathParaPr>
                <m:jc m:val="center"/>
              </m:oMathParaPr>
              <m:oMath>
                <m:r>
                  <w:rPr>
                    <w:rFonts w:ascii="Cambria Math" w:hAnsi="Cambria Math"/>
                  </w:rPr>
                  <m:t>RV= ∑</m:t>
                </m:r>
                <m:sSup>
                  <m:sSupPr>
                    <m:ctrlPr>
                      <w:rPr>
                        <w:rFonts w:ascii="Cambria Math" w:hAnsi="Cambria Math"/>
                        <w:i/>
                      </w:rPr>
                    </m:ctrlPr>
                  </m:sSupPr>
                  <m:e>
                    <m:f>
                      <m:fPr>
                        <m:ctrlPr>
                          <w:rPr>
                            <w:rFonts w:ascii="Cambria Math" w:hAnsi="Cambria Math"/>
                            <w:i/>
                          </w:rPr>
                        </m:ctrlPr>
                      </m:fPr>
                      <m:num>
                        <m:r>
                          <w:rPr>
                            <w:rFonts w:ascii="Cambria Math" w:hAnsi="Cambria Math"/>
                          </w:rPr>
                          <m:t>252</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735C7D06"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35</w:t>
            </w:r>
            <w:r>
              <w:fldChar w:fldCharType="end"/>
            </w:r>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77777777" w:rsidR="00916B59" w:rsidRDefault="00916B59" w:rsidP="00916B59">
      <w:r>
        <w:t>For each trading day, I select contracts with “whole number tenor years” between 1 and 10 years (that is, I exclude contracts that are “partial years” such as 18-, 21- and 30-month contracts), as well as 15- and 30-year contracts. For the Canadian market, these are the most actively traded contracts. Calculating volatility requires several observations of each tenor for each trading day. I group contracts by currency, tenor, and trading day (I exclude the Memorial Day and Labor Day holidays as too few contracts are traded on those days to calculate realized volatility). The filtered dataset captures 90% of Canadian contracts traded during the period of the study, and I can calculate volatility of several tenors for each trading day</w:t>
      </w:r>
      <w:r>
        <w:rPr>
          <w:rStyle w:val="FootnoteReference"/>
        </w:rPr>
        <w:footnoteReference w:id="3"/>
      </w:r>
      <w:r>
        <w:t>. However, for several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58 trading days (one for each currency, for each tenor between 1 and 10 years, 15 years, and 30 years). However, since no Canadian contract of a particular tenor is traded on certain dates, I end up with 914 observations in my data set.</w:t>
      </w:r>
    </w:p>
    <w:p w14:paraId="735D905E" w14:textId="77777777" w:rsidR="00916B59" w:rsidRDefault="00916B59" w:rsidP="00916B59">
      <w:r>
        <w:t>Like liquidity and pricing calculations, I classify each observation as either in the control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rsidTr="00496DC0">
        <w:tc>
          <w:tcPr>
            <w:tcW w:w="350" w:type="pct"/>
          </w:tcPr>
          <w:p w14:paraId="67785591" w14:textId="77777777" w:rsidR="00916B59" w:rsidRDefault="00916B59" w:rsidP="00496DC0">
            <w:pPr>
              <w:ind w:firstLine="0"/>
            </w:pPr>
          </w:p>
        </w:tc>
        <w:tc>
          <w:tcPr>
            <w:tcW w:w="4300" w:type="pct"/>
          </w:tcPr>
          <w:p w14:paraId="0E77796A" w14:textId="77777777" w:rsidR="00916B59" w:rsidRPr="008652DB" w:rsidRDefault="00916B59" w:rsidP="00496DC0">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87993E7" w14:textId="56B5950F"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36</w:t>
            </w:r>
            <w:r>
              <w:fldChar w:fldCharType="end"/>
            </w:r>
            <w:r>
              <w:t>)</w:t>
            </w:r>
          </w:p>
        </w:tc>
      </w:tr>
    </w:tbl>
    <w:p w14:paraId="299DF1B9" w14:textId="27E8DFEE"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variance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p>
    <w:p w14:paraId="2B4F1AA7" w14:textId="59D945E6" w:rsidR="00916B59" w:rsidRDefault="00916B59" w:rsidP="00916B59">
      <w:r>
        <w:t>As with the other difference-in-differences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3D15B5">
        <w:t xml:space="preserve">Figure </w:t>
      </w:r>
      <w:r w:rsidR="003D15B5">
        <w:rPr>
          <w:noProof/>
        </w:rPr>
        <w:t>8</w:t>
      </w:r>
      <w:r w:rsidR="003D15B5">
        <w:fldChar w:fldCharType="end"/>
      </w:r>
      <w:r>
        <w:t>) of the realized volatility measure for the 2-year, 5-year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17C811F4" w:rsidR="003D15B5" w:rsidRDefault="003D15B5" w:rsidP="003D15B5">
      <w:pPr>
        <w:pStyle w:val="Caption"/>
        <w:keepNext/>
        <w:jc w:val="center"/>
      </w:pPr>
      <w:bookmarkStart w:id="17" w:name="_Ref170051212"/>
      <w:r>
        <w:lastRenderedPageBreak/>
        <w:t xml:space="preserve">Figure </w:t>
      </w:r>
      <w:r>
        <w:fldChar w:fldCharType="begin"/>
      </w:r>
      <w:r>
        <w:instrText xml:space="preserve"> SEQ Figure \* ARABIC </w:instrText>
      </w:r>
      <w:r>
        <w:fldChar w:fldCharType="separate"/>
      </w:r>
      <w:r>
        <w:rPr>
          <w:noProof/>
        </w:rPr>
        <w:t>8</w:t>
      </w:r>
      <w:r>
        <w:fldChar w:fldCharType="end"/>
      </w:r>
      <w:bookmarkEnd w:id="17"/>
      <w:r>
        <w:rPr>
          <w:noProof/>
        </w:rPr>
        <w:t xml:space="preserve"> Realized Volatility Pre-Trend</w:t>
      </w:r>
    </w:p>
    <w:p w14:paraId="4C5CFF85" w14:textId="24A04E48" w:rsidR="009A4CC2" w:rsidRDefault="003D15B5" w:rsidP="009A4CC2">
      <w:pPr>
        <w:spacing w:line="240" w:lineRule="auto"/>
        <w:ind w:firstLine="0"/>
        <w:jc w:val="left"/>
      </w:pPr>
      <w:r>
        <w:fldChar w:fldCharType="begin"/>
      </w:r>
      <w:r>
        <w:instrText xml:space="preserve"> INCLUDEPICTURE "https://external-content.duckduckgo.com/iu/?u=https%3A%2F%2Fstatic.vecteezy.com%2Fsystem%2Fresources%2Fpreviews%2F016%2F916%2F479%2Foriginal%2Fplaceholder-icon-design-free-vector.jpg&amp;f=1&amp;nofb=1&amp;ipt=1ece4835ae766fdc88b69954568d1eb82300d921e01f91bac77db8500a0dd2da&amp;ipo=images" \* MERGEFORMATINET </w:instrText>
      </w:r>
      <w:r>
        <w:fldChar w:fldCharType="separate"/>
      </w:r>
      <w:r>
        <w:rPr>
          <w:noProof/>
        </w:rPr>
        <w:drawing>
          <wp:inline distT="0" distB="0" distL="0" distR="0" wp14:anchorId="37EB21DF" wp14:editId="0A2C71B0">
            <wp:extent cx="5934710" cy="4472940"/>
            <wp:effectExtent l="0" t="0" r="0" b="0"/>
            <wp:docPr id="1845343630" name="Picture 1" descr="Placeholder Vector Icon Design 16916479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ceholder Vector Icon Design 16916479 Vector Art at Vecteez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710" cy="4472940"/>
                    </a:xfrm>
                    <a:prstGeom prst="rect">
                      <a:avLst/>
                    </a:prstGeom>
                    <a:noFill/>
                    <a:ln>
                      <a:noFill/>
                    </a:ln>
                  </pic:spPr>
                </pic:pic>
              </a:graphicData>
            </a:graphic>
          </wp:inline>
        </w:drawing>
      </w:r>
      <w:r>
        <w:fldChar w:fldCharType="end"/>
      </w:r>
      <w:r w:rsidR="009A4CC2">
        <w:br w:type="page"/>
      </w:r>
    </w:p>
    <w:p w14:paraId="7EF2838E" w14:textId="0C99C40C" w:rsidR="00E162B2" w:rsidRPr="00F05299" w:rsidRDefault="00E162B2" w:rsidP="00076D05">
      <w:pPr>
        <w:pStyle w:val="Heading1"/>
      </w:pPr>
      <w:bookmarkStart w:id="18" w:name="_Ref169916057"/>
      <w:r>
        <w:lastRenderedPageBreak/>
        <w:t>Data</w:t>
      </w:r>
      <w:bookmarkEnd w:id="18"/>
    </w:p>
    <w:p w14:paraId="53B82FDF" w14:textId="77777777" w:rsidR="00916B59" w:rsidRDefault="00916B59" w:rsidP="00916B59">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unless exempted</w:t>
      </w:r>
      <w:r>
        <w:t>, for example if the swap user is a non-financial entity that uses swaps to hedge commercial risk)</w:t>
      </w:r>
      <w:r w:rsidRPr="00935E65">
        <w:t xml:space="preserve">. </w:t>
      </w:r>
      <w:r>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including no dual currencies, no conditional notional amount and no optionality. </w:t>
      </w:r>
      <w:r w:rsidRPr="00935E65">
        <w:t xml:space="preserve">The IR swaps covered by the mandate were the largest </w:t>
      </w:r>
      <w:r>
        <w:t>categories</w:t>
      </w:r>
      <w:r w:rsidRPr="00935E65">
        <w:t xml:space="preserve"> by volume.</w:t>
      </w:r>
    </w:p>
    <w:p w14:paraId="5C114DE2" w14:textId="77777777" w:rsidR="00916B59" w:rsidRDefault="00916B59" w:rsidP="00916B59">
      <w:pPr>
        <w:rPr>
          <w:color w:val="000000" w:themeColor="text1"/>
        </w:rPr>
      </w:pPr>
      <w:r>
        <w:t xml:space="preserve">I </w:t>
      </w:r>
      <w:r w:rsidRPr="0004387C">
        <w:t xml:space="preserve">compare prices, price volatility, and </w:t>
      </w:r>
      <w:r>
        <w:t xml:space="preserve">liquidity </w:t>
      </w:r>
      <w:r w:rsidRPr="0004387C">
        <w:t xml:space="preserve">before </w:t>
      </w:r>
      <w:r>
        <w:t xml:space="preserve">in each of the three phases, comparing </w:t>
      </w:r>
      <w:r w:rsidRPr="0004387C">
        <w:t xml:space="preserve">USD and CAD denominated swaps – the largest regulated and unregulated markets, respectively. To minimize the impact of interest rate policy and other macroeconomic variables, I analyze </w:t>
      </w:r>
      <w:r>
        <w:t xml:space="preserve">a small </w:t>
      </w:r>
      <w:r w:rsidRPr="0004387C">
        <w:t>ten-day</w:t>
      </w:r>
      <w:r>
        <w:t xml:space="preserve"> </w:t>
      </w:r>
      <w:r w:rsidRPr="0004387C">
        <w:t xml:space="preserve">trading </w:t>
      </w:r>
      <w:r>
        <w:t xml:space="preserve">window </w:t>
      </w:r>
      <w:r w:rsidRPr="0004387C">
        <w:t>before (Feb 25 – Mar 8</w:t>
      </w:r>
      <w:r>
        <w:t>, May 27 – Jun 7 and Aug 26 – Sep 6</w:t>
      </w:r>
      <w:r w:rsidRPr="0004387C">
        <w:t>) and after (Mar 11 – Mar 22</w:t>
      </w:r>
      <w:r>
        <w:t>, Jun 10 – Jun 21 and Sep 9 – Sep 20</w:t>
      </w:r>
      <w:r w:rsidRPr="0004387C">
        <w:t>) the regulation's effective date</w:t>
      </w:r>
      <w:r>
        <w:t xml:space="preserve"> in each phase</w:t>
      </w:r>
      <w:r w:rsidRPr="0004387C">
        <w:t>.</w:t>
      </w:r>
      <w:r>
        <w:t xml:space="preserve"> The data are reported by the Depository Trust and Clearing Corporation Swaps Data Repository (DTCC SDR) and obtained using the SDR screen of the Bloomberg terminal. For the main part of the dissertation, I restrict my dataset to observations where the premium is within ±50 bps of the Bloomberg reported price of a swap with similar characteristics. Swaps that have a much higher premia are likely to have unseen characteristics (such as early termination clauses, conditional notional amounts, etc.) that are not observable in the dataset. In an appendix, I show that my results are robust to including these outliers.]</w:t>
      </w:r>
    </w:p>
    <w:p w14:paraId="1EE5C912" w14:textId="21AD2335" w:rsidR="00916B59" w:rsidRPr="00655B55" w:rsidRDefault="00916B59" w:rsidP="00916B59">
      <w:r>
        <w:t>Note that before the regulation is passed, (voluntary) clearing in USD-denominated swaps is a little less than 61%. After phase 1 implementation, clearing increases to around 78%. After phase 2 implementation, clearing jumps to 89% and remains at that level after phase 3. The CAD-</w:t>
      </w:r>
      <w:r>
        <w:lastRenderedPageBreak/>
        <w:t xml:space="preserve">denominated market is much smaller (both in number of trades, and notional value). Clearing in Canadian IR swaps hovers around 48% prior to Phase 1. It reaches a high of around 56% in phase 2 and diminishes back to 48% after phase 3. </w:t>
      </w:r>
      <w:r w:rsidR="003D15B5">
        <w:t>C</w:t>
      </w:r>
      <w:r>
        <w:t xml:space="preserve">learing </w:t>
      </w:r>
      <w:r w:rsidR="003D15B5">
        <w:t xml:space="preserve">for </w:t>
      </w:r>
      <w:r>
        <w:t>CAD denominated swaps is voluntary.</w:t>
      </w:r>
    </w:p>
    <w:p w14:paraId="705F7594" w14:textId="77777777" w:rsidR="00916B59" w:rsidRDefault="00916B59" w:rsidP="00916B59">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1B5B0D36" w14:textId="192E97E5" w:rsidR="00D50F5D" w:rsidRDefault="00916B59" w:rsidP="00916B59">
      <w:r w:rsidRPr="0004387C">
        <w:t xml:space="preserve">I use the QuantLib-python library to construct </w:t>
      </w:r>
      <w:r>
        <w:t xml:space="preserve">the forward </w:t>
      </w:r>
      <w:r w:rsidRPr="0004387C">
        <w:t>curve.</w:t>
      </w:r>
      <w:r>
        <w:t xml:space="preserve"> For the USD swaps curve, the short-end (3M or less) of the curve is anchored by LIBOR rates; the medium-end (6M – 18M) of the curve is anchored by Eurodollar futures; and the long-end (24M onward) of the curve is anchored by US swap rates.</w:t>
      </w:r>
    </w:p>
    <w:p w14:paraId="061C6238" w14:textId="73B9085E" w:rsidR="00916B59" w:rsidRPr="0004387C" w:rsidRDefault="00667B32" w:rsidP="00916B59">
      <w:r>
        <w:fldChar w:fldCharType="begin"/>
      </w:r>
      <w:r>
        <w:instrText xml:space="preserve"> REF _Ref169917152 \h </w:instrText>
      </w:r>
      <w:r>
        <w:fldChar w:fldCharType="separate"/>
      </w:r>
      <w:r>
        <w:t xml:space="preserve">Table </w:t>
      </w:r>
      <w:r>
        <w:rPr>
          <w:noProof/>
        </w:rPr>
        <w:t>3</w:t>
      </w:r>
      <w:r>
        <w:fldChar w:fldCharType="end"/>
      </w:r>
      <w:r>
        <w:t xml:space="preserve"> </w:t>
      </w:r>
      <w:r w:rsidR="00916B59">
        <w:t>shows sample data for CAD and USD yield curves on September 11, 2013. Note that futures rates need to have a convexity adjustment applied since futures payoffs differ from payoffs for other instruments. The values reported in the table have this convexity adjustment applied. Values between the “pillars” (data points) of the yield curve need to be interpolated. I use piecewise linear interpolation. I verify the curve by pricing contracts using my constructed curve and comparing against calculations by Bloomberg SWPM function. I can match the output of SWPM up to 4 decimal places.</w:t>
      </w:r>
    </w:p>
    <w:p w14:paraId="09F0B26C" w14:textId="7B3B099A" w:rsidR="00916B59" w:rsidRDefault="00916B59" w:rsidP="00916B59">
      <w:r w:rsidRPr="0004387C">
        <w:t xml:space="preserve">The </w:t>
      </w:r>
      <w:r>
        <w:t xml:space="preserve">contract characteristics 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t xml:space="preserve">certain </w:t>
      </w:r>
      <w:r w:rsidRPr="0004387C">
        <w:t>swaps that make a single payment at maturity (i.e., payment frequency is 1T</w:t>
      </w:r>
      <w:r>
        <w:t>), which should actually be classified as an FRA</w:t>
      </w:r>
      <w:r w:rsidRPr="0004387C">
        <w:t xml:space="preserve">. </w:t>
      </w:r>
      <w:r w:rsidR="00667B32">
        <w:fldChar w:fldCharType="begin"/>
      </w:r>
      <w:r w:rsidR="00667B32">
        <w:instrText xml:space="preserve"> REF _Ref169917203 \h </w:instrText>
      </w:r>
      <w:r w:rsidR="00667B32">
        <w:fldChar w:fldCharType="separate"/>
      </w:r>
      <w:r w:rsidR="00E76811">
        <w:t xml:space="preserve">Table </w:t>
      </w:r>
      <w:r w:rsidR="00E76811">
        <w:rPr>
          <w:noProof/>
        </w:rPr>
        <w:t>4</w:t>
      </w:r>
      <w:r w:rsidR="00667B32">
        <w:fldChar w:fldCharType="end"/>
      </w:r>
      <w:r w:rsidR="00667B32">
        <w:t xml:space="preserve"> </w:t>
      </w:r>
      <w:r>
        <w:t xml:space="preserve"> </w:t>
      </w:r>
      <w:r w:rsidRPr="0004387C">
        <w:t>shows the notional value and number of trades captured in my data</w:t>
      </w:r>
      <w:r>
        <w:t>, by clearing status and reference floating leg rate</w:t>
      </w:r>
      <w:r w:rsidRPr="0004387C">
        <w:t>.</w:t>
      </w:r>
    </w:p>
    <w:p w14:paraId="71F995EC" w14:textId="61B05DB7" w:rsidR="00916B59" w:rsidRDefault="00667B32" w:rsidP="00916B59">
      <w:r>
        <w:fldChar w:fldCharType="begin"/>
      </w:r>
      <w:r>
        <w:instrText xml:space="preserve"> REF _Ref169917219 \h </w:instrText>
      </w:r>
      <w:r>
        <w:fldChar w:fldCharType="separate"/>
      </w:r>
      <w:r w:rsidR="00E76811">
        <w:t xml:space="preserve">Table </w:t>
      </w:r>
      <w:r w:rsidR="00E76811">
        <w:rPr>
          <w:noProof/>
        </w:rPr>
        <w:t>5</w:t>
      </w:r>
      <w:r>
        <w:fldChar w:fldCharType="end"/>
      </w:r>
      <w:r>
        <w:t xml:space="preserve"> </w:t>
      </w:r>
      <w:r w:rsidR="00916B59">
        <w:t xml:space="preserve">shows summary statistics of the control variables used in the regression. Only contracts using LIBOR as the floating reference leg are included. Additionally, contracts that were </w:t>
      </w:r>
      <w:r w:rsidR="00916B59">
        <w:lastRenderedPageBreak/>
        <w:t xml:space="preserve">“voluntarily cleared” prior to the mandate or “exempt from clearing” after the mandate are excluded. The leftmost column (unfiltered dataset) shows the statistics from this dataset. For the main part of the paper, I further filter this data to swaps whose fixed rate is within 50 bps of the Bloomberg calculated fixed rate.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w:t>
      </w:r>
      <w:proofErr w:type="gramStart"/>
      <w:r w:rsidR="00916B59">
        <w:t>2013</w:t>
      </w:r>
      <w:proofErr w:type="gramEnd"/>
      <w:r w:rsidR="00916B59">
        <w:t xml:space="preserve"> was Memorial Day and Monday, September 2, 2013 was Labor Day). I split the trading day into 4 sessions (corresponding roughly to the trading times on the NYSE) based on the reported trade time: 8:00 AM – 10:59 AM (Morning), 11:00 – 1:59 PM (Mid-Day), 2:00 PM – 4:59 PM (Afternoon) and 5:00 PM – 7:59 AM (After Hours). The mid-day trading session was most active. About 16% of contracts were traded during the off-hour trading session. The median notional value of the contract was $50M (with a range between $1,000 and $260M). The median tenor was about 7 years (with a range between 2 months and 43 years).</w:t>
      </w:r>
    </w:p>
    <w:p w14:paraId="53EA5868" w14:textId="77777777" w:rsidR="00916B59" w:rsidRDefault="00916B59" w:rsidP="00916B59">
      <w:r>
        <w:t>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fair rate). When receiving the fixed rate (and paying the floating leg), the dealer is likely to require a premium over the fair price. When paying the fixed rate, the dealer is likely to pay a discount below the fair price. I am also unable to observe 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contract.</w:t>
      </w:r>
    </w:p>
    <w:p w14:paraId="6E0C0361" w14:textId="06DB561E" w:rsidR="00565535" w:rsidRDefault="00565535">
      <w:pPr>
        <w:spacing w:line="240" w:lineRule="auto"/>
        <w:ind w:firstLine="0"/>
        <w:jc w:val="left"/>
      </w:pPr>
      <w:r>
        <w:br w:type="page"/>
      </w:r>
    </w:p>
    <w:p w14:paraId="480952B0" w14:textId="319259B2" w:rsidR="009F16B5" w:rsidRDefault="009F16B5" w:rsidP="009F16B5">
      <w:pPr>
        <w:pStyle w:val="Caption"/>
        <w:keepNext/>
      </w:pPr>
      <w:bookmarkStart w:id="19" w:name="_Ref169917152"/>
      <w:r>
        <w:lastRenderedPageBreak/>
        <w:t xml:space="preserve">Table </w:t>
      </w:r>
      <w:r>
        <w:fldChar w:fldCharType="begin"/>
      </w:r>
      <w:r>
        <w:instrText xml:space="preserve"> SEQ Table \* ARABIC </w:instrText>
      </w:r>
      <w:r>
        <w:fldChar w:fldCharType="separate"/>
      </w:r>
      <w:r w:rsidR="00930217">
        <w:rPr>
          <w:noProof/>
        </w:rPr>
        <w:t>3</w:t>
      </w:r>
      <w:r>
        <w:fldChar w:fldCharType="end"/>
      </w:r>
      <w:bookmarkEnd w:id="19"/>
      <w:r>
        <w:rPr>
          <w:noProof/>
        </w:rPr>
        <w:t xml:space="preserve"> </w:t>
      </w:r>
      <w:r w:rsidR="00C83A7E">
        <w:rPr>
          <w:noProof/>
        </w:rPr>
        <w:t>Sample data for USD and CAD yield curves</w:t>
      </w:r>
    </w:p>
    <w:tbl>
      <w:tblPr>
        <w:tblStyle w:val="PlainTable2"/>
        <w:tblW w:w="8411" w:type="dxa"/>
        <w:tblLook w:val="06A0" w:firstRow="1" w:lastRow="0" w:firstColumn="1" w:lastColumn="0" w:noHBand="1" w:noVBand="1"/>
      </w:tblPr>
      <w:tblGrid>
        <w:gridCol w:w="1100"/>
        <w:gridCol w:w="2151"/>
        <w:gridCol w:w="1720"/>
        <w:gridCol w:w="1720"/>
        <w:gridCol w:w="1720"/>
      </w:tblGrid>
      <w:tr w:rsidR="00565535" w:rsidRPr="001D0E7E" w14:paraId="19CD71DF"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06F3CA0" w14:textId="77777777" w:rsidR="00565535" w:rsidRPr="001D0E7E" w:rsidRDefault="00565535" w:rsidP="00597E0D">
            <w:pPr>
              <w:spacing w:line="240" w:lineRule="auto"/>
              <w:ind w:firstLine="0"/>
              <w:jc w:val="left"/>
              <w:rPr>
                <w:rFonts w:ascii="Calibri" w:eastAsia="Times New Roman" w:hAnsi="Calibri" w:cs="Calibri"/>
                <w:b w:val="0"/>
                <w:bCs w:val="0"/>
              </w:rPr>
            </w:pPr>
            <w:r>
              <w:rPr>
                <w:rFonts w:ascii="Calibri" w:eastAsia="Times New Roman" w:hAnsi="Calibri" w:cs="Calibri"/>
              </w:rPr>
              <w:t>Period</w:t>
            </w:r>
          </w:p>
        </w:tc>
        <w:tc>
          <w:tcPr>
            <w:tcW w:w="2151" w:type="dxa"/>
            <w:noWrap/>
            <w:hideMark/>
          </w:tcPr>
          <w:p w14:paraId="3675933B"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1720" w:type="dxa"/>
            <w:noWrap/>
            <w:hideMark/>
          </w:tcPr>
          <w:p w14:paraId="579E0564"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1720" w:type="dxa"/>
            <w:noWrap/>
            <w:hideMark/>
          </w:tcPr>
          <w:p w14:paraId="6441A7B1"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p>
        </w:tc>
        <w:tc>
          <w:tcPr>
            <w:tcW w:w="1720" w:type="dxa"/>
            <w:noWrap/>
            <w:hideMark/>
          </w:tcPr>
          <w:p w14:paraId="45CB0D63"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Date Last Updated</w:t>
            </w:r>
          </w:p>
        </w:tc>
      </w:tr>
      <w:tr w:rsidR="00565535" w:rsidRPr="001D0E7E" w14:paraId="5DDE77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99648D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2151" w:type="dxa"/>
            <w:noWrap/>
            <w:hideMark/>
          </w:tcPr>
          <w:p w14:paraId="1575F96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1720" w:type="dxa"/>
            <w:noWrap/>
            <w:hideMark/>
          </w:tcPr>
          <w:p w14:paraId="69ED202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1720" w:type="dxa"/>
            <w:noWrap/>
            <w:hideMark/>
          </w:tcPr>
          <w:p w14:paraId="48F78C8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BD6E3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2E217D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A8A140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2151" w:type="dxa"/>
            <w:noWrap/>
            <w:hideMark/>
          </w:tcPr>
          <w:p w14:paraId="5E2E1B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1720" w:type="dxa"/>
            <w:noWrap/>
            <w:hideMark/>
          </w:tcPr>
          <w:p w14:paraId="29E276CA"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1720" w:type="dxa"/>
            <w:noWrap/>
            <w:hideMark/>
          </w:tcPr>
          <w:p w14:paraId="6FF3E3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A5B128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CBD8E4"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BA3EE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2151" w:type="dxa"/>
            <w:noWrap/>
            <w:hideMark/>
          </w:tcPr>
          <w:p w14:paraId="320BA7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1720" w:type="dxa"/>
            <w:noWrap/>
            <w:hideMark/>
          </w:tcPr>
          <w:p w14:paraId="041AC28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1720" w:type="dxa"/>
            <w:noWrap/>
            <w:hideMark/>
          </w:tcPr>
          <w:p w14:paraId="11A5447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C40E63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3C3D1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74C7CAC"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2151" w:type="dxa"/>
            <w:noWrap/>
            <w:hideMark/>
          </w:tcPr>
          <w:p w14:paraId="6C577DC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1720" w:type="dxa"/>
            <w:noWrap/>
            <w:hideMark/>
          </w:tcPr>
          <w:p w14:paraId="7381AE2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1720" w:type="dxa"/>
            <w:noWrap/>
            <w:hideMark/>
          </w:tcPr>
          <w:p w14:paraId="5102430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ED1C3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7516BC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1FFDF0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2151" w:type="dxa"/>
            <w:noWrap/>
            <w:hideMark/>
          </w:tcPr>
          <w:p w14:paraId="201C54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1720" w:type="dxa"/>
            <w:noWrap/>
            <w:hideMark/>
          </w:tcPr>
          <w:p w14:paraId="79CF8E3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1720" w:type="dxa"/>
            <w:noWrap/>
            <w:hideMark/>
          </w:tcPr>
          <w:p w14:paraId="2A90BF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E052B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DAA12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9A0E49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2151" w:type="dxa"/>
            <w:noWrap/>
            <w:hideMark/>
          </w:tcPr>
          <w:p w14:paraId="7C6E8EA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1720" w:type="dxa"/>
            <w:noWrap/>
            <w:hideMark/>
          </w:tcPr>
          <w:p w14:paraId="3864A5E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1720" w:type="dxa"/>
            <w:noWrap/>
            <w:hideMark/>
          </w:tcPr>
          <w:p w14:paraId="083CFF4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719623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78F7317"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64B9E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2151" w:type="dxa"/>
            <w:noWrap/>
            <w:hideMark/>
          </w:tcPr>
          <w:p w14:paraId="443C5B8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1720" w:type="dxa"/>
            <w:noWrap/>
            <w:hideMark/>
          </w:tcPr>
          <w:p w14:paraId="5A906C5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1720" w:type="dxa"/>
            <w:noWrap/>
            <w:hideMark/>
          </w:tcPr>
          <w:p w14:paraId="719909B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168F9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54569C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3F0E0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2151" w:type="dxa"/>
            <w:noWrap/>
            <w:hideMark/>
          </w:tcPr>
          <w:p w14:paraId="4F09DFC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1720" w:type="dxa"/>
            <w:noWrap/>
            <w:hideMark/>
          </w:tcPr>
          <w:p w14:paraId="48D9FEA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1720" w:type="dxa"/>
            <w:noWrap/>
            <w:hideMark/>
          </w:tcPr>
          <w:p w14:paraId="6E0C0D9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F720C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BDE04B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2F6BD7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2151" w:type="dxa"/>
            <w:noWrap/>
            <w:hideMark/>
          </w:tcPr>
          <w:p w14:paraId="0ECF92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1720" w:type="dxa"/>
            <w:noWrap/>
            <w:hideMark/>
          </w:tcPr>
          <w:p w14:paraId="4C4016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1720" w:type="dxa"/>
            <w:noWrap/>
            <w:hideMark/>
          </w:tcPr>
          <w:p w14:paraId="51B847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593A2E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984653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F669C51"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2151" w:type="dxa"/>
            <w:noWrap/>
            <w:hideMark/>
          </w:tcPr>
          <w:p w14:paraId="1E87BB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1720" w:type="dxa"/>
            <w:noWrap/>
            <w:hideMark/>
          </w:tcPr>
          <w:p w14:paraId="582188A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1720" w:type="dxa"/>
            <w:noWrap/>
            <w:hideMark/>
          </w:tcPr>
          <w:p w14:paraId="1984F91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D55A4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08CBE0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72CA40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2151" w:type="dxa"/>
            <w:noWrap/>
            <w:hideMark/>
          </w:tcPr>
          <w:p w14:paraId="369EB7A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1720" w:type="dxa"/>
            <w:noWrap/>
            <w:hideMark/>
          </w:tcPr>
          <w:p w14:paraId="01F76FB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1720" w:type="dxa"/>
            <w:noWrap/>
            <w:hideMark/>
          </w:tcPr>
          <w:p w14:paraId="0C8552E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1C9AA0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B737F3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262E7E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2151" w:type="dxa"/>
            <w:noWrap/>
            <w:hideMark/>
          </w:tcPr>
          <w:p w14:paraId="7766C5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1720" w:type="dxa"/>
            <w:noWrap/>
            <w:hideMark/>
          </w:tcPr>
          <w:p w14:paraId="3CA1AE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1720" w:type="dxa"/>
            <w:noWrap/>
            <w:hideMark/>
          </w:tcPr>
          <w:p w14:paraId="21AB9D6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FC31E7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D1EFA48"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8E504C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2151" w:type="dxa"/>
            <w:noWrap/>
            <w:hideMark/>
          </w:tcPr>
          <w:p w14:paraId="34F41F6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1720" w:type="dxa"/>
            <w:noWrap/>
            <w:hideMark/>
          </w:tcPr>
          <w:p w14:paraId="1466851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1720" w:type="dxa"/>
            <w:noWrap/>
            <w:hideMark/>
          </w:tcPr>
          <w:p w14:paraId="3C0CC4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CE159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FCE7F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8744703"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2151" w:type="dxa"/>
            <w:noWrap/>
            <w:hideMark/>
          </w:tcPr>
          <w:p w14:paraId="1FD53A6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1720" w:type="dxa"/>
            <w:noWrap/>
            <w:hideMark/>
          </w:tcPr>
          <w:p w14:paraId="522E1BB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1720" w:type="dxa"/>
            <w:noWrap/>
            <w:hideMark/>
          </w:tcPr>
          <w:p w14:paraId="4DEA325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C992A6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772AA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35AF4A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2151" w:type="dxa"/>
            <w:noWrap/>
            <w:hideMark/>
          </w:tcPr>
          <w:p w14:paraId="7369487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1720" w:type="dxa"/>
            <w:noWrap/>
            <w:hideMark/>
          </w:tcPr>
          <w:p w14:paraId="290D0EB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1720" w:type="dxa"/>
            <w:noWrap/>
            <w:hideMark/>
          </w:tcPr>
          <w:p w14:paraId="74FA39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E6D84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9581F0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8ABD9E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2151" w:type="dxa"/>
            <w:noWrap/>
            <w:hideMark/>
          </w:tcPr>
          <w:p w14:paraId="13D344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1720" w:type="dxa"/>
            <w:noWrap/>
            <w:hideMark/>
          </w:tcPr>
          <w:p w14:paraId="2AECCEE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1720" w:type="dxa"/>
            <w:noWrap/>
            <w:hideMark/>
          </w:tcPr>
          <w:p w14:paraId="59C9E3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12F944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C7C49B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4AAB14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2151" w:type="dxa"/>
            <w:noWrap/>
            <w:hideMark/>
          </w:tcPr>
          <w:p w14:paraId="735F95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1720" w:type="dxa"/>
            <w:noWrap/>
            <w:hideMark/>
          </w:tcPr>
          <w:p w14:paraId="34FA561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1720" w:type="dxa"/>
            <w:noWrap/>
            <w:hideMark/>
          </w:tcPr>
          <w:p w14:paraId="02C565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9D2F1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31541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724923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2151" w:type="dxa"/>
            <w:noWrap/>
            <w:hideMark/>
          </w:tcPr>
          <w:p w14:paraId="410A7D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1720" w:type="dxa"/>
            <w:noWrap/>
            <w:hideMark/>
          </w:tcPr>
          <w:p w14:paraId="4A6A899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1720" w:type="dxa"/>
            <w:noWrap/>
            <w:hideMark/>
          </w:tcPr>
          <w:p w14:paraId="742C89B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BAB3B7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13FECC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66D8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2151" w:type="dxa"/>
            <w:noWrap/>
            <w:hideMark/>
          </w:tcPr>
          <w:p w14:paraId="3753BB7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1720" w:type="dxa"/>
            <w:noWrap/>
            <w:hideMark/>
          </w:tcPr>
          <w:p w14:paraId="224C8B2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1720" w:type="dxa"/>
            <w:noWrap/>
            <w:hideMark/>
          </w:tcPr>
          <w:p w14:paraId="6D82DC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517D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ED674D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B5BE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2151" w:type="dxa"/>
            <w:noWrap/>
            <w:hideMark/>
          </w:tcPr>
          <w:p w14:paraId="6DB227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1720" w:type="dxa"/>
            <w:noWrap/>
            <w:hideMark/>
          </w:tcPr>
          <w:p w14:paraId="6692FD7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1720" w:type="dxa"/>
            <w:noWrap/>
            <w:hideMark/>
          </w:tcPr>
          <w:p w14:paraId="3012A3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60A29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C0271D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4CA1F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2151" w:type="dxa"/>
            <w:noWrap/>
            <w:hideMark/>
          </w:tcPr>
          <w:p w14:paraId="6AEE360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1720" w:type="dxa"/>
            <w:noWrap/>
            <w:hideMark/>
          </w:tcPr>
          <w:p w14:paraId="4F9AA3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1720" w:type="dxa"/>
            <w:noWrap/>
            <w:hideMark/>
          </w:tcPr>
          <w:p w14:paraId="7A8B98D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8742D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27836C2E" w14:textId="77777777" w:rsidR="00565535" w:rsidRDefault="00565535" w:rsidP="00565535">
      <w:pPr>
        <w:ind w:firstLine="0"/>
      </w:pPr>
    </w:p>
    <w:p w14:paraId="25D43D64" w14:textId="5A43E65D" w:rsidR="00565535" w:rsidRDefault="00565535">
      <w:pPr>
        <w:spacing w:line="240" w:lineRule="auto"/>
        <w:ind w:firstLine="0"/>
        <w:jc w:val="left"/>
      </w:pPr>
      <w:r>
        <w:br w:type="page"/>
      </w:r>
    </w:p>
    <w:tbl>
      <w:tblPr>
        <w:tblStyle w:val="PlainTable2"/>
        <w:tblW w:w="8181" w:type="dxa"/>
        <w:tblLook w:val="06A0" w:firstRow="1" w:lastRow="0" w:firstColumn="1" w:lastColumn="0" w:noHBand="1" w:noVBand="1"/>
      </w:tblPr>
      <w:tblGrid>
        <w:gridCol w:w="1100"/>
        <w:gridCol w:w="1921"/>
        <w:gridCol w:w="1720"/>
        <w:gridCol w:w="1720"/>
        <w:gridCol w:w="1720"/>
      </w:tblGrid>
      <w:tr w:rsidR="00565535" w:rsidRPr="001D0E7E" w14:paraId="471CC0A8"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70583" w14:textId="77777777" w:rsidR="00565535" w:rsidRPr="001D0E7E" w:rsidRDefault="00565535" w:rsidP="00597E0D">
            <w:pPr>
              <w:spacing w:line="240" w:lineRule="auto"/>
              <w:ind w:firstLine="0"/>
              <w:jc w:val="left"/>
              <w:rPr>
                <w:rFonts w:ascii="Calibri" w:eastAsia="Times New Roman" w:hAnsi="Calibri" w:cs="Calibri"/>
                <w:b w:val="0"/>
                <w:bCs w:val="0"/>
              </w:rPr>
            </w:pPr>
            <w:r w:rsidRPr="001D0E7E">
              <w:rPr>
                <w:rFonts w:ascii="Calibri" w:eastAsia="Times New Roman" w:hAnsi="Calibri" w:cs="Calibri"/>
              </w:rPr>
              <w:lastRenderedPageBreak/>
              <w:t>Tenor</w:t>
            </w:r>
          </w:p>
        </w:tc>
        <w:tc>
          <w:tcPr>
            <w:tcW w:w="1921" w:type="dxa"/>
            <w:noWrap/>
            <w:hideMark/>
          </w:tcPr>
          <w:p w14:paraId="4E1B3679"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CUSIP</w:t>
            </w:r>
          </w:p>
        </w:tc>
        <w:tc>
          <w:tcPr>
            <w:tcW w:w="1720" w:type="dxa"/>
            <w:noWrap/>
            <w:hideMark/>
          </w:tcPr>
          <w:p w14:paraId="0505AF88"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Yield</w:t>
            </w:r>
          </w:p>
        </w:tc>
        <w:tc>
          <w:tcPr>
            <w:tcW w:w="1720" w:type="dxa"/>
            <w:noWrap/>
            <w:hideMark/>
          </w:tcPr>
          <w:p w14:paraId="462B9EB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Source</w:t>
            </w:r>
          </w:p>
        </w:tc>
        <w:tc>
          <w:tcPr>
            <w:tcW w:w="1720" w:type="dxa"/>
            <w:noWrap/>
            <w:hideMark/>
          </w:tcPr>
          <w:p w14:paraId="1275AA8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Date Last </w:t>
            </w:r>
            <w:r w:rsidRPr="001D0E7E">
              <w:rPr>
                <w:rFonts w:ascii="Calibri" w:eastAsia="Times New Roman" w:hAnsi="Calibri" w:cs="Calibri"/>
              </w:rPr>
              <w:t>Update</w:t>
            </w:r>
            <w:r>
              <w:rPr>
                <w:rFonts w:ascii="Calibri" w:eastAsia="Times New Roman" w:hAnsi="Calibri" w:cs="Calibri"/>
              </w:rPr>
              <w:t>d</w:t>
            </w:r>
          </w:p>
        </w:tc>
      </w:tr>
      <w:tr w:rsidR="00565535" w:rsidRPr="001D0E7E" w14:paraId="0472863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17DA4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1921" w:type="dxa"/>
            <w:noWrap/>
            <w:hideMark/>
          </w:tcPr>
          <w:p w14:paraId="6F1DA93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1720" w:type="dxa"/>
            <w:noWrap/>
            <w:hideMark/>
          </w:tcPr>
          <w:p w14:paraId="5FF076A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1720" w:type="dxa"/>
            <w:noWrap/>
            <w:hideMark/>
          </w:tcPr>
          <w:p w14:paraId="27047A7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71DB485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0DD76A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8940C1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1921" w:type="dxa"/>
            <w:noWrap/>
            <w:hideMark/>
          </w:tcPr>
          <w:p w14:paraId="22A121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1720" w:type="dxa"/>
            <w:noWrap/>
            <w:hideMark/>
          </w:tcPr>
          <w:p w14:paraId="1A94E63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1720" w:type="dxa"/>
            <w:noWrap/>
            <w:hideMark/>
          </w:tcPr>
          <w:p w14:paraId="5D5006E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2256D4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402544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B1E0AA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1921" w:type="dxa"/>
            <w:noWrap/>
            <w:hideMark/>
          </w:tcPr>
          <w:p w14:paraId="2A8ACF8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1720" w:type="dxa"/>
            <w:noWrap/>
            <w:hideMark/>
          </w:tcPr>
          <w:p w14:paraId="2A475BD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1720" w:type="dxa"/>
            <w:noWrap/>
            <w:hideMark/>
          </w:tcPr>
          <w:p w14:paraId="0E9BD22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0AD9E3B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408E63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868DFDE"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1921" w:type="dxa"/>
            <w:noWrap/>
            <w:hideMark/>
          </w:tcPr>
          <w:p w14:paraId="7A6135F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1720" w:type="dxa"/>
            <w:noWrap/>
            <w:hideMark/>
          </w:tcPr>
          <w:p w14:paraId="7E5F46C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1720" w:type="dxa"/>
            <w:noWrap/>
            <w:hideMark/>
          </w:tcPr>
          <w:p w14:paraId="282B0D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6A7F25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FAA2B8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75D54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1921" w:type="dxa"/>
            <w:noWrap/>
            <w:hideMark/>
          </w:tcPr>
          <w:p w14:paraId="5783EF3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1720" w:type="dxa"/>
            <w:noWrap/>
            <w:hideMark/>
          </w:tcPr>
          <w:p w14:paraId="7B7C01F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1720" w:type="dxa"/>
            <w:noWrap/>
            <w:hideMark/>
          </w:tcPr>
          <w:p w14:paraId="5F635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21661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6737D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E53CB4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1921" w:type="dxa"/>
            <w:noWrap/>
            <w:hideMark/>
          </w:tcPr>
          <w:p w14:paraId="5FAB5F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1720" w:type="dxa"/>
            <w:noWrap/>
            <w:hideMark/>
          </w:tcPr>
          <w:p w14:paraId="4C702EF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1720" w:type="dxa"/>
            <w:noWrap/>
            <w:hideMark/>
          </w:tcPr>
          <w:p w14:paraId="06C7D6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B6BED1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30A3D1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7B2962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1921" w:type="dxa"/>
            <w:noWrap/>
            <w:hideMark/>
          </w:tcPr>
          <w:p w14:paraId="69376B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1720" w:type="dxa"/>
            <w:noWrap/>
            <w:hideMark/>
          </w:tcPr>
          <w:p w14:paraId="0E12A87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1720" w:type="dxa"/>
            <w:noWrap/>
            <w:hideMark/>
          </w:tcPr>
          <w:p w14:paraId="7CD6AA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24F9B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15DA8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AD6D12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1921" w:type="dxa"/>
            <w:noWrap/>
            <w:hideMark/>
          </w:tcPr>
          <w:p w14:paraId="2E21D2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1720" w:type="dxa"/>
            <w:noWrap/>
            <w:hideMark/>
          </w:tcPr>
          <w:p w14:paraId="628802F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1720" w:type="dxa"/>
            <w:noWrap/>
            <w:hideMark/>
          </w:tcPr>
          <w:p w14:paraId="16E6FE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6B95C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ED5DEC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16C17A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1921" w:type="dxa"/>
            <w:noWrap/>
            <w:hideMark/>
          </w:tcPr>
          <w:p w14:paraId="0AD409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1720" w:type="dxa"/>
            <w:noWrap/>
            <w:hideMark/>
          </w:tcPr>
          <w:p w14:paraId="0370207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1720" w:type="dxa"/>
            <w:noWrap/>
            <w:hideMark/>
          </w:tcPr>
          <w:p w14:paraId="7F9971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CB2B4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D5D38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DD0006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1921" w:type="dxa"/>
            <w:noWrap/>
            <w:hideMark/>
          </w:tcPr>
          <w:p w14:paraId="0FABA11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1720" w:type="dxa"/>
            <w:noWrap/>
            <w:hideMark/>
          </w:tcPr>
          <w:p w14:paraId="4650DCD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1720" w:type="dxa"/>
            <w:noWrap/>
            <w:hideMark/>
          </w:tcPr>
          <w:p w14:paraId="273599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E3D32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2EECB2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221C50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1921" w:type="dxa"/>
            <w:noWrap/>
            <w:hideMark/>
          </w:tcPr>
          <w:p w14:paraId="749175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1720" w:type="dxa"/>
            <w:noWrap/>
            <w:hideMark/>
          </w:tcPr>
          <w:p w14:paraId="0B45C6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1720" w:type="dxa"/>
            <w:noWrap/>
            <w:hideMark/>
          </w:tcPr>
          <w:p w14:paraId="0ED8349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66EF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C2040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DF363F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1921" w:type="dxa"/>
            <w:noWrap/>
            <w:hideMark/>
          </w:tcPr>
          <w:p w14:paraId="7D4DDBC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1720" w:type="dxa"/>
            <w:noWrap/>
            <w:hideMark/>
          </w:tcPr>
          <w:p w14:paraId="2EF6642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1720" w:type="dxa"/>
            <w:noWrap/>
            <w:hideMark/>
          </w:tcPr>
          <w:p w14:paraId="3D6CD87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3B89B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809C6C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76E5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1921" w:type="dxa"/>
            <w:noWrap/>
            <w:hideMark/>
          </w:tcPr>
          <w:p w14:paraId="570183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1720" w:type="dxa"/>
            <w:noWrap/>
            <w:hideMark/>
          </w:tcPr>
          <w:p w14:paraId="703115D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1720" w:type="dxa"/>
            <w:noWrap/>
            <w:hideMark/>
          </w:tcPr>
          <w:p w14:paraId="261EC06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4C802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72CF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A1CA9F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1921" w:type="dxa"/>
            <w:noWrap/>
            <w:hideMark/>
          </w:tcPr>
          <w:p w14:paraId="38B186D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1720" w:type="dxa"/>
            <w:noWrap/>
            <w:hideMark/>
          </w:tcPr>
          <w:p w14:paraId="0D8E56E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1720" w:type="dxa"/>
            <w:noWrap/>
            <w:hideMark/>
          </w:tcPr>
          <w:p w14:paraId="28A86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8D012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3F1EB5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B7DE5E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1921" w:type="dxa"/>
            <w:noWrap/>
            <w:hideMark/>
          </w:tcPr>
          <w:p w14:paraId="27EAF5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1720" w:type="dxa"/>
            <w:noWrap/>
            <w:hideMark/>
          </w:tcPr>
          <w:p w14:paraId="7BCE0E5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1720" w:type="dxa"/>
            <w:noWrap/>
            <w:hideMark/>
          </w:tcPr>
          <w:p w14:paraId="2B0894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252B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7B196F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2DD487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1921" w:type="dxa"/>
            <w:noWrap/>
            <w:hideMark/>
          </w:tcPr>
          <w:p w14:paraId="6E32A7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1720" w:type="dxa"/>
            <w:noWrap/>
            <w:hideMark/>
          </w:tcPr>
          <w:p w14:paraId="2851776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1720" w:type="dxa"/>
            <w:noWrap/>
            <w:hideMark/>
          </w:tcPr>
          <w:p w14:paraId="585F6FD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5213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F92F1A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F85E6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1921" w:type="dxa"/>
            <w:noWrap/>
            <w:hideMark/>
          </w:tcPr>
          <w:p w14:paraId="0D49D6B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1720" w:type="dxa"/>
            <w:noWrap/>
            <w:hideMark/>
          </w:tcPr>
          <w:p w14:paraId="64BE8FF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1720" w:type="dxa"/>
            <w:noWrap/>
            <w:hideMark/>
          </w:tcPr>
          <w:p w14:paraId="7DA58F4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77375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E188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34C6BF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1921" w:type="dxa"/>
            <w:noWrap/>
            <w:hideMark/>
          </w:tcPr>
          <w:p w14:paraId="05D742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1720" w:type="dxa"/>
            <w:noWrap/>
            <w:hideMark/>
          </w:tcPr>
          <w:p w14:paraId="2E1AD7B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1720" w:type="dxa"/>
            <w:noWrap/>
            <w:hideMark/>
          </w:tcPr>
          <w:p w14:paraId="56D3263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D6E849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06709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4E872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1921" w:type="dxa"/>
            <w:noWrap/>
            <w:hideMark/>
          </w:tcPr>
          <w:p w14:paraId="35A386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1720" w:type="dxa"/>
            <w:noWrap/>
            <w:hideMark/>
          </w:tcPr>
          <w:p w14:paraId="5D6185E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1720" w:type="dxa"/>
            <w:noWrap/>
            <w:hideMark/>
          </w:tcPr>
          <w:p w14:paraId="015C0F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3C678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45488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1A66B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1921" w:type="dxa"/>
            <w:noWrap/>
            <w:hideMark/>
          </w:tcPr>
          <w:p w14:paraId="49E338B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1720" w:type="dxa"/>
            <w:noWrap/>
            <w:hideMark/>
          </w:tcPr>
          <w:p w14:paraId="2D04CF0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1720" w:type="dxa"/>
            <w:noWrap/>
            <w:hideMark/>
          </w:tcPr>
          <w:p w14:paraId="2C882A7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ED31E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32582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9FD3D9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1921" w:type="dxa"/>
            <w:noWrap/>
            <w:hideMark/>
          </w:tcPr>
          <w:p w14:paraId="4330F1B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1720" w:type="dxa"/>
            <w:noWrap/>
            <w:hideMark/>
          </w:tcPr>
          <w:p w14:paraId="47B50EB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1720" w:type="dxa"/>
            <w:noWrap/>
            <w:hideMark/>
          </w:tcPr>
          <w:p w14:paraId="080215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0BA1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7B17B2B"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66C4A6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1921" w:type="dxa"/>
            <w:noWrap/>
            <w:hideMark/>
          </w:tcPr>
          <w:p w14:paraId="236F056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1720" w:type="dxa"/>
            <w:noWrap/>
            <w:hideMark/>
          </w:tcPr>
          <w:p w14:paraId="752FC45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1720" w:type="dxa"/>
            <w:noWrap/>
            <w:hideMark/>
          </w:tcPr>
          <w:p w14:paraId="448C42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CFD8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90A818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ECF043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1921" w:type="dxa"/>
            <w:noWrap/>
            <w:hideMark/>
          </w:tcPr>
          <w:p w14:paraId="06E101B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1720" w:type="dxa"/>
            <w:noWrap/>
            <w:hideMark/>
          </w:tcPr>
          <w:p w14:paraId="010C175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1720" w:type="dxa"/>
            <w:noWrap/>
            <w:hideMark/>
          </w:tcPr>
          <w:p w14:paraId="47E70A4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581A1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0B561BD9" w14:textId="77777777" w:rsidR="00565535" w:rsidRDefault="00565535">
      <w:pPr>
        <w:spacing w:line="240" w:lineRule="auto"/>
        <w:ind w:firstLine="0"/>
        <w:jc w:val="left"/>
      </w:pPr>
    </w:p>
    <w:p w14:paraId="617465AE" w14:textId="496D9BF4" w:rsidR="00565535" w:rsidRDefault="00565535">
      <w:pPr>
        <w:spacing w:line="240" w:lineRule="auto"/>
        <w:ind w:firstLine="0"/>
        <w:jc w:val="left"/>
      </w:pPr>
      <w:r>
        <w:br w:type="page"/>
      </w:r>
    </w:p>
    <w:p w14:paraId="67EA1842" w14:textId="6BCA12B8" w:rsidR="009F16B5" w:rsidRDefault="009F16B5" w:rsidP="009F16B5">
      <w:pPr>
        <w:pStyle w:val="Caption"/>
        <w:keepNext/>
        <w:rPr>
          <w:noProof/>
        </w:rPr>
      </w:pPr>
      <w:bookmarkStart w:id="20" w:name="_Ref169917203"/>
      <w:r>
        <w:lastRenderedPageBreak/>
        <w:t xml:space="preserve">Table </w:t>
      </w:r>
      <w:r>
        <w:fldChar w:fldCharType="begin"/>
      </w:r>
      <w:r>
        <w:instrText xml:space="preserve"> SEQ Table \* ARABIC </w:instrText>
      </w:r>
      <w:r>
        <w:fldChar w:fldCharType="separate"/>
      </w:r>
      <w:r w:rsidR="00930217">
        <w:rPr>
          <w:noProof/>
        </w:rPr>
        <w:t>4</w:t>
      </w:r>
      <w:r>
        <w:fldChar w:fldCharType="end"/>
      </w:r>
      <w:bookmarkEnd w:id="20"/>
      <w:r>
        <w:rPr>
          <w:noProof/>
        </w:rPr>
        <w:t xml:space="preserve"> </w:t>
      </w:r>
      <w:r w:rsidR="00C83A7E">
        <w:rPr>
          <w:noProof/>
        </w:rPr>
        <w:t>Number of contracts and notional values by Clearing Status and reference rate for USD and CAD IR swaps contracts</w:t>
      </w:r>
    </w:p>
    <w:p w14:paraId="2AC7E2B6" w14:textId="0C017D0A" w:rsidR="00C83A7E" w:rsidRPr="00C83A7E" w:rsidRDefault="00C83A7E" w:rsidP="00C83A7E">
      <w:pPr>
        <w:jc w:val="center"/>
      </w:pPr>
      <w:proofErr w:type="gramStart"/>
      <w:r>
        <w:t>Pre Phase</w:t>
      </w:r>
      <w:proofErr w:type="gramEnd"/>
      <w:r>
        <w:t xml:space="preserve"> 1</w:t>
      </w:r>
    </w:p>
    <w:tbl>
      <w:tblPr>
        <w:tblW w:w="0" w:type="auto"/>
        <w:tblLook w:val="04A0" w:firstRow="1" w:lastRow="0" w:firstColumn="1" w:lastColumn="0" w:noHBand="0" w:noVBand="1"/>
      </w:tblPr>
      <w:tblGrid>
        <w:gridCol w:w="1032"/>
        <w:gridCol w:w="2490"/>
        <w:gridCol w:w="1002"/>
        <w:gridCol w:w="1264"/>
        <w:gridCol w:w="1261"/>
        <w:gridCol w:w="1288"/>
        <w:gridCol w:w="1009"/>
      </w:tblGrid>
      <w:tr w:rsidR="00565535" w:rsidRPr="00191C9A" w14:paraId="075DF4B9" w14:textId="77777777" w:rsidTr="00597E0D">
        <w:trPr>
          <w:trHeight w:val="1020"/>
        </w:trPr>
        <w:tc>
          <w:tcPr>
            <w:tcW w:w="0" w:type="auto"/>
            <w:tcBorders>
              <w:bottom w:val="single" w:sz="4" w:space="0" w:color="auto"/>
            </w:tcBorders>
            <w:shd w:val="clear" w:color="auto" w:fill="auto"/>
            <w:vAlign w:val="center"/>
            <w:hideMark/>
          </w:tcPr>
          <w:p w14:paraId="302128AD" w14:textId="77777777" w:rsidR="00565535" w:rsidRPr="00191C9A" w:rsidRDefault="00565535" w:rsidP="00597E0D">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32236F0"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52A2509B"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37FB25B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38E30BC4"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794724B5"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3958310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565535" w:rsidRPr="00191C9A" w14:paraId="56D404C3" w14:textId="77777777" w:rsidTr="00597E0D">
        <w:trPr>
          <w:trHeight w:val="300"/>
        </w:trPr>
        <w:tc>
          <w:tcPr>
            <w:tcW w:w="0" w:type="auto"/>
            <w:tcBorders>
              <w:top w:val="single" w:sz="4" w:space="0" w:color="auto"/>
              <w:right w:val="single" w:sz="4" w:space="0" w:color="auto"/>
            </w:tcBorders>
            <w:shd w:val="clear" w:color="auto" w:fill="auto"/>
            <w:noWrap/>
            <w:vAlign w:val="bottom"/>
            <w:hideMark/>
          </w:tcPr>
          <w:p w14:paraId="3A821780" w14:textId="77777777" w:rsidR="00565535" w:rsidRPr="00191C9A" w:rsidRDefault="00565535" w:rsidP="00597E0D">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2BCC6F7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CDD7D5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381DC97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69C6E52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0E51B38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F60276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565535" w:rsidRPr="00191C9A" w14:paraId="63C98BAF" w14:textId="77777777" w:rsidTr="00597E0D">
        <w:trPr>
          <w:trHeight w:val="300"/>
        </w:trPr>
        <w:tc>
          <w:tcPr>
            <w:tcW w:w="0" w:type="auto"/>
            <w:tcBorders>
              <w:right w:val="single" w:sz="4" w:space="0" w:color="auto"/>
            </w:tcBorders>
            <w:shd w:val="clear" w:color="auto" w:fill="auto"/>
            <w:noWrap/>
            <w:vAlign w:val="bottom"/>
            <w:hideMark/>
          </w:tcPr>
          <w:p w14:paraId="1EC79A2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A71F14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0414D1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3641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08400B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31B5FC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6C35B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7F2892" w14:textId="77777777" w:rsidTr="00597E0D">
        <w:trPr>
          <w:trHeight w:val="300"/>
        </w:trPr>
        <w:tc>
          <w:tcPr>
            <w:tcW w:w="0" w:type="auto"/>
            <w:tcBorders>
              <w:right w:val="single" w:sz="4" w:space="0" w:color="auto"/>
            </w:tcBorders>
            <w:shd w:val="clear" w:color="auto" w:fill="auto"/>
            <w:noWrap/>
            <w:vAlign w:val="bottom"/>
            <w:hideMark/>
          </w:tcPr>
          <w:p w14:paraId="4600AB4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B8133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0AC717C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E8EAF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C8BCBB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A141E1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20D2A7E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77BD117B" w14:textId="77777777" w:rsidTr="00597E0D">
        <w:trPr>
          <w:trHeight w:val="300"/>
        </w:trPr>
        <w:tc>
          <w:tcPr>
            <w:tcW w:w="0" w:type="auto"/>
            <w:tcBorders>
              <w:right w:val="single" w:sz="4" w:space="0" w:color="auto"/>
            </w:tcBorders>
            <w:shd w:val="clear" w:color="auto" w:fill="auto"/>
            <w:noWrap/>
            <w:vAlign w:val="bottom"/>
            <w:hideMark/>
          </w:tcPr>
          <w:p w14:paraId="45444DF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86FF0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6164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853B0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D93F20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FB7C97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8B8771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2DAF86A3" w14:textId="77777777" w:rsidTr="00597E0D">
        <w:trPr>
          <w:trHeight w:val="300"/>
        </w:trPr>
        <w:tc>
          <w:tcPr>
            <w:tcW w:w="0" w:type="auto"/>
            <w:tcBorders>
              <w:right w:val="single" w:sz="4" w:space="0" w:color="auto"/>
            </w:tcBorders>
            <w:shd w:val="clear" w:color="auto" w:fill="auto"/>
            <w:noWrap/>
            <w:vAlign w:val="bottom"/>
            <w:hideMark/>
          </w:tcPr>
          <w:p w14:paraId="2B5486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4A5CAF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4768A0E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3F18D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4D690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67180D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B68C73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3CE0B226" w14:textId="77777777" w:rsidTr="00597E0D">
        <w:trPr>
          <w:trHeight w:val="300"/>
        </w:trPr>
        <w:tc>
          <w:tcPr>
            <w:tcW w:w="0" w:type="auto"/>
            <w:tcBorders>
              <w:right w:val="single" w:sz="4" w:space="0" w:color="auto"/>
            </w:tcBorders>
            <w:shd w:val="clear" w:color="auto" w:fill="auto"/>
            <w:noWrap/>
            <w:vAlign w:val="bottom"/>
            <w:hideMark/>
          </w:tcPr>
          <w:p w14:paraId="41CCE63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CA8C5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1A8648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24ECC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79D4D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58C3C56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6978083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46E5555" w14:textId="77777777" w:rsidTr="00597E0D">
        <w:trPr>
          <w:trHeight w:val="300"/>
        </w:trPr>
        <w:tc>
          <w:tcPr>
            <w:tcW w:w="0" w:type="auto"/>
            <w:tcBorders>
              <w:right w:val="single" w:sz="4" w:space="0" w:color="auto"/>
            </w:tcBorders>
            <w:shd w:val="clear" w:color="auto" w:fill="auto"/>
            <w:noWrap/>
            <w:vAlign w:val="bottom"/>
            <w:hideMark/>
          </w:tcPr>
          <w:p w14:paraId="131F392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FE0E68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61F8E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5B3E9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20C07C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29213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8FD9C9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2E5E3CD" w14:textId="77777777" w:rsidTr="00597E0D">
        <w:trPr>
          <w:trHeight w:val="300"/>
        </w:trPr>
        <w:tc>
          <w:tcPr>
            <w:tcW w:w="0" w:type="auto"/>
            <w:tcBorders>
              <w:right w:val="single" w:sz="4" w:space="0" w:color="auto"/>
            </w:tcBorders>
            <w:shd w:val="clear" w:color="auto" w:fill="auto"/>
            <w:noWrap/>
            <w:vAlign w:val="bottom"/>
            <w:hideMark/>
          </w:tcPr>
          <w:p w14:paraId="67CC61F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6D8050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4845700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AE87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3391A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0CA1F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55268C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579AE3" w14:textId="77777777" w:rsidTr="00597E0D">
        <w:trPr>
          <w:trHeight w:val="300"/>
        </w:trPr>
        <w:tc>
          <w:tcPr>
            <w:tcW w:w="0" w:type="auto"/>
            <w:tcBorders>
              <w:right w:val="single" w:sz="4" w:space="0" w:color="auto"/>
            </w:tcBorders>
            <w:shd w:val="clear" w:color="auto" w:fill="auto"/>
            <w:noWrap/>
            <w:vAlign w:val="bottom"/>
            <w:hideMark/>
          </w:tcPr>
          <w:p w14:paraId="0860FDC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0BF467A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A39398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60AA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78A8A2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E4147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0F259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557F299" w14:textId="77777777" w:rsidTr="00597E0D">
        <w:trPr>
          <w:trHeight w:val="300"/>
        </w:trPr>
        <w:tc>
          <w:tcPr>
            <w:tcW w:w="0" w:type="auto"/>
            <w:tcBorders>
              <w:right w:val="single" w:sz="4" w:space="0" w:color="auto"/>
            </w:tcBorders>
            <w:shd w:val="clear" w:color="auto" w:fill="auto"/>
            <w:noWrap/>
            <w:vAlign w:val="bottom"/>
            <w:hideMark/>
          </w:tcPr>
          <w:p w14:paraId="57DDC2B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184C9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0E2FD1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B9488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C427A9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4D65C72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5495E3F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A061F3C" w14:textId="77777777" w:rsidTr="00597E0D">
        <w:trPr>
          <w:trHeight w:val="300"/>
        </w:trPr>
        <w:tc>
          <w:tcPr>
            <w:tcW w:w="0" w:type="auto"/>
            <w:tcBorders>
              <w:right w:val="single" w:sz="4" w:space="0" w:color="auto"/>
            </w:tcBorders>
            <w:shd w:val="clear" w:color="auto" w:fill="auto"/>
            <w:noWrap/>
            <w:vAlign w:val="bottom"/>
            <w:hideMark/>
          </w:tcPr>
          <w:p w14:paraId="6A0285F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DDA18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2FAAE1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5F55D2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10489B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66245A2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BA312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76F4206" w14:textId="77777777" w:rsidTr="00597E0D">
        <w:trPr>
          <w:trHeight w:val="300"/>
        </w:trPr>
        <w:tc>
          <w:tcPr>
            <w:tcW w:w="0" w:type="auto"/>
            <w:tcBorders>
              <w:right w:val="single" w:sz="4" w:space="0" w:color="auto"/>
            </w:tcBorders>
            <w:shd w:val="clear" w:color="auto" w:fill="auto"/>
            <w:noWrap/>
            <w:vAlign w:val="bottom"/>
            <w:hideMark/>
          </w:tcPr>
          <w:p w14:paraId="37E91983" w14:textId="77777777" w:rsidR="00565535" w:rsidRPr="005A5A35" w:rsidRDefault="00565535" w:rsidP="00597E0D">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048492D5"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6D0199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716A65B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19CE045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0F88464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79FC199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565535" w:rsidRPr="00191C9A" w14:paraId="75F2753E" w14:textId="77777777" w:rsidTr="00597E0D">
        <w:trPr>
          <w:trHeight w:val="56"/>
        </w:trPr>
        <w:tc>
          <w:tcPr>
            <w:tcW w:w="0" w:type="auto"/>
            <w:shd w:val="clear" w:color="auto" w:fill="auto"/>
            <w:noWrap/>
            <w:vAlign w:val="bottom"/>
            <w:hideMark/>
          </w:tcPr>
          <w:p w14:paraId="6244BD9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022B1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4B0F268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46CF6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7A90A8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1A9CDB7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0E9B46A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0D04C506" w14:textId="77777777" w:rsidR="00565535" w:rsidRDefault="00565535">
      <w:pPr>
        <w:spacing w:line="240" w:lineRule="auto"/>
        <w:ind w:firstLine="0"/>
        <w:jc w:val="left"/>
      </w:pPr>
    </w:p>
    <w:p w14:paraId="2FD8AF64" w14:textId="5AD0E4F5" w:rsidR="00C83A7E" w:rsidRDefault="00C83A7E" w:rsidP="00C83A7E">
      <w:pPr>
        <w:spacing w:line="240" w:lineRule="auto"/>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565535" w:rsidRPr="0009785E" w14:paraId="4C8CBB52"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BE0C238"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887BB55"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A2A6F5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8FD3C2F"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5FAB50A"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DFFEB9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DFCF69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7F175B9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FB2908"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3761F57E"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413B7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43770D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4948D67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A5895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035C182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565535" w:rsidRPr="0009785E" w14:paraId="703EA67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E22B9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528D7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ADDB6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6B7217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8C62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76B7E4C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7D0CC6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85F170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E843623"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11DA49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3F564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DE72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DF8B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FFF92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A9384E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E563F4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303DB8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608F44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408F15E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4883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EDA3B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BAF0F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5EA08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CDF1F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C60931"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5B6F7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BCF4FA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B30122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34996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2EE4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198E8DB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AC3928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6CD839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53ED7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6ECB54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1F2EC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82C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A76FBE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41AAA68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3B78BF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BD97786"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0CB1C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B1BFAF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805E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86B0B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836B2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656CA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1ADDC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81CB6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5647F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1B79C9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3F765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ABE2A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26AC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367D6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740966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5F6CB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7DF8B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5E810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2D976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B458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4984F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23FDE5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7AC6CF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D5CF9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C8ACC1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3C3A9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43941B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C170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62D1F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2C175F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8DF1B6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CDD0B1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70000A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3626959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14654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1D8EA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2F7683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2866553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EA083F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22B401F"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7047A8E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828406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B3B5AA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7F118B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5F11C3B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78D9BD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565535" w:rsidRPr="0009785E" w14:paraId="6784FE4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EF2593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2547FD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EB87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EDB3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0F91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84540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53C5D4E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607BA12" w14:textId="77777777" w:rsidTr="00597E0D">
        <w:trPr>
          <w:trHeight w:val="56"/>
        </w:trPr>
        <w:tc>
          <w:tcPr>
            <w:tcW w:w="1080" w:type="dxa"/>
            <w:tcBorders>
              <w:top w:val="nil"/>
              <w:left w:val="nil"/>
              <w:bottom w:val="nil"/>
              <w:right w:val="single" w:sz="4" w:space="0" w:color="auto"/>
            </w:tcBorders>
            <w:shd w:val="clear" w:color="auto" w:fill="auto"/>
            <w:noWrap/>
            <w:vAlign w:val="bottom"/>
            <w:hideMark/>
          </w:tcPr>
          <w:p w14:paraId="741ACBC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3081B5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290D72C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F83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963B5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E7B7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5C83C41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44563FF7" w14:textId="77777777" w:rsidR="00565535" w:rsidRDefault="00565535">
      <w:pPr>
        <w:spacing w:line="240" w:lineRule="auto"/>
        <w:ind w:firstLine="0"/>
        <w:jc w:val="left"/>
      </w:pPr>
    </w:p>
    <w:p w14:paraId="5C8A74CD" w14:textId="46AFCDEA" w:rsidR="00565535" w:rsidRDefault="00565535">
      <w:pPr>
        <w:spacing w:line="240" w:lineRule="auto"/>
        <w:ind w:firstLine="0"/>
        <w:jc w:val="left"/>
      </w:pPr>
      <w:r>
        <w:br w:type="page"/>
      </w:r>
    </w:p>
    <w:p w14:paraId="6CD70B90" w14:textId="1091EDA9" w:rsidR="00C83A7E" w:rsidRDefault="00C83A7E" w:rsidP="00C83A7E">
      <w:pPr>
        <w:spacing w:line="240" w:lineRule="auto"/>
        <w:ind w:firstLine="0"/>
        <w:jc w:val="center"/>
      </w:pPr>
      <w:proofErr w:type="gramStart"/>
      <w:r>
        <w:lastRenderedPageBreak/>
        <w:t>Pre Phase</w:t>
      </w:r>
      <w:proofErr w:type="gramEnd"/>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565535" w:rsidRPr="0009785E" w14:paraId="5E5B71E6" w14:textId="77777777" w:rsidTr="00597E0D">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1765D367"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386BDA8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CAB4B28"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726EF66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5EFA21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2A0992"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8BE0F3C"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22A5EB8B"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52D5D1E"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685A3C8F"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68D233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2FF87F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00111E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D6634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5AAC64D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565535" w:rsidRPr="0009785E" w14:paraId="3ADB6A85"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5249FFF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BEEC4E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205E2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6DCEA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13EC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6B555A2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4470EA5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3A697A10"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E923268"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9A47B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6172EF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2709E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6E416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CF22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272D5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FD8742C"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B7C99BE"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622F7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3678E0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3D61D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DF24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A92146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12552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CF7CCE8"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1DED7B87"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AA89EB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1DDC6E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2509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EC3A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08DC1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49340D8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3EF4753"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97CCA7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36FAC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E459E5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FD7AC2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F4DB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728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508213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08F103A"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8FF6C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6FBBA1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621DDC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E9BD2D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F49A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4D298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1E3EF6C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919CC9D"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3B6E87A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A56811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3A3E3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5D13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B685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372141D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11E8553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5BCC8DDE"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CB6E44"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5051E844"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714850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7E34946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422F54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CD0F99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680325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17B63FF" w14:textId="77777777" w:rsidR="00565535" w:rsidRDefault="00565535">
      <w:pPr>
        <w:spacing w:line="240" w:lineRule="auto"/>
        <w:ind w:firstLine="0"/>
        <w:jc w:val="left"/>
      </w:pPr>
    </w:p>
    <w:p w14:paraId="7CB9E38C" w14:textId="2195648B" w:rsidR="00C83A7E" w:rsidRDefault="00C83A7E" w:rsidP="00C83A7E">
      <w:pPr>
        <w:spacing w:line="240" w:lineRule="auto"/>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565535" w:rsidRPr="000D4B1B" w14:paraId="0E001988"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C5F6BF2"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33BCE6A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70E94FE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AC77AA"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077878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54982169"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B469647"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4A74DE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4E033E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1834C372"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B3AB6A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567E982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51A129A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2EC7B8B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F05540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565535" w:rsidRPr="000D4B1B" w14:paraId="2711F69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08E147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5B3FF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4566955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7CA2F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785C9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28D75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7CF4E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B20130C"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72CD092"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D4A5E3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90D0A1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44A0C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C2B8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42154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BEC88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EBFF62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887A70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720629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072C54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06CB6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B6C2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F51A79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A97DB2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36086C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55442C4"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C921C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C6D04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5EB9C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0967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C139D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CD430C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7056E98"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91E7DF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1D4581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A4308A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B084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D5478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6F26D3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3F7A6F1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11BC342"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670ACD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2BA466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CFC98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18011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3B7B5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49F6DFA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1EEF65A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03644C3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11EA40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876D5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597AA9C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D0105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0FE86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B5432A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8280C1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8066C2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9CB76A6"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D9394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1B0DB9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E4A46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83723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BC0577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CE7E9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F39698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96F4D4A"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DF4C9C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12EEA6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886EB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0BDD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34A2A8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F4EDB2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93B42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891AF57"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80073E6"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546B097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2957A61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228BF4E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E40453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32AC71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2B2AA90" w14:textId="77777777" w:rsidR="00565535" w:rsidRDefault="00565535">
      <w:pPr>
        <w:spacing w:line="240" w:lineRule="auto"/>
        <w:ind w:firstLine="0"/>
        <w:jc w:val="left"/>
      </w:pPr>
    </w:p>
    <w:p w14:paraId="09D17BF5" w14:textId="448D1655" w:rsidR="00565535" w:rsidRDefault="00565535">
      <w:pPr>
        <w:spacing w:line="240" w:lineRule="auto"/>
        <w:ind w:firstLine="0"/>
        <w:jc w:val="left"/>
      </w:pPr>
      <w:r>
        <w:br w:type="page"/>
      </w:r>
    </w:p>
    <w:p w14:paraId="3738DDBB" w14:textId="3758B5A8" w:rsidR="00C83A7E" w:rsidRDefault="00C83A7E" w:rsidP="00C83A7E">
      <w:pPr>
        <w:spacing w:line="240" w:lineRule="auto"/>
        <w:ind w:firstLine="0"/>
        <w:jc w:val="center"/>
      </w:pPr>
      <w:proofErr w:type="gramStart"/>
      <w:r>
        <w:lastRenderedPageBreak/>
        <w:t>Pre Phase</w:t>
      </w:r>
      <w:proofErr w:type="gramEnd"/>
      <w:r>
        <w:t xml:space="preserv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565535" w:rsidRPr="000D4B1B" w14:paraId="38FFD301"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008C430B"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1FF4BDF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B284C5B"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05F0B3"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2EFD69D"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608FD1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1E3534E"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28EF5439" w14:textId="77777777" w:rsidTr="00597E0D">
        <w:trPr>
          <w:trHeight w:val="300"/>
        </w:trPr>
        <w:tc>
          <w:tcPr>
            <w:tcW w:w="1080" w:type="dxa"/>
            <w:tcBorders>
              <w:top w:val="nil"/>
              <w:left w:val="nil"/>
              <w:bottom w:val="nil"/>
              <w:right w:val="nil"/>
            </w:tcBorders>
            <w:shd w:val="clear" w:color="auto" w:fill="auto"/>
            <w:noWrap/>
            <w:vAlign w:val="bottom"/>
            <w:hideMark/>
          </w:tcPr>
          <w:p w14:paraId="494EB297"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6B2633E7"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33A218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C82BE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ED37C1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424D13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1FE04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565535" w:rsidRPr="000D4B1B" w14:paraId="3058ECAD" w14:textId="77777777" w:rsidTr="00597E0D">
        <w:trPr>
          <w:trHeight w:val="300"/>
        </w:trPr>
        <w:tc>
          <w:tcPr>
            <w:tcW w:w="1080" w:type="dxa"/>
            <w:tcBorders>
              <w:top w:val="nil"/>
              <w:left w:val="nil"/>
              <w:bottom w:val="nil"/>
              <w:right w:val="nil"/>
            </w:tcBorders>
            <w:shd w:val="clear" w:color="auto" w:fill="auto"/>
            <w:noWrap/>
            <w:vAlign w:val="bottom"/>
            <w:hideMark/>
          </w:tcPr>
          <w:p w14:paraId="007EEA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FEB51B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21A998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48164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28C3B4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78CA4CC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03F02F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F028188" w14:textId="77777777" w:rsidTr="00597E0D">
        <w:trPr>
          <w:trHeight w:val="300"/>
        </w:trPr>
        <w:tc>
          <w:tcPr>
            <w:tcW w:w="1080" w:type="dxa"/>
            <w:tcBorders>
              <w:top w:val="nil"/>
              <w:left w:val="nil"/>
              <w:bottom w:val="nil"/>
              <w:right w:val="nil"/>
            </w:tcBorders>
            <w:shd w:val="clear" w:color="auto" w:fill="auto"/>
            <w:noWrap/>
            <w:vAlign w:val="bottom"/>
            <w:hideMark/>
          </w:tcPr>
          <w:p w14:paraId="5E7C6E8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A92E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0365D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5027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8D822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36C5E41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60CCE1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5017606" w14:textId="77777777" w:rsidTr="00597E0D">
        <w:trPr>
          <w:trHeight w:val="300"/>
        </w:trPr>
        <w:tc>
          <w:tcPr>
            <w:tcW w:w="1080" w:type="dxa"/>
            <w:tcBorders>
              <w:top w:val="nil"/>
              <w:left w:val="nil"/>
              <w:bottom w:val="nil"/>
              <w:right w:val="nil"/>
            </w:tcBorders>
            <w:shd w:val="clear" w:color="auto" w:fill="auto"/>
            <w:noWrap/>
            <w:vAlign w:val="bottom"/>
            <w:hideMark/>
          </w:tcPr>
          <w:p w14:paraId="0E2FFD8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21CC8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54D6E6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9014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6D1C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54E75D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B039F4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14DCFB" w14:textId="77777777" w:rsidTr="00597E0D">
        <w:trPr>
          <w:trHeight w:val="300"/>
        </w:trPr>
        <w:tc>
          <w:tcPr>
            <w:tcW w:w="1080" w:type="dxa"/>
            <w:tcBorders>
              <w:top w:val="nil"/>
              <w:left w:val="nil"/>
              <w:bottom w:val="nil"/>
              <w:right w:val="nil"/>
            </w:tcBorders>
            <w:shd w:val="clear" w:color="auto" w:fill="auto"/>
            <w:noWrap/>
            <w:vAlign w:val="bottom"/>
            <w:hideMark/>
          </w:tcPr>
          <w:p w14:paraId="0419B63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706DB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192DEA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896B3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E20FF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7E8B566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27EF8A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7970B33" w14:textId="77777777" w:rsidTr="00597E0D">
        <w:trPr>
          <w:trHeight w:val="300"/>
        </w:trPr>
        <w:tc>
          <w:tcPr>
            <w:tcW w:w="1080" w:type="dxa"/>
            <w:tcBorders>
              <w:top w:val="nil"/>
              <w:left w:val="nil"/>
              <w:bottom w:val="nil"/>
              <w:right w:val="nil"/>
            </w:tcBorders>
            <w:shd w:val="clear" w:color="auto" w:fill="auto"/>
            <w:noWrap/>
            <w:vAlign w:val="bottom"/>
            <w:hideMark/>
          </w:tcPr>
          <w:p w14:paraId="676E4E4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DBD72A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37E526D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11128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01876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B3A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2B9A90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11946EA" w14:textId="77777777" w:rsidTr="00597E0D">
        <w:trPr>
          <w:trHeight w:val="300"/>
        </w:trPr>
        <w:tc>
          <w:tcPr>
            <w:tcW w:w="1080" w:type="dxa"/>
            <w:tcBorders>
              <w:top w:val="nil"/>
              <w:left w:val="nil"/>
              <w:bottom w:val="nil"/>
              <w:right w:val="nil"/>
            </w:tcBorders>
            <w:shd w:val="clear" w:color="auto" w:fill="auto"/>
            <w:noWrap/>
            <w:vAlign w:val="bottom"/>
            <w:hideMark/>
          </w:tcPr>
          <w:p w14:paraId="689575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8BE15E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F5BC3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76F4C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8F57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B0DD6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CEB11D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3D71F76E" w14:textId="77777777" w:rsidTr="00597E0D">
        <w:trPr>
          <w:trHeight w:val="300"/>
        </w:trPr>
        <w:tc>
          <w:tcPr>
            <w:tcW w:w="1080" w:type="dxa"/>
            <w:tcBorders>
              <w:top w:val="nil"/>
              <w:left w:val="nil"/>
              <w:bottom w:val="nil"/>
              <w:right w:val="nil"/>
            </w:tcBorders>
            <w:shd w:val="clear" w:color="auto" w:fill="auto"/>
            <w:noWrap/>
            <w:vAlign w:val="bottom"/>
            <w:hideMark/>
          </w:tcPr>
          <w:p w14:paraId="71C273F8"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4BE7DFC3"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1980209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37033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2616C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4E8D559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F19D7A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565535" w:rsidRPr="000D4B1B" w14:paraId="78D3BC49" w14:textId="77777777" w:rsidTr="00597E0D">
        <w:trPr>
          <w:trHeight w:val="300"/>
        </w:trPr>
        <w:tc>
          <w:tcPr>
            <w:tcW w:w="1080" w:type="dxa"/>
            <w:tcBorders>
              <w:top w:val="nil"/>
              <w:left w:val="nil"/>
              <w:bottom w:val="nil"/>
              <w:right w:val="nil"/>
            </w:tcBorders>
            <w:shd w:val="clear" w:color="auto" w:fill="auto"/>
            <w:noWrap/>
            <w:vAlign w:val="bottom"/>
            <w:hideMark/>
          </w:tcPr>
          <w:p w14:paraId="582E1C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C13457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0A5C455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DCD82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5BFB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ADE49B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3CBEA52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739E9AC9" w14:textId="77777777" w:rsidR="00565535" w:rsidRDefault="00565535">
      <w:pPr>
        <w:spacing w:line="240" w:lineRule="auto"/>
        <w:ind w:firstLine="0"/>
        <w:jc w:val="left"/>
      </w:pPr>
    </w:p>
    <w:p w14:paraId="176F071D" w14:textId="7E321ADD" w:rsidR="00C83A7E" w:rsidRDefault="00C83A7E" w:rsidP="00C83A7E">
      <w:pPr>
        <w:spacing w:line="240" w:lineRule="auto"/>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565535" w:rsidRPr="008E38DA" w14:paraId="376FFE35" w14:textId="77777777" w:rsidTr="00597E0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59F34A4F" w14:textId="77777777" w:rsidR="00565535" w:rsidRPr="008E38DA" w:rsidRDefault="00565535" w:rsidP="00597E0D">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6576A545"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3AF297A"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D6E5E4"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C3E3AFC"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A69C99D"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7684D73"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565535" w:rsidRPr="008E38DA" w14:paraId="374EB0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E78116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3F4016E0"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18BA584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D991E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18BE48C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56FA73D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613B343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565535" w:rsidRPr="008E38DA" w14:paraId="0C9937C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0C55BB5"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5C1F4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2979B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2ED9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14B140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584B63A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5F3B9A3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8C3E9B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CFDC5C6"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99402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83E0DE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FA9121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26EF4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4B5DC6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FD5D11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B78758D"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EEA543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EADC56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B7AF13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8380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D5373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7B4ECE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2F27B7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25A04A5"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74287E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646F0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E0520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5AFA7F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CAF4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B01DB0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413CBE3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174169A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270FE6A"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3DD057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1289C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E0B79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33F7E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9BB3DB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3BE15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1080B4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37E0BD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94C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5249E4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D8038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0BF2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F5CB21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72292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630DD5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CA5F4D2"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5ADD5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18D47AB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73C00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99A8D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2EE84E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36DCB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7456A30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BA8AA0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F8A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DBADD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C23DA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C47FB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F6415E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DA8808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212E83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B8955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644F53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E7FAF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372D82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DC43D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8225A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8E3B13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82DD5E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A647B2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BD443F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40C75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52CB95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CFED5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D00FA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76F60BC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CD534A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1733928"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C64AF9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DB1EC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BAB7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2143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A16B3A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73F6C44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05F59D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A52E35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58E811D6"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5A01366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7B90EA5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017A7B5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52DAC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F4F081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565535" w:rsidRPr="008E38DA" w14:paraId="295F39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9758B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B3224A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2DB5679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542A4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E5D9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2C2C99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5BC719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90A05F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5338D2F"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5BC2E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7F470F7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29F7C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12ED7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62C270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06E2E2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E5810A7" w14:textId="77777777" w:rsidR="00565535" w:rsidRDefault="00565535">
      <w:pPr>
        <w:spacing w:line="240" w:lineRule="auto"/>
        <w:ind w:firstLine="0"/>
        <w:jc w:val="left"/>
      </w:pPr>
    </w:p>
    <w:p w14:paraId="7618A7EA" w14:textId="2AEEBDDC" w:rsidR="00565535" w:rsidRDefault="00565535">
      <w:pPr>
        <w:spacing w:line="240" w:lineRule="auto"/>
        <w:ind w:firstLine="0"/>
        <w:jc w:val="left"/>
      </w:pPr>
      <w:r>
        <w:br w:type="page"/>
      </w:r>
    </w:p>
    <w:p w14:paraId="1EC45B0C" w14:textId="45F5DE06" w:rsidR="009F16B5" w:rsidRDefault="009F16B5" w:rsidP="009F16B5">
      <w:pPr>
        <w:pStyle w:val="Caption"/>
        <w:keepNext/>
      </w:pPr>
      <w:bookmarkStart w:id="21" w:name="_Ref169917219"/>
      <w:r>
        <w:lastRenderedPageBreak/>
        <w:t xml:space="preserve">Table </w:t>
      </w:r>
      <w:r>
        <w:fldChar w:fldCharType="begin"/>
      </w:r>
      <w:r>
        <w:instrText xml:space="preserve"> SEQ Table \* ARABIC </w:instrText>
      </w:r>
      <w:r>
        <w:fldChar w:fldCharType="separate"/>
      </w:r>
      <w:r w:rsidR="00930217">
        <w:rPr>
          <w:noProof/>
        </w:rPr>
        <w:t>5</w:t>
      </w:r>
      <w:r>
        <w:fldChar w:fldCharType="end"/>
      </w:r>
      <w:bookmarkEnd w:id="21"/>
      <w:r>
        <w:rPr>
          <w:noProof/>
        </w:rPr>
        <w:t xml:space="preserve"> </w:t>
      </w:r>
      <w:r w:rsidR="00C83A7E">
        <w:rPr>
          <w:noProof/>
        </w:rPr>
        <w:t>Selected Charactersitics of Control Variables</w:t>
      </w:r>
    </w:p>
    <w:tbl>
      <w:tblPr>
        <w:tblW w:w="4892" w:type="dxa"/>
        <w:jc w:val="center"/>
        <w:tblLook w:val="04A0" w:firstRow="1" w:lastRow="0" w:firstColumn="1" w:lastColumn="0" w:noHBand="0" w:noVBand="1"/>
      </w:tblPr>
      <w:tblGrid>
        <w:gridCol w:w="1378"/>
        <w:gridCol w:w="1714"/>
        <w:gridCol w:w="1800"/>
      </w:tblGrid>
      <w:tr w:rsidR="00565535" w:rsidRPr="00C61057" w14:paraId="2EAA49D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938691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74251D7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Unfiltered Dataset</w:t>
            </w:r>
          </w:p>
        </w:tc>
        <w:tc>
          <w:tcPr>
            <w:tcW w:w="1800" w:type="dxa"/>
            <w:tcBorders>
              <w:top w:val="nil"/>
              <w:left w:val="nil"/>
              <w:bottom w:val="nil"/>
              <w:right w:val="nil"/>
            </w:tcBorders>
            <w:shd w:val="clear" w:color="000000" w:fill="FFFFFF"/>
            <w:noWrap/>
            <w:vAlign w:val="bottom"/>
            <w:hideMark/>
          </w:tcPr>
          <w:p w14:paraId="4EE7D38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Main Dataset</w:t>
            </w:r>
          </w:p>
        </w:tc>
      </w:tr>
      <w:tr w:rsidR="00565535" w:rsidRPr="00C61057" w14:paraId="204F309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5DFA39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F945DB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noWrap/>
            <w:vAlign w:val="bottom"/>
            <w:hideMark/>
          </w:tcPr>
          <w:p w14:paraId="79DCA26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565535" w:rsidRPr="00C61057" w14:paraId="3081B57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90815B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714" w:type="dxa"/>
            <w:tcBorders>
              <w:top w:val="nil"/>
              <w:left w:val="nil"/>
              <w:bottom w:val="nil"/>
              <w:right w:val="nil"/>
            </w:tcBorders>
            <w:shd w:val="clear" w:color="000000" w:fill="FFFFFF"/>
            <w:noWrap/>
            <w:vAlign w:val="bottom"/>
            <w:hideMark/>
          </w:tcPr>
          <w:p w14:paraId="6635761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c>
          <w:tcPr>
            <w:tcW w:w="1800" w:type="dxa"/>
            <w:tcBorders>
              <w:top w:val="nil"/>
              <w:left w:val="nil"/>
              <w:bottom w:val="nil"/>
              <w:right w:val="nil"/>
            </w:tcBorders>
            <w:shd w:val="clear" w:color="000000" w:fill="FFFFFF"/>
            <w:noWrap/>
            <w:vAlign w:val="bottom"/>
            <w:hideMark/>
          </w:tcPr>
          <w:p w14:paraId="2C00A9E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r>
      <w:tr w:rsidR="00565535" w:rsidRPr="00C61057" w14:paraId="012915D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B1B6DD2"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714" w:type="dxa"/>
            <w:tcBorders>
              <w:top w:val="nil"/>
              <w:left w:val="nil"/>
              <w:bottom w:val="nil"/>
              <w:right w:val="nil"/>
            </w:tcBorders>
            <w:shd w:val="clear" w:color="000000" w:fill="FFFFFF"/>
            <w:noWrap/>
            <w:vAlign w:val="bottom"/>
            <w:hideMark/>
          </w:tcPr>
          <w:p w14:paraId="6650F8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c>
          <w:tcPr>
            <w:tcW w:w="1800" w:type="dxa"/>
            <w:tcBorders>
              <w:top w:val="nil"/>
              <w:left w:val="nil"/>
              <w:bottom w:val="nil"/>
              <w:right w:val="nil"/>
            </w:tcBorders>
            <w:shd w:val="clear" w:color="000000" w:fill="FFFFFF"/>
            <w:noWrap/>
            <w:vAlign w:val="bottom"/>
            <w:hideMark/>
          </w:tcPr>
          <w:p w14:paraId="4B4A6C4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r>
      <w:tr w:rsidR="00565535" w:rsidRPr="00C61057" w14:paraId="0BA8E56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038CE5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714" w:type="dxa"/>
            <w:tcBorders>
              <w:top w:val="nil"/>
              <w:left w:val="nil"/>
              <w:bottom w:val="nil"/>
              <w:right w:val="nil"/>
            </w:tcBorders>
            <w:shd w:val="clear" w:color="000000" w:fill="FFFFFF"/>
            <w:noWrap/>
            <w:vAlign w:val="bottom"/>
            <w:hideMark/>
          </w:tcPr>
          <w:p w14:paraId="3E50167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c>
          <w:tcPr>
            <w:tcW w:w="1800" w:type="dxa"/>
            <w:tcBorders>
              <w:top w:val="nil"/>
              <w:left w:val="nil"/>
              <w:bottom w:val="nil"/>
              <w:right w:val="nil"/>
            </w:tcBorders>
            <w:shd w:val="clear" w:color="000000" w:fill="FFFFFF"/>
            <w:noWrap/>
            <w:vAlign w:val="bottom"/>
            <w:hideMark/>
          </w:tcPr>
          <w:p w14:paraId="217B20E0"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r>
      <w:tr w:rsidR="00565535" w:rsidRPr="00C61057" w14:paraId="3FF0BE4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69746FF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714" w:type="dxa"/>
            <w:tcBorders>
              <w:top w:val="nil"/>
              <w:left w:val="nil"/>
              <w:bottom w:val="nil"/>
              <w:right w:val="nil"/>
            </w:tcBorders>
            <w:shd w:val="clear" w:color="000000" w:fill="FFFFFF"/>
            <w:noWrap/>
            <w:vAlign w:val="bottom"/>
            <w:hideMark/>
          </w:tcPr>
          <w:p w14:paraId="32F813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c>
          <w:tcPr>
            <w:tcW w:w="1800" w:type="dxa"/>
            <w:tcBorders>
              <w:top w:val="nil"/>
              <w:left w:val="nil"/>
              <w:bottom w:val="nil"/>
              <w:right w:val="nil"/>
            </w:tcBorders>
            <w:shd w:val="clear" w:color="000000" w:fill="FFFFFF"/>
            <w:noWrap/>
            <w:vAlign w:val="bottom"/>
            <w:hideMark/>
          </w:tcPr>
          <w:p w14:paraId="720835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r>
      <w:tr w:rsidR="00565535" w:rsidRPr="00C61057" w14:paraId="64AEEA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1BFBF2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714" w:type="dxa"/>
            <w:tcBorders>
              <w:top w:val="nil"/>
              <w:left w:val="nil"/>
              <w:bottom w:val="nil"/>
              <w:right w:val="nil"/>
            </w:tcBorders>
            <w:shd w:val="clear" w:color="000000" w:fill="FFFFFF"/>
            <w:noWrap/>
            <w:vAlign w:val="bottom"/>
            <w:hideMark/>
          </w:tcPr>
          <w:p w14:paraId="0415C29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c>
          <w:tcPr>
            <w:tcW w:w="1800" w:type="dxa"/>
            <w:tcBorders>
              <w:top w:val="nil"/>
              <w:left w:val="nil"/>
              <w:bottom w:val="nil"/>
              <w:right w:val="nil"/>
            </w:tcBorders>
            <w:shd w:val="clear" w:color="000000" w:fill="FFFFFF"/>
            <w:noWrap/>
            <w:vAlign w:val="bottom"/>
            <w:hideMark/>
          </w:tcPr>
          <w:p w14:paraId="51D7F3C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r>
      <w:tr w:rsidR="00565535" w:rsidRPr="00C61057" w14:paraId="2FCCDB5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581A7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3FFB854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2F356E1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F2661E3" w14:textId="77777777" w:rsidTr="00597E0D">
        <w:trPr>
          <w:trHeight w:val="680"/>
          <w:jc w:val="center"/>
        </w:trPr>
        <w:tc>
          <w:tcPr>
            <w:tcW w:w="1378" w:type="dxa"/>
            <w:tcBorders>
              <w:top w:val="nil"/>
              <w:left w:val="nil"/>
              <w:bottom w:val="nil"/>
              <w:right w:val="nil"/>
            </w:tcBorders>
            <w:shd w:val="clear" w:color="000000" w:fill="FFFFFF"/>
            <w:noWrap/>
            <w:vAlign w:val="bottom"/>
            <w:hideMark/>
          </w:tcPr>
          <w:p w14:paraId="61069B6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vAlign w:val="bottom"/>
            <w:hideMark/>
          </w:tcPr>
          <w:p w14:paraId="55848440"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hideMark/>
          </w:tcPr>
          <w:p w14:paraId="57D2702D"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565535" w:rsidRPr="00C61057" w14:paraId="15211D7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E861EC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714" w:type="dxa"/>
            <w:tcBorders>
              <w:top w:val="nil"/>
              <w:left w:val="nil"/>
              <w:bottom w:val="nil"/>
              <w:right w:val="nil"/>
            </w:tcBorders>
            <w:shd w:val="clear" w:color="000000" w:fill="FFFFFF"/>
            <w:noWrap/>
            <w:vAlign w:val="bottom"/>
            <w:hideMark/>
          </w:tcPr>
          <w:p w14:paraId="3A568B0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c>
          <w:tcPr>
            <w:tcW w:w="1800" w:type="dxa"/>
            <w:tcBorders>
              <w:top w:val="nil"/>
              <w:left w:val="nil"/>
              <w:bottom w:val="nil"/>
              <w:right w:val="nil"/>
            </w:tcBorders>
            <w:shd w:val="clear" w:color="000000" w:fill="FFFFFF"/>
            <w:noWrap/>
            <w:vAlign w:val="bottom"/>
            <w:hideMark/>
          </w:tcPr>
          <w:p w14:paraId="25219A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r>
      <w:tr w:rsidR="00565535" w:rsidRPr="00C61057" w14:paraId="7F2E8F4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273AE5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714" w:type="dxa"/>
            <w:tcBorders>
              <w:top w:val="nil"/>
              <w:left w:val="nil"/>
              <w:bottom w:val="nil"/>
              <w:right w:val="nil"/>
            </w:tcBorders>
            <w:shd w:val="clear" w:color="000000" w:fill="FFFFFF"/>
            <w:noWrap/>
            <w:vAlign w:val="bottom"/>
            <w:hideMark/>
          </w:tcPr>
          <w:p w14:paraId="1AF489E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c>
          <w:tcPr>
            <w:tcW w:w="1800" w:type="dxa"/>
            <w:tcBorders>
              <w:top w:val="nil"/>
              <w:left w:val="nil"/>
              <w:bottom w:val="nil"/>
              <w:right w:val="nil"/>
            </w:tcBorders>
            <w:shd w:val="clear" w:color="000000" w:fill="FFFFFF"/>
            <w:noWrap/>
            <w:vAlign w:val="bottom"/>
            <w:hideMark/>
          </w:tcPr>
          <w:p w14:paraId="325B99F8"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r>
      <w:tr w:rsidR="00565535" w:rsidRPr="00C61057" w14:paraId="498136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3B0B2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714" w:type="dxa"/>
            <w:tcBorders>
              <w:top w:val="nil"/>
              <w:left w:val="nil"/>
              <w:bottom w:val="nil"/>
              <w:right w:val="nil"/>
            </w:tcBorders>
            <w:shd w:val="clear" w:color="000000" w:fill="FFFFFF"/>
            <w:noWrap/>
            <w:vAlign w:val="bottom"/>
            <w:hideMark/>
          </w:tcPr>
          <w:p w14:paraId="4C28B7B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c>
          <w:tcPr>
            <w:tcW w:w="1800" w:type="dxa"/>
            <w:tcBorders>
              <w:top w:val="nil"/>
              <w:left w:val="nil"/>
              <w:bottom w:val="nil"/>
              <w:right w:val="nil"/>
            </w:tcBorders>
            <w:shd w:val="clear" w:color="000000" w:fill="FFFFFF"/>
            <w:noWrap/>
            <w:vAlign w:val="bottom"/>
            <w:hideMark/>
          </w:tcPr>
          <w:p w14:paraId="511C65F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r>
      <w:tr w:rsidR="00565535" w:rsidRPr="00C61057" w14:paraId="0BC16ED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05A78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714" w:type="dxa"/>
            <w:tcBorders>
              <w:top w:val="nil"/>
              <w:left w:val="nil"/>
              <w:bottom w:val="nil"/>
              <w:right w:val="nil"/>
            </w:tcBorders>
            <w:shd w:val="clear" w:color="000000" w:fill="FFFFFF"/>
            <w:noWrap/>
            <w:vAlign w:val="bottom"/>
            <w:hideMark/>
          </w:tcPr>
          <w:p w14:paraId="5CF92B0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c>
          <w:tcPr>
            <w:tcW w:w="1800" w:type="dxa"/>
            <w:tcBorders>
              <w:top w:val="nil"/>
              <w:left w:val="nil"/>
              <w:bottom w:val="nil"/>
              <w:right w:val="nil"/>
            </w:tcBorders>
            <w:shd w:val="clear" w:color="000000" w:fill="FFFFFF"/>
            <w:noWrap/>
            <w:vAlign w:val="bottom"/>
            <w:hideMark/>
          </w:tcPr>
          <w:p w14:paraId="5DF499E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r>
      <w:tr w:rsidR="00565535" w:rsidRPr="00C61057" w14:paraId="72BF051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6C5F6D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39C3E1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5C0624C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23F2E9A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33592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3DEF717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noWrap/>
            <w:vAlign w:val="bottom"/>
            <w:hideMark/>
          </w:tcPr>
          <w:p w14:paraId="25E02B8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565535" w:rsidRPr="00C61057" w14:paraId="5435232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FB99E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714" w:type="dxa"/>
            <w:tcBorders>
              <w:top w:val="nil"/>
              <w:left w:val="nil"/>
              <w:bottom w:val="nil"/>
              <w:right w:val="nil"/>
            </w:tcBorders>
            <w:shd w:val="clear" w:color="000000" w:fill="FFFFFF"/>
            <w:noWrap/>
            <w:vAlign w:val="bottom"/>
            <w:hideMark/>
          </w:tcPr>
          <w:p w14:paraId="274CA0D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c>
          <w:tcPr>
            <w:tcW w:w="1800" w:type="dxa"/>
            <w:tcBorders>
              <w:top w:val="nil"/>
              <w:left w:val="nil"/>
              <w:bottom w:val="nil"/>
              <w:right w:val="nil"/>
            </w:tcBorders>
            <w:shd w:val="clear" w:color="000000" w:fill="FFFFFF"/>
            <w:noWrap/>
            <w:vAlign w:val="bottom"/>
            <w:hideMark/>
          </w:tcPr>
          <w:p w14:paraId="41C2409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r>
      <w:tr w:rsidR="00565535" w:rsidRPr="00C61057" w14:paraId="0D93186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5921C0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714" w:type="dxa"/>
            <w:tcBorders>
              <w:top w:val="nil"/>
              <w:left w:val="nil"/>
              <w:bottom w:val="nil"/>
              <w:right w:val="nil"/>
            </w:tcBorders>
            <w:shd w:val="clear" w:color="000000" w:fill="FFFFFF"/>
            <w:noWrap/>
            <w:vAlign w:val="bottom"/>
            <w:hideMark/>
          </w:tcPr>
          <w:p w14:paraId="214B2838"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c>
          <w:tcPr>
            <w:tcW w:w="1800" w:type="dxa"/>
            <w:tcBorders>
              <w:top w:val="nil"/>
              <w:left w:val="nil"/>
              <w:bottom w:val="nil"/>
              <w:right w:val="nil"/>
            </w:tcBorders>
            <w:shd w:val="clear" w:color="000000" w:fill="FFFFFF"/>
            <w:noWrap/>
            <w:vAlign w:val="bottom"/>
            <w:hideMark/>
          </w:tcPr>
          <w:p w14:paraId="5B52ABB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r>
      <w:tr w:rsidR="00565535" w:rsidRPr="00C61057" w14:paraId="0077B08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F1BD75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A223AF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E3C0A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191E49F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ABC9C5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00C57E6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noWrap/>
            <w:vAlign w:val="bottom"/>
            <w:hideMark/>
          </w:tcPr>
          <w:p w14:paraId="338F3CD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565535" w:rsidRPr="00C61057" w14:paraId="1A31ACCD"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A07FFAA"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5FE7F76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noWrap/>
            <w:vAlign w:val="bottom"/>
            <w:hideMark/>
          </w:tcPr>
          <w:p w14:paraId="610BBBD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565535" w:rsidRPr="00C61057" w14:paraId="5537AEE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EBF06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017571A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noWrap/>
            <w:vAlign w:val="bottom"/>
            <w:hideMark/>
          </w:tcPr>
          <w:p w14:paraId="11967CA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565535" w:rsidRPr="00C61057" w14:paraId="4C4CC9B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43D189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46E60E9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noWrap/>
            <w:vAlign w:val="bottom"/>
            <w:hideMark/>
          </w:tcPr>
          <w:p w14:paraId="02CB4CC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565535" w:rsidRPr="00C61057" w14:paraId="59379D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E3CC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161D930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noWrap/>
            <w:vAlign w:val="bottom"/>
            <w:hideMark/>
          </w:tcPr>
          <w:p w14:paraId="079E267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565535" w:rsidRPr="00C61057" w14:paraId="5F07EC4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59DFB9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58C8B54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noWrap/>
            <w:vAlign w:val="bottom"/>
            <w:hideMark/>
          </w:tcPr>
          <w:p w14:paraId="26DF49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565535" w:rsidRPr="00C61057" w14:paraId="6076C2C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E00A6A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0A06315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noWrap/>
            <w:vAlign w:val="bottom"/>
            <w:hideMark/>
          </w:tcPr>
          <w:p w14:paraId="2AA03DF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565535" w:rsidRPr="00C61057" w14:paraId="32D5B8D0"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71B9BD8"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9368CD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0CC669C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420FA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C1FC72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A27D07F"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noWrap/>
            <w:vAlign w:val="bottom"/>
            <w:hideMark/>
          </w:tcPr>
          <w:p w14:paraId="6476943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565535" w:rsidRPr="00C61057" w14:paraId="0B3361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032A43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61D1F22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noWrap/>
            <w:vAlign w:val="bottom"/>
            <w:hideMark/>
          </w:tcPr>
          <w:p w14:paraId="4E43698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565535" w:rsidRPr="00C61057" w14:paraId="66A4B3E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D32BA2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2E1BAEF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c>
          <w:tcPr>
            <w:tcW w:w="1800" w:type="dxa"/>
            <w:tcBorders>
              <w:top w:val="nil"/>
              <w:left w:val="nil"/>
              <w:bottom w:val="nil"/>
              <w:right w:val="nil"/>
            </w:tcBorders>
            <w:shd w:val="clear" w:color="000000" w:fill="FFFFFF"/>
            <w:noWrap/>
            <w:vAlign w:val="bottom"/>
            <w:hideMark/>
          </w:tcPr>
          <w:p w14:paraId="771473A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r>
      <w:tr w:rsidR="00565535" w:rsidRPr="00C61057" w14:paraId="48A8593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796FC5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565B516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noWrap/>
            <w:vAlign w:val="bottom"/>
            <w:hideMark/>
          </w:tcPr>
          <w:p w14:paraId="084E8DF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565535" w:rsidRPr="00C61057" w14:paraId="58068C7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73D78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601FCDCD"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noWrap/>
            <w:vAlign w:val="bottom"/>
            <w:hideMark/>
          </w:tcPr>
          <w:p w14:paraId="3F270C1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565535" w:rsidRPr="00C61057" w14:paraId="552ECB2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E46A1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6B2163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noWrap/>
            <w:vAlign w:val="bottom"/>
            <w:hideMark/>
          </w:tcPr>
          <w:p w14:paraId="390A24B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565535" w:rsidRPr="00C61057" w14:paraId="61EC57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F33A4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7B3E8C32"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c>
          <w:tcPr>
            <w:tcW w:w="1800" w:type="dxa"/>
            <w:tcBorders>
              <w:top w:val="nil"/>
              <w:left w:val="nil"/>
              <w:bottom w:val="nil"/>
              <w:right w:val="nil"/>
            </w:tcBorders>
            <w:shd w:val="clear" w:color="000000" w:fill="FFFFFF"/>
            <w:noWrap/>
            <w:vAlign w:val="bottom"/>
            <w:hideMark/>
          </w:tcPr>
          <w:p w14:paraId="29955BB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r>
    </w:tbl>
    <w:p w14:paraId="16E08273" w14:textId="77777777" w:rsidR="00565535" w:rsidRDefault="00565535">
      <w:pPr>
        <w:spacing w:line="240" w:lineRule="auto"/>
        <w:ind w:firstLine="0"/>
        <w:jc w:val="left"/>
        <w:rPr>
          <w:rFonts w:asciiTheme="majorHAnsi" w:eastAsiaTheme="majorEastAsia" w:hAnsiTheme="majorHAnsi" w:cstheme="majorBidi"/>
          <w:color w:val="0F4761" w:themeColor="accent1" w:themeShade="BF"/>
          <w:sz w:val="40"/>
          <w:szCs w:val="40"/>
        </w:rPr>
      </w:pPr>
      <w:r>
        <w:br w:type="page"/>
      </w:r>
    </w:p>
    <w:p w14:paraId="3E607767" w14:textId="07E92942" w:rsidR="00E162B2" w:rsidRDefault="00E162B2" w:rsidP="00076D05">
      <w:pPr>
        <w:pStyle w:val="Heading1"/>
      </w:pPr>
      <w:bookmarkStart w:id="22" w:name="_Ref169916076"/>
      <w:r>
        <w:lastRenderedPageBreak/>
        <w:t>Results</w:t>
      </w:r>
      <w:bookmarkEnd w:id="22"/>
    </w:p>
    <w:p w14:paraId="4624B044" w14:textId="385C6449" w:rsidR="00565535" w:rsidRPr="00565535" w:rsidRDefault="00565535" w:rsidP="00076D05">
      <w:pPr>
        <w:pStyle w:val="Heading2"/>
      </w:pPr>
      <w:r>
        <w:t>Prices</w:t>
      </w:r>
    </w:p>
    <w:p w14:paraId="7CE97D71" w14:textId="6EB5DA2A" w:rsidR="00916B59" w:rsidRDefault="00916B59" w:rsidP="00916B59">
      <w:r>
        <w:t xml:space="preserve">For analyzing the impact of the clearing mandate on prices, I compare USD LIBOR denominated contracts against </w:t>
      </w:r>
      <w:r w:rsidR="00036F9C">
        <w:t>CAD</w:t>
      </w:r>
      <w:r>
        <w:t xml:space="preserve"> CDOR contracts. USD LIBOR contracts are subject to the CFTC clearing mandate (note that USD denominated contracts using another floating rate index such as the Federal Funds Rate </w:t>
      </w:r>
      <w:r w:rsidR="00036F9C">
        <w:t>are</w:t>
      </w:r>
      <w:r>
        <w:t xml:space="preserve"> not subject to the clearing mandate, but these contracts can be voluntarily cleared.</w:t>
      </w:r>
    </w:p>
    <w:p w14:paraId="7EE9C1FE" w14:textId="4F298869" w:rsidR="00916B59" w:rsidRDefault="00667B32" w:rsidP="00916B59">
      <w:r>
        <w:fldChar w:fldCharType="begin"/>
      </w:r>
      <w:r>
        <w:instrText xml:space="preserve"> REF _Ref169917265 \h </w:instrText>
      </w:r>
      <w:r>
        <w:fldChar w:fldCharType="separate"/>
      </w:r>
      <w:r>
        <w:t>T</w:t>
      </w:r>
      <w:r>
        <w:t>a</w:t>
      </w:r>
      <w:r>
        <w:t xml:space="preserve">ble </w:t>
      </w:r>
      <w:r>
        <w:rPr>
          <w:noProof/>
        </w:rPr>
        <w:t>6</w:t>
      </w:r>
      <w:r>
        <w:fldChar w:fldCharType="end"/>
      </w:r>
      <w:r>
        <w:t xml:space="preserve"> </w:t>
      </w:r>
      <w:r w:rsidR="00916B59">
        <w:t>lists the DiD results for the swap premium. Column 1 shows a basic model without any controls for contract characteristics. The clearing mandate causes a ~14 bps rise in premia. As expected, reducing the riskiness of the contract increases its price. Column 2 shows the effects additional controls, such as the (log) notional value of the contract, day and period of trading and whether the notional value was “capped” (i.e. the exact value was not reported to the trade repo). In this model, premia rise by ~ 13 bps. Thus, the results are robust to such controls.</w:t>
      </w:r>
    </w:p>
    <w:p w14:paraId="4663F5CF" w14:textId="4BD1CEFE" w:rsidR="00916B59" w:rsidRDefault="00916B59" w:rsidP="00916B59">
      <w:r>
        <w:t>Using Wednesday as the reference level, I note that there is a 1-3 bps increase in the premium depending on the trading day. There is also a 1.0-1.3 bps decrease in the premium for trading in morning, afternoon or off hours trading sessions (as compared to mid-day). Note that both results contrast with assumptions of “efficient markets”, where there should be no arbitrage opportunities by trading during special days or times. A one-year increase in the tenor is associated with a 0.03 bps increase in the premium. A one percent increase in the notional value is associated with a 0.77 bps increase in the premium. Again, these result contrast with expectations from “efficient market” assumptions because arbitrage opportunities exist (for example, a dealer can make a riskless profit by agreeing to receive a fixed rate on a higher-priced a “large” contract and agreeing to pay the fixed-rate for two lower-priced “small” contracts). However, these differences could be related to liquidity</w:t>
      </w:r>
      <w:r w:rsidR="00036F9C">
        <w:t xml:space="preserve">, </w:t>
      </w:r>
      <w:r>
        <w:t>counterparty risk, or other contract characteristics of larger and longer swaps, which is not observable in our data. Although statistically significant, the magnitude</w:t>
      </w:r>
      <w:r w:rsidR="00273AE0">
        <w:t>s</w:t>
      </w:r>
      <w:r>
        <w:t xml:space="preserve"> of the effects are small, ranging from 0.03 to 3 bps.</w:t>
      </w:r>
    </w:p>
    <w:p w14:paraId="22E0FE2B" w14:textId="77777777" w:rsidR="00972AF2" w:rsidRDefault="00337EDA" w:rsidP="00337EDA">
      <w:r>
        <w:fldChar w:fldCharType="begin"/>
      </w:r>
      <w:r>
        <w:instrText xml:space="preserve"> REF _Ref169917329 \h </w:instrText>
      </w:r>
      <w:r>
        <w:fldChar w:fldCharType="separate"/>
      </w:r>
      <w:r>
        <w:t xml:space="preserve">Table </w:t>
      </w:r>
      <w:r>
        <w:rPr>
          <w:noProof/>
        </w:rPr>
        <w:t>7</w:t>
      </w:r>
      <w:r>
        <w:fldChar w:fldCharType="end"/>
      </w:r>
      <w:r>
        <w:t xml:space="preserve"> </w:t>
      </w:r>
      <w:r w:rsidR="00916B59">
        <w:t xml:space="preserve">shows the result of running the simple model on each phase of the data separately. In phase 1, there is no effect of the clearing mandate on the premium. As noted previously, in phase 1, the clearing mandate only applied to a limited set of market participants (dealers, major swaps participants and active funds). </w:t>
      </w:r>
      <w:r w:rsidR="008F3A03">
        <w:t>One explanation for this could be that a</w:t>
      </w:r>
      <w:r w:rsidR="00916B59">
        <w:t xml:space="preserve">lthough the volume of </w:t>
      </w:r>
      <w:r w:rsidR="00916B59">
        <w:lastRenderedPageBreak/>
        <w:t>contracts that were cleared increased after the phase 1, perceptions of counterparty risk did not, likely due to the limited number of participants who were affected. In phase 2 and phase 3, a larger set of market participants fell under the mandate, and the premium increased, as would be expected if clearing diminished counterparty risk.</w:t>
      </w:r>
    </w:p>
    <w:p w14:paraId="5DD91C67" w14:textId="24974506" w:rsidR="00916B59" w:rsidRDefault="00972AF2" w:rsidP="00337EDA">
      <w:r>
        <w:fldChar w:fldCharType="begin"/>
      </w:r>
      <w:r>
        <w:instrText xml:space="preserve"> REF _Ref170032710 \h </w:instrText>
      </w:r>
      <w:r>
        <w:fldChar w:fldCharType="separate"/>
      </w:r>
      <w:r>
        <w:t>Table</w:t>
      </w:r>
      <w:r>
        <w:t xml:space="preserve"> </w:t>
      </w:r>
      <w:r>
        <w:rPr>
          <w:noProof/>
        </w:rPr>
        <w:t>8</w:t>
      </w:r>
      <w:r>
        <w:fldChar w:fldCharType="end"/>
      </w:r>
      <w:r>
        <w:t xml:space="preserve"> </w:t>
      </w:r>
      <w:r w:rsidR="00916B59">
        <w:t xml:space="preserve">shows the results from a placebo difference-in-differences regression. I pick the 20 trading days before the periods studied above (60 trading days in total across three phases). I create a “placebo” difference-in-differences, as if there was a transition to clearing mandate on </w:t>
      </w:r>
      <w:r w:rsidR="00EE0253">
        <w:t>the 11</w:t>
      </w:r>
      <w:r w:rsidR="00EE0253" w:rsidRPr="00EE0253">
        <w:rPr>
          <w:vertAlign w:val="superscript"/>
        </w:rPr>
        <w:t>th</w:t>
      </w:r>
      <w:r w:rsidR="00EE0253">
        <w:t xml:space="preserve"> trading day (i.e. </w:t>
      </w:r>
      <w:r w:rsidR="00916B59">
        <w:t>Feb 11, May 13 and Aug 12</w:t>
      </w:r>
      <w:r w:rsidR="00EE0253">
        <w:t>)</w:t>
      </w:r>
      <w:r w:rsidR="00916B59">
        <w:t>. The results do not show any effect from this placebo DiD, further strengthening our belief that the increase in premia seen in the actual DiD is real.</w:t>
      </w:r>
    </w:p>
    <w:p w14:paraId="373FEAB1" w14:textId="31E657EB" w:rsidR="008F3A03" w:rsidRDefault="008F3A03" w:rsidP="00337EDA">
      <w:r>
        <w:fldChar w:fldCharType="begin"/>
      </w:r>
      <w:r>
        <w:instrText xml:space="preserve"> REF _Ref170030812 \h </w:instrText>
      </w:r>
      <w:r>
        <w:fldChar w:fldCharType="separate"/>
      </w:r>
      <w:r w:rsidR="00972AF2">
        <w:t xml:space="preserve">Table </w:t>
      </w:r>
      <w:r w:rsidR="00972AF2">
        <w:rPr>
          <w:noProof/>
        </w:rPr>
        <w:t>9</w:t>
      </w:r>
      <w:r>
        <w:fldChar w:fldCharType="end"/>
      </w:r>
      <w:r>
        <w:t xml:space="preserve"> shows the results of a similar regression using </w:t>
      </w:r>
      <w:r w:rsidR="00972AF2">
        <w:t xml:space="preserve">an alternative currency pair. The CFTC clearing mandate also affected contracts denominated in GBP using the LIBOR as the reference rate (with implementation dates the same as the USD LIBOR clearing mandate). These contracts serve as the treatment group. The clearing mandate did not apply to CHF denominated </w:t>
      </w:r>
      <w:r w:rsidR="00EE0253">
        <w:t>contracts,</w:t>
      </w:r>
      <w:r w:rsidR="00972AF2">
        <w:t xml:space="preserve"> and this serves as the control group. The clearing mandate had a similar (but smaller) impact</w:t>
      </w:r>
      <w:r w:rsidR="00EE0253">
        <w:t xml:space="preserve"> on prices of GBP-denominated swaps, further strengthening our belief that clearing reduces counterparty risk and increases contract premia.</w:t>
      </w:r>
    </w:p>
    <w:p w14:paraId="0C30AB93" w14:textId="082EE717" w:rsidR="00565535" w:rsidRDefault="00565535">
      <w:pPr>
        <w:spacing w:line="240" w:lineRule="auto"/>
        <w:ind w:firstLine="0"/>
        <w:jc w:val="left"/>
      </w:pPr>
    </w:p>
    <w:p w14:paraId="6E1F7607" w14:textId="77777777" w:rsidR="009F16B5" w:rsidRDefault="00565535">
      <w:pPr>
        <w:spacing w:line="240" w:lineRule="auto"/>
        <w:ind w:firstLine="0"/>
        <w:jc w:val="left"/>
      </w:pPr>
      <w:r>
        <w:br w:type="page"/>
      </w:r>
    </w:p>
    <w:p w14:paraId="47FFC9DA" w14:textId="203354C7" w:rsidR="009F16B5" w:rsidRDefault="009F16B5" w:rsidP="009F16B5">
      <w:pPr>
        <w:pStyle w:val="Caption"/>
        <w:keepNext/>
        <w:jc w:val="left"/>
      </w:pPr>
      <w:bookmarkStart w:id="23" w:name="_Ref169917265"/>
      <w:r>
        <w:lastRenderedPageBreak/>
        <w:t xml:space="preserve">Table </w:t>
      </w:r>
      <w:r>
        <w:fldChar w:fldCharType="begin"/>
      </w:r>
      <w:r>
        <w:instrText xml:space="preserve"> SEQ Table \* ARABIC </w:instrText>
      </w:r>
      <w:r>
        <w:fldChar w:fldCharType="separate"/>
      </w:r>
      <w:r w:rsidR="00930217">
        <w:rPr>
          <w:noProof/>
        </w:rPr>
        <w:t>6</w:t>
      </w:r>
      <w:r>
        <w:fldChar w:fldCharType="end"/>
      </w:r>
      <w:bookmarkEnd w:id="23"/>
      <w:r>
        <w:rPr>
          <w:noProof/>
        </w:rPr>
        <w:t xml:space="preserve"> </w:t>
      </w:r>
      <w:r w:rsidR="00C7357E">
        <w:rPr>
          <w:noProof/>
        </w:rPr>
        <w:t>Difference-in-Difference Results for Prices</w:t>
      </w:r>
    </w:p>
    <w:bookmarkStart w:id="24" w:name="_MON_1780402658"/>
    <w:bookmarkEnd w:id="24"/>
    <w:p w14:paraId="321452F9" w14:textId="7FB3EC19" w:rsidR="00565535" w:rsidRDefault="00612436">
      <w:pPr>
        <w:spacing w:line="240" w:lineRule="auto"/>
        <w:ind w:firstLine="0"/>
        <w:jc w:val="left"/>
      </w:pPr>
      <w:r w:rsidRPr="00612436">
        <w:rPr>
          <w:noProof/>
          <w14:ligatures w14:val="standardContextual"/>
        </w:rPr>
        <w:object w:dxaOrig="9360" w:dyaOrig="11240" w14:anchorId="69C312B0">
          <v:shape id="_x0000_i1032" type="#_x0000_t75" alt="" style="width:468pt;height:562.1pt;mso-width-percent:0;mso-height-percent:0;mso-width-percent:0;mso-height-percent:0" o:ole="">
            <v:imagedata r:id="rId29" o:title=""/>
          </v:shape>
          <o:OLEObject Type="Embed" ProgID="Word.Document.12" ShapeID="_x0000_i1032" DrawAspect="Content" ObjectID="_1780665065" r:id="rId30">
            <o:FieldCodes>\s</o:FieldCodes>
          </o:OLEObject>
        </w:object>
      </w:r>
    </w:p>
    <w:p w14:paraId="7919EE43" w14:textId="7A5DD261" w:rsidR="009F16B5" w:rsidRDefault="009F16B5" w:rsidP="00337EDA">
      <w:pPr>
        <w:pStyle w:val="Caption"/>
      </w:pPr>
      <w:r>
        <w:br w:type="page"/>
      </w:r>
      <w:bookmarkStart w:id="25" w:name="_Ref169917329"/>
      <w:r>
        <w:lastRenderedPageBreak/>
        <w:t xml:space="preserve">Table </w:t>
      </w:r>
      <w:r>
        <w:fldChar w:fldCharType="begin"/>
      </w:r>
      <w:r>
        <w:instrText xml:space="preserve"> SEQ Table \* ARABIC </w:instrText>
      </w:r>
      <w:r>
        <w:fldChar w:fldCharType="separate"/>
      </w:r>
      <w:r w:rsidR="00930217">
        <w:rPr>
          <w:noProof/>
        </w:rPr>
        <w:t>7</w:t>
      </w:r>
      <w:r>
        <w:fldChar w:fldCharType="end"/>
      </w:r>
      <w:bookmarkEnd w:id="25"/>
      <w:r>
        <w:rPr>
          <w:noProof/>
        </w:rPr>
        <w:t xml:space="preserve"> </w:t>
      </w:r>
      <w:r w:rsidR="00C7357E">
        <w:rPr>
          <w:noProof/>
        </w:rPr>
        <w:t>Difference-in-Dfferences results for prices by phase</w:t>
      </w:r>
    </w:p>
    <w:bookmarkStart w:id="26" w:name="_MON_1780402773"/>
    <w:bookmarkEnd w:id="26"/>
    <w:p w14:paraId="73C71186" w14:textId="54A37362" w:rsidR="009F16B5" w:rsidRDefault="00612436">
      <w:pPr>
        <w:spacing w:line="240" w:lineRule="auto"/>
        <w:ind w:firstLine="0"/>
        <w:jc w:val="left"/>
      </w:pPr>
      <w:r w:rsidRPr="00612436">
        <w:rPr>
          <w:noProof/>
          <w14:ligatures w14:val="standardContextual"/>
        </w:rPr>
        <w:object w:dxaOrig="9360" w:dyaOrig="10520" w14:anchorId="66719175">
          <v:shape id="_x0000_i1031" type="#_x0000_t75" alt="" style="width:468pt;height:526.1pt;mso-width-percent:0;mso-height-percent:0;mso-width-percent:0;mso-height-percent:0" o:ole="">
            <v:imagedata r:id="rId31" o:title=""/>
          </v:shape>
          <o:OLEObject Type="Embed" ProgID="Word.Document.12" ShapeID="_x0000_i1031" DrawAspect="Content" ObjectID="_1780665066" r:id="rId32">
            <o:FieldCodes>\s</o:FieldCodes>
          </o:OLEObject>
        </w:object>
      </w:r>
    </w:p>
    <w:p w14:paraId="22F5BA65" w14:textId="77777777" w:rsidR="00972AF2" w:rsidRDefault="009F16B5">
      <w:pPr>
        <w:spacing w:line="240" w:lineRule="auto"/>
        <w:ind w:firstLine="0"/>
        <w:jc w:val="left"/>
      </w:pPr>
      <w:r>
        <w:br w:type="page"/>
      </w:r>
    </w:p>
    <w:p w14:paraId="47FC7B80" w14:textId="7F9F61A0" w:rsidR="00972AF2" w:rsidRDefault="00972AF2" w:rsidP="00972AF2">
      <w:pPr>
        <w:pStyle w:val="Caption"/>
        <w:keepNext/>
        <w:jc w:val="left"/>
      </w:pPr>
      <w:bookmarkStart w:id="27" w:name="_Ref170032710"/>
      <w:r>
        <w:lastRenderedPageBreak/>
        <w:t xml:space="preserve">Table </w:t>
      </w:r>
      <w:r>
        <w:fldChar w:fldCharType="begin"/>
      </w:r>
      <w:r>
        <w:instrText xml:space="preserve"> SEQ Table \* ARABIC </w:instrText>
      </w:r>
      <w:r>
        <w:fldChar w:fldCharType="separate"/>
      </w:r>
      <w:r w:rsidR="00930217">
        <w:rPr>
          <w:noProof/>
        </w:rPr>
        <w:t>8</w:t>
      </w:r>
      <w:r>
        <w:fldChar w:fldCharType="end"/>
      </w:r>
      <w:bookmarkEnd w:id="27"/>
      <w:r>
        <w:rPr>
          <w:noProof/>
        </w:rPr>
        <w:t xml:space="preserve"> Placebo DiD Results</w:t>
      </w:r>
    </w:p>
    <w:bookmarkStart w:id="28" w:name="_MON_1780645458"/>
    <w:bookmarkEnd w:id="28"/>
    <w:p w14:paraId="00F90BB1" w14:textId="749C159A" w:rsidR="008F3A03" w:rsidRDefault="00612436">
      <w:pPr>
        <w:spacing w:line="240" w:lineRule="auto"/>
        <w:ind w:firstLine="0"/>
        <w:jc w:val="left"/>
      </w:pPr>
      <w:r w:rsidRPr="00612436">
        <w:rPr>
          <w:noProof/>
          <w14:ligatures w14:val="standardContextual"/>
        </w:rPr>
        <w:object w:dxaOrig="9360" w:dyaOrig="10520" w14:anchorId="3BFDD1B9">
          <v:shape id="_x0000_i1030" type="#_x0000_t75" alt="" style="width:468pt;height:526.1pt;mso-width-percent:0;mso-height-percent:0;mso-width-percent:0;mso-height-percent:0" o:ole="">
            <v:imagedata r:id="rId33" o:title=""/>
          </v:shape>
          <o:OLEObject Type="Embed" ProgID="Word.Document.12" ShapeID="_x0000_i1030" DrawAspect="Content" ObjectID="_1780665067" r:id="rId34">
            <o:FieldCodes>\s</o:FieldCodes>
          </o:OLEObject>
        </w:object>
      </w:r>
      <w:r w:rsidR="008F3A03">
        <w:br w:type="page"/>
      </w:r>
    </w:p>
    <w:p w14:paraId="7F9E88BE" w14:textId="77777777" w:rsidR="008F3A03" w:rsidRDefault="008F3A03">
      <w:pPr>
        <w:spacing w:line="240" w:lineRule="auto"/>
        <w:ind w:firstLine="0"/>
        <w:jc w:val="left"/>
      </w:pPr>
    </w:p>
    <w:p w14:paraId="6D422AEA" w14:textId="45D05066" w:rsidR="008F3A03" w:rsidRDefault="008F3A03" w:rsidP="008F3A03">
      <w:pPr>
        <w:pStyle w:val="Caption"/>
        <w:keepNext/>
        <w:jc w:val="left"/>
      </w:pPr>
      <w:bookmarkStart w:id="29" w:name="_Ref170030812"/>
      <w:r>
        <w:t xml:space="preserve">Table </w:t>
      </w:r>
      <w:r>
        <w:fldChar w:fldCharType="begin"/>
      </w:r>
      <w:r>
        <w:instrText xml:space="preserve"> SEQ Table \* ARABIC </w:instrText>
      </w:r>
      <w:r>
        <w:fldChar w:fldCharType="separate"/>
      </w:r>
      <w:r w:rsidR="00930217">
        <w:rPr>
          <w:noProof/>
        </w:rPr>
        <w:t>9</w:t>
      </w:r>
      <w:r>
        <w:fldChar w:fldCharType="end"/>
      </w:r>
      <w:bookmarkEnd w:id="29"/>
      <w:r>
        <w:rPr>
          <w:noProof/>
        </w:rPr>
        <w:t xml:space="preserve"> Alternative Currency Pair</w:t>
      </w:r>
      <w:r w:rsidR="00EE0253">
        <w:rPr>
          <w:noProof/>
        </w:rPr>
        <w:t xml:space="preserve"> (GBP denominated contracts serve as the treatment group and CHF denominated contracts serve as the control group)</w:t>
      </w:r>
    </w:p>
    <w:bookmarkStart w:id="30" w:name="_MON_1780643515"/>
    <w:bookmarkEnd w:id="30"/>
    <w:p w14:paraId="4EAC7263" w14:textId="2C5982BB" w:rsidR="008F3A03" w:rsidRDefault="00612436">
      <w:pPr>
        <w:spacing w:line="240" w:lineRule="auto"/>
        <w:ind w:firstLine="0"/>
        <w:jc w:val="left"/>
      </w:pPr>
      <w:r w:rsidRPr="00612436">
        <w:rPr>
          <w:noProof/>
          <w14:ligatures w14:val="standardContextual"/>
        </w:rPr>
        <w:object w:dxaOrig="9360" w:dyaOrig="10520" w14:anchorId="1ED621C2">
          <v:shape id="_x0000_i1029" type="#_x0000_t75" alt="" style="width:468pt;height:526.1pt;mso-width-percent:0;mso-height-percent:0;mso-width-percent:0;mso-height-percent:0" o:ole="">
            <v:imagedata r:id="rId35" o:title=""/>
          </v:shape>
          <o:OLEObject Type="Embed" ProgID="Word.Document.12" ShapeID="_x0000_i1029" DrawAspect="Content" ObjectID="_1780665068" r:id="rId36">
            <o:FieldCodes>\s</o:FieldCodes>
          </o:OLEObject>
        </w:object>
      </w:r>
      <w:r w:rsidR="008F3A03">
        <w:br w:type="page"/>
      </w:r>
    </w:p>
    <w:p w14:paraId="75158D54" w14:textId="77777777" w:rsidR="009F16B5" w:rsidRDefault="009F16B5">
      <w:pPr>
        <w:spacing w:line="240" w:lineRule="auto"/>
        <w:ind w:firstLine="0"/>
        <w:jc w:val="left"/>
      </w:pPr>
    </w:p>
    <w:p w14:paraId="35C36E7D" w14:textId="77777777" w:rsidR="009F16B5" w:rsidRDefault="009F16B5">
      <w:pPr>
        <w:spacing w:line="240" w:lineRule="auto"/>
        <w:ind w:firstLine="0"/>
        <w:jc w:val="left"/>
      </w:pPr>
    </w:p>
    <w:p w14:paraId="3E0C6F25" w14:textId="11D3D4A9" w:rsidR="00AF5C18" w:rsidRDefault="000E7A31" w:rsidP="00AF5C18">
      <w:r>
        <w:fldChar w:fldCharType="begin"/>
      </w:r>
      <w:r>
        <w:instrText xml:space="preserve"> REF _Ref170051638 \h </w:instrText>
      </w:r>
      <w:r>
        <w:fldChar w:fldCharType="separate"/>
      </w:r>
      <w:r>
        <w:t xml:space="preserve">Table </w:t>
      </w:r>
      <w:r>
        <w:rPr>
          <w:noProof/>
        </w:rPr>
        <w:t>10</w:t>
      </w:r>
      <w:r>
        <w:fldChar w:fldCharType="end"/>
      </w:r>
      <w:r w:rsidR="00337EDA">
        <w:t xml:space="preserve"> </w:t>
      </w:r>
      <w:r w:rsidR="00AF5C18">
        <w:t xml:space="preserve">shows the results of difference-in-difference regression for the relative bid-ask spreads. Note that since the period of study is short (ten trading days before and ten trading after the clearing mandate implementation), and since liquidity is a “market wide”,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since these variables do not vary during the short period studied, they cannot be controlled for. Two control variables that proxy financial market conditions are added to the more complex model: a measure of equity market volatility and a measure for equity market return. For the volatility measure, I use the CBOE VIX Index, which measures the 30-day expected realized variance of the S&amp;P 500 index and its Canadian equivalent (the S&amp;P TSX VIX). For </w:t>
      </w:r>
    </w:p>
    <w:p w14:paraId="1DDD2C1C" w14:textId="7BE1E897" w:rsidR="0086424C" w:rsidRDefault="00AF5C18" w:rsidP="005D2017">
      <w:r>
        <w:t xml:space="preserve">The clearing mandate does not impact the liquidity as measured by </w:t>
      </w:r>
      <w:r w:rsidR="000E7A31">
        <w:t xml:space="preserve">relative </w:t>
      </w:r>
      <w:r>
        <w:t>bid-ask spreads. As noted in the theory section, we should expect reductions in counterparty risk of interest rate swaps to cause a narrowing of the bid-ask spread (the spread is charged by dealers to offset their expected losses from holding inventory). However, the spread is also driven by supply and demand conditions in the market. As explored in the pricing section, a reduction in riskiness of IRS increases their demand. If the swaps market is monopolistic (that is, new swaps dealers face barriers to entry), then incumbent dealers can choose not to lower their bid-ask spreads and pocket the additional profits from the high demand.</w:t>
      </w:r>
    </w:p>
    <w:p w14:paraId="14112B47" w14:textId="6599AE4C" w:rsidR="000E7A31" w:rsidRDefault="000E7A31" w:rsidP="005D2017">
      <w:r>
        <w:fldChar w:fldCharType="begin"/>
      </w:r>
      <w:r>
        <w:instrText xml:space="preserve"> REF _Ref170051781 \h </w:instrText>
      </w:r>
      <w:r>
        <w:fldChar w:fldCharType="separate"/>
      </w:r>
      <w:r>
        <w:t xml:space="preserve">Table </w:t>
      </w:r>
      <w:r>
        <w:rPr>
          <w:noProof/>
        </w:rPr>
        <w:t>11</w:t>
      </w:r>
      <w:r>
        <w:fldChar w:fldCharType="end"/>
      </w:r>
      <w:r>
        <w:t xml:space="preserve"> and </w:t>
      </w:r>
      <w:r>
        <w:fldChar w:fldCharType="begin"/>
      </w:r>
      <w:r>
        <w:instrText xml:space="preserve"> REF _Ref170051786 \h </w:instrText>
      </w:r>
      <w:r>
        <w:fldChar w:fldCharType="separate"/>
      </w:r>
      <w:r>
        <w:t xml:space="preserve">Table </w:t>
      </w:r>
      <w:r>
        <w:rPr>
          <w:noProof/>
        </w:rPr>
        <w:t>12</w:t>
      </w:r>
      <w:r>
        <w:fldChar w:fldCharType="end"/>
      </w:r>
      <w:r>
        <w:t xml:space="preserve"> show the results for the Roll and Amihud measure respectively. These measures also do not </w:t>
      </w:r>
      <w:r w:rsidR="00840D4C">
        <w:t xml:space="preserve">show any impact of the clearing mandate on liquidity. As described earlier, in monopolistic markets, increase in demand due to </w:t>
      </w:r>
      <w:r w:rsidR="00930217">
        <w:t xml:space="preserve">less counterparty risk can be captured as increases in premia by the dealers, without improving liquidity. The relative bid-ask spread, </w:t>
      </w:r>
      <w:proofErr w:type="gramStart"/>
      <w:r w:rsidR="00930217">
        <w:t>Roll</w:t>
      </w:r>
      <w:proofErr w:type="gramEnd"/>
      <w:r w:rsidR="00930217">
        <w:t xml:space="preserve"> measure and Amihud measures all consistently show no change in market liquidity due to the clearing mandate.</w:t>
      </w:r>
    </w:p>
    <w:p w14:paraId="2B2CE8F7" w14:textId="74F205B9" w:rsidR="005D2017" w:rsidRDefault="005D2017">
      <w:pPr>
        <w:spacing w:line="240" w:lineRule="auto"/>
        <w:ind w:firstLine="0"/>
        <w:jc w:val="left"/>
      </w:pPr>
      <w:r>
        <w:br w:type="page"/>
      </w:r>
    </w:p>
    <w:p w14:paraId="3B854751" w14:textId="7970F724" w:rsidR="000E7A31" w:rsidRDefault="000E7A31" w:rsidP="000E7A31">
      <w:pPr>
        <w:pStyle w:val="Caption"/>
        <w:keepNext/>
      </w:pPr>
      <w:bookmarkStart w:id="31" w:name="_Ref170051638"/>
      <w:r>
        <w:lastRenderedPageBreak/>
        <w:t xml:space="preserve">Table </w:t>
      </w:r>
      <w:r>
        <w:fldChar w:fldCharType="begin"/>
      </w:r>
      <w:r>
        <w:instrText xml:space="preserve"> SEQ Table \* ARABIC </w:instrText>
      </w:r>
      <w:r>
        <w:fldChar w:fldCharType="separate"/>
      </w:r>
      <w:r w:rsidR="00930217">
        <w:rPr>
          <w:noProof/>
        </w:rPr>
        <w:t>10</w:t>
      </w:r>
      <w:r>
        <w:fldChar w:fldCharType="end"/>
      </w:r>
      <w:bookmarkEnd w:id="31"/>
      <w:r>
        <w:rPr>
          <w:noProof/>
        </w:rPr>
        <w:t xml:space="preserve"> Relative Bid-Ask Spread DiD</w:t>
      </w:r>
    </w:p>
    <w:bookmarkStart w:id="32" w:name="_MON_1780590289"/>
    <w:bookmarkEnd w:id="32"/>
    <w:p w14:paraId="03D27AAE" w14:textId="65D5E35C" w:rsidR="000E7A31" w:rsidRDefault="00612436" w:rsidP="005D2017">
      <w:pPr>
        <w:ind w:firstLine="0"/>
        <w:rPr>
          <w:noProof/>
          <w14:ligatures w14:val="standardContextual"/>
        </w:rPr>
      </w:pPr>
      <w:r w:rsidRPr="00612436">
        <w:rPr>
          <w:noProof/>
          <w14:ligatures w14:val="standardContextual"/>
        </w:rPr>
        <w:object w:dxaOrig="9360" w:dyaOrig="10520" w14:anchorId="24F38A06">
          <v:shape id="_x0000_i1028" type="#_x0000_t75" alt="" style="width:468pt;height:526.1pt;mso-width-percent:0;mso-height-percent:0;mso-width-percent:0;mso-height-percent:0" o:ole="">
            <v:imagedata r:id="rId37" o:title=""/>
          </v:shape>
          <o:OLEObject Type="Embed" ProgID="Word.Document.12" ShapeID="_x0000_i1028" DrawAspect="Content" ObjectID="_1780665069" r:id="rId38">
            <o:FieldCodes>\s</o:FieldCodes>
          </o:OLEObject>
        </w:object>
      </w: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3190C824" w:rsidR="000E7A31" w:rsidRDefault="000E7A31" w:rsidP="000E7A31">
      <w:pPr>
        <w:pStyle w:val="Caption"/>
        <w:keepNext/>
      </w:pPr>
      <w:bookmarkStart w:id="33" w:name="_Ref170051781"/>
      <w:r>
        <w:lastRenderedPageBreak/>
        <w:t xml:space="preserve">Table </w:t>
      </w:r>
      <w:r>
        <w:fldChar w:fldCharType="begin"/>
      </w:r>
      <w:r>
        <w:instrText xml:space="preserve"> SEQ Table \* ARABIC </w:instrText>
      </w:r>
      <w:r>
        <w:fldChar w:fldCharType="separate"/>
      </w:r>
      <w:r w:rsidR="00930217">
        <w:rPr>
          <w:noProof/>
        </w:rPr>
        <w:t>11</w:t>
      </w:r>
      <w:r>
        <w:fldChar w:fldCharType="end"/>
      </w:r>
      <w:bookmarkEnd w:id="33"/>
      <w:r>
        <w:rPr>
          <w:noProof/>
        </w:rPr>
        <w:t xml:space="preserve"> Roll Measure DiD</w:t>
      </w:r>
    </w:p>
    <w:p w14:paraId="66E7CDFA" w14:textId="75AE10ED" w:rsidR="000E7A31" w:rsidRDefault="00612436" w:rsidP="005D2017">
      <w:pPr>
        <w:ind w:firstLine="0"/>
        <w:rPr>
          <w:noProof/>
          <w14:ligatures w14:val="standardContextual"/>
        </w:rPr>
      </w:pPr>
      <w:r w:rsidRPr="00612436">
        <w:rPr>
          <w:noProof/>
          <w14:ligatures w14:val="standardContextual"/>
        </w:rPr>
        <w:object w:dxaOrig="9360" w:dyaOrig="10520" w14:anchorId="78061E0D">
          <v:shape id="_x0000_i1027" type="#_x0000_t75" alt="" style="width:468pt;height:526.1pt;mso-width-percent:0;mso-height-percent:0;mso-width-percent:0;mso-height-percent:0" o:ole="">
            <v:imagedata r:id="rId37" o:title=""/>
          </v:shape>
          <o:OLEObject Type="Embed" ProgID="Word.Document.12" ShapeID="_x0000_i1027" DrawAspect="Content" ObjectID="_1780665070" r:id="rId39">
            <o:FieldCodes>\s</o:FieldCodes>
          </o:OLEObject>
        </w:object>
      </w:r>
    </w:p>
    <w:p w14:paraId="31CC4551" w14:textId="77777777" w:rsidR="000E7A31" w:rsidRDefault="000E7A31">
      <w:pPr>
        <w:spacing w:line="240" w:lineRule="auto"/>
        <w:ind w:firstLine="0"/>
        <w:jc w:val="left"/>
        <w:rPr>
          <w:noProof/>
          <w14:ligatures w14:val="standardContextual"/>
        </w:rPr>
      </w:pPr>
      <w:r>
        <w:rPr>
          <w:noProof/>
          <w14:ligatures w14:val="standardContextual"/>
        </w:rPr>
        <w:br w:type="page"/>
      </w:r>
    </w:p>
    <w:p w14:paraId="1232B5B3" w14:textId="5DCB5149" w:rsidR="000E7A31" w:rsidRDefault="000E7A31" w:rsidP="000E7A31">
      <w:pPr>
        <w:pStyle w:val="Caption"/>
        <w:keepNext/>
      </w:pPr>
      <w:bookmarkStart w:id="34" w:name="_Ref170051786"/>
      <w:r>
        <w:lastRenderedPageBreak/>
        <w:t xml:space="preserve">Table </w:t>
      </w:r>
      <w:r>
        <w:fldChar w:fldCharType="begin"/>
      </w:r>
      <w:r>
        <w:instrText xml:space="preserve"> SEQ Table \* ARABIC </w:instrText>
      </w:r>
      <w:r>
        <w:fldChar w:fldCharType="separate"/>
      </w:r>
      <w:r w:rsidR="00930217">
        <w:rPr>
          <w:noProof/>
        </w:rPr>
        <w:t>12</w:t>
      </w:r>
      <w:r>
        <w:fldChar w:fldCharType="end"/>
      </w:r>
      <w:bookmarkEnd w:id="34"/>
      <w:r>
        <w:rPr>
          <w:noProof/>
        </w:rPr>
        <w:t xml:space="preserve"> Amihud Measure DiD</w:t>
      </w:r>
    </w:p>
    <w:p w14:paraId="4926EF10" w14:textId="048BF997" w:rsidR="005D2017" w:rsidRDefault="00612436" w:rsidP="005D2017">
      <w:pPr>
        <w:ind w:firstLine="0"/>
      </w:pPr>
      <w:r w:rsidRPr="00612436">
        <w:rPr>
          <w:noProof/>
          <w14:ligatures w14:val="standardContextual"/>
        </w:rPr>
        <w:object w:dxaOrig="9360" w:dyaOrig="10520" w14:anchorId="5D8B4DAE">
          <v:shape id="_x0000_i1026" type="#_x0000_t75" alt="" style="width:468pt;height:526.1pt;mso-width-percent:0;mso-height-percent:0;mso-width-percent:0;mso-height-percent:0" o:ole="">
            <v:imagedata r:id="rId37" o:title=""/>
          </v:shape>
          <o:OLEObject Type="Embed" ProgID="Word.Document.12" ShapeID="_x0000_i1026" DrawAspect="Content" ObjectID="_1780665071" r:id="rId40">
            <o:FieldCodes>\s</o:FieldCodes>
          </o:OLEObject>
        </w:object>
      </w:r>
    </w:p>
    <w:p w14:paraId="3EDB582F" w14:textId="7FD2C6A8" w:rsidR="00565535" w:rsidRDefault="00565535">
      <w:pPr>
        <w:spacing w:line="240" w:lineRule="auto"/>
        <w:ind w:firstLine="0"/>
        <w:jc w:val="left"/>
      </w:pPr>
      <w:r>
        <w:br w:type="page"/>
      </w:r>
    </w:p>
    <w:p w14:paraId="5E7872EF" w14:textId="6E588CF4" w:rsidR="00AF5C18" w:rsidRDefault="00930217" w:rsidP="00AF5C18">
      <w:r>
        <w:lastRenderedPageBreak/>
        <w:fldChar w:fldCharType="begin"/>
      </w:r>
      <w:r>
        <w:instrText xml:space="preserve"> REF _Ref170052233 \h </w:instrText>
      </w:r>
      <w:r>
        <w:fldChar w:fldCharType="separate"/>
      </w:r>
      <w:r>
        <w:t xml:space="preserve">Table </w:t>
      </w:r>
      <w:r>
        <w:rPr>
          <w:noProof/>
        </w:rPr>
        <w:t>13</w:t>
      </w:r>
      <w:r>
        <w:fldChar w:fldCharType="end"/>
      </w:r>
      <w:r w:rsidR="00681DD4">
        <w:t xml:space="preserve"> </w:t>
      </w:r>
      <w:r w:rsidR="00AF5C18">
        <w:t>shows the results of the price volatility difference-in-difference regression. Price volatility (as measured by realized volatility) is not affected by the clearing mandate. During “normal” trading periods, prices appear to follow a random walk, which makes it difficult to analyze the impact of the clearing mandate on volatility. Only during periods of market stress would we expect the volatility measure to behave differently in cleared vs. uncleared markets. However, since periods of market stress are unique events, this does not lend itself to difference-in-difference type analysis. As an alternative, I perform an “event study” type analysis, looking at the volatility in USD and CAD denominated contracts around the time of the (second) “Grexit” vote. Caution should be exercised when interpreting these results, as the “control group” (CAD contracts) have different exposure to the Greek economy than the “treatment” group. Nonetheless, we observe that the USD contracts had much lower price volatility during this period compared to CAD contracts.</w:t>
      </w:r>
    </w:p>
    <w:p w14:paraId="1B0B1E14" w14:textId="148DA841" w:rsidR="00930217" w:rsidRDefault="00930217">
      <w:pPr>
        <w:spacing w:line="240" w:lineRule="auto"/>
        <w:ind w:firstLine="0"/>
        <w:jc w:val="left"/>
      </w:pPr>
      <w:r>
        <w:br w:type="page"/>
      </w:r>
    </w:p>
    <w:p w14:paraId="3B0D8B38" w14:textId="4C02B3AE" w:rsidR="00930217" w:rsidRDefault="00930217" w:rsidP="00930217">
      <w:pPr>
        <w:pStyle w:val="Caption"/>
        <w:keepNext/>
      </w:pPr>
      <w:bookmarkStart w:id="35" w:name="_Ref170052233"/>
      <w:r>
        <w:lastRenderedPageBreak/>
        <w:t xml:space="preserve">Table </w:t>
      </w:r>
      <w:r>
        <w:fldChar w:fldCharType="begin"/>
      </w:r>
      <w:r>
        <w:instrText xml:space="preserve"> SEQ Table \* ARABIC </w:instrText>
      </w:r>
      <w:r>
        <w:fldChar w:fldCharType="separate"/>
      </w:r>
      <w:r>
        <w:rPr>
          <w:noProof/>
        </w:rPr>
        <w:t>13</w:t>
      </w:r>
      <w:r>
        <w:fldChar w:fldCharType="end"/>
      </w:r>
      <w:bookmarkEnd w:id="35"/>
      <w:r>
        <w:rPr>
          <w:noProof/>
        </w:rPr>
        <w:t xml:space="preserve"> Gojira!</w:t>
      </w:r>
    </w:p>
    <w:p w14:paraId="197C87ED" w14:textId="5CB29961" w:rsidR="00930217" w:rsidRDefault="00612436" w:rsidP="00930217">
      <w:pPr>
        <w:ind w:firstLine="0"/>
        <w:rPr>
          <w:noProof/>
          <w14:ligatures w14:val="standardContextual"/>
        </w:rPr>
      </w:pPr>
      <w:r w:rsidRPr="00612436">
        <w:rPr>
          <w:noProof/>
          <w14:ligatures w14:val="standardContextual"/>
        </w:rPr>
        <w:object w:dxaOrig="9360" w:dyaOrig="10520" w14:anchorId="4AB30CD5">
          <v:shape id="_x0000_i1025" type="#_x0000_t75" alt="" style="width:468pt;height:526.1pt;mso-width-percent:0;mso-height-percent:0;mso-width-percent:0;mso-height-percent:0" o:ole="">
            <v:imagedata r:id="rId37" o:title=""/>
          </v:shape>
          <o:OLEObject Type="Embed" ProgID="Word.Document.12" ShapeID="_x0000_i1025" DrawAspect="Content" ObjectID="_1780665072" r:id="rId41">
            <o:FieldCodes>\s</o:FieldCodes>
          </o:OLEObject>
        </w:object>
      </w:r>
    </w:p>
    <w:p w14:paraId="45136D2F" w14:textId="134A6FC6" w:rsidR="00930217" w:rsidRPr="00930217" w:rsidRDefault="00930217" w:rsidP="00930217">
      <w:pPr>
        <w:spacing w:line="240" w:lineRule="auto"/>
        <w:ind w:firstLine="0"/>
        <w:jc w:val="left"/>
        <w:rPr>
          <w:noProof/>
          <w14:ligatures w14:val="standardContextual"/>
        </w:rPr>
      </w:pPr>
      <w:r>
        <w:rPr>
          <w:noProof/>
          <w14:ligatures w14:val="standardContextual"/>
        </w:rPr>
        <w:br w:type="page"/>
      </w:r>
    </w:p>
    <w:p w14:paraId="07CBAAE9" w14:textId="439CE1DF" w:rsidR="00E162B2" w:rsidRPr="002853F0" w:rsidRDefault="00E162B2" w:rsidP="00076D05">
      <w:pPr>
        <w:pStyle w:val="Heading1"/>
      </w:pPr>
      <w:bookmarkStart w:id="36" w:name="_Ref169916090"/>
      <w:r>
        <w:lastRenderedPageBreak/>
        <w:t>Conclusion</w:t>
      </w:r>
      <w:bookmarkEnd w:id="36"/>
    </w:p>
    <w:p w14:paraId="0E0056BE" w14:textId="5EFCE6B1" w:rsidR="00AF5C18" w:rsidRDefault="00AF5C18" w:rsidP="00AF5C18">
      <w:r>
        <w:t>Conclusion goes here</w:t>
      </w:r>
    </w:p>
    <w:p w14:paraId="6569FB87" w14:textId="2DE35065" w:rsidR="002A62E7" w:rsidRDefault="002A62E7">
      <w:pPr>
        <w:spacing w:line="240" w:lineRule="auto"/>
        <w:ind w:firstLine="0"/>
        <w:jc w:val="left"/>
      </w:pPr>
      <w:r>
        <w:br w:type="page"/>
      </w:r>
    </w:p>
    <w:p w14:paraId="607BF3A4" w14:textId="77777777" w:rsidR="002A62E7" w:rsidRPr="002A62E7" w:rsidRDefault="002A62E7" w:rsidP="002A62E7">
      <w:pPr>
        <w:pStyle w:val="Bibliography"/>
      </w:pPr>
      <w:r>
        <w:lastRenderedPageBreak/>
        <w:fldChar w:fldCharType="begin"/>
      </w:r>
      <w:r>
        <w:instrText xml:space="preserve"> ADDIN ZOTERO_BIBL {"uncited":[],"omitted":[],"custom":[]} CSL_BIBLIOGRAPHY </w:instrText>
      </w:r>
      <w:r>
        <w:fldChar w:fldCharType="separate"/>
      </w:r>
      <w:r w:rsidRPr="002A62E7">
        <w:t xml:space="preserve">Allen, Franklin, and Douglas Gale. 2000. “Financial Contagion.” </w:t>
      </w:r>
      <w:r w:rsidRPr="002A62E7">
        <w:rPr>
          <w:i/>
          <w:iCs/>
        </w:rPr>
        <w:t>Journal of Political Economy</w:t>
      </w:r>
      <w:r w:rsidRPr="002A62E7">
        <w:t xml:space="preserve"> 108 (1): 1–33. https://doi.org/10.1086/262109.</w:t>
      </w:r>
    </w:p>
    <w:p w14:paraId="0E3EC1E8" w14:textId="77777777" w:rsidR="002A62E7" w:rsidRPr="002A62E7" w:rsidRDefault="002A62E7" w:rsidP="002A62E7">
      <w:pPr>
        <w:pStyle w:val="Bibliography"/>
      </w:pPr>
      <w:r w:rsidRPr="002A62E7">
        <w:t>Allen, Franklin, and Douglas M. Gale. 2007. “An Introduction to Financial Crises.” SSRN Scholarly Paper. Rochester, NY. https://doi.org/10.2139/ssrn.1008311.</w:t>
      </w:r>
    </w:p>
    <w:p w14:paraId="18A1A744" w14:textId="77777777" w:rsidR="002A62E7" w:rsidRPr="002A62E7" w:rsidRDefault="002A62E7" w:rsidP="002A62E7">
      <w:pPr>
        <w:pStyle w:val="Bibliography"/>
      </w:pPr>
      <w:r w:rsidRPr="002A62E7">
        <w:t xml:space="preserve">Azad, A. S. M. Sohel, Victor Fang, and Chi-Hsiou Hung. 2012. “Linking the Interest Rate Swap Markets to the Macroeconomic Risk: The UK and Us Evidence.” </w:t>
      </w:r>
      <w:r w:rsidRPr="002A62E7">
        <w:rPr>
          <w:i/>
          <w:iCs/>
        </w:rPr>
        <w:t>International Review of Financial Analysis</w:t>
      </w:r>
      <w:r w:rsidRPr="002A62E7">
        <w:t xml:space="preserve"> 22 (April):38–47. https://doi.org/10.1016/j.irfa.2012.03.001.</w:t>
      </w:r>
    </w:p>
    <w:p w14:paraId="0C9AA835" w14:textId="77777777" w:rsidR="002A62E7" w:rsidRPr="002A62E7" w:rsidRDefault="002A62E7" w:rsidP="002A62E7">
      <w:pPr>
        <w:pStyle w:val="Bibliography"/>
      </w:pPr>
      <w:r w:rsidRPr="002A62E7">
        <w:t xml:space="preserve">Bebchuk, Lucian A., and Itay Goldstein. 2011. “Self-Fulfilling Credit Market Freezes.” </w:t>
      </w:r>
      <w:r w:rsidRPr="002A62E7">
        <w:rPr>
          <w:i/>
          <w:iCs/>
        </w:rPr>
        <w:t>The Review of Financial Studies</w:t>
      </w:r>
      <w:r w:rsidRPr="002A62E7">
        <w:t xml:space="preserve"> 24 (11): 3519–55. https://doi.org/10.1093/rfs/hhr086.</w:t>
      </w:r>
    </w:p>
    <w:p w14:paraId="2433BE31" w14:textId="77777777" w:rsidR="002A62E7" w:rsidRPr="002A62E7" w:rsidRDefault="002A62E7" w:rsidP="002A62E7">
      <w:pPr>
        <w:pStyle w:val="Bibliography"/>
      </w:pPr>
      <w:r w:rsidRPr="002A62E7">
        <w:t>Benos, Evangelos, Wenqian Huang, Albert J. Menkveld, and Michalis Vasios. 2019. “The Cost of Clearing Fragmentation.” SSRN Scholarly Paper ID 3502465. Rochester, NY: Social Science Research Network. https://papers.ssrn.com/abstract=3502465.</w:t>
      </w:r>
    </w:p>
    <w:p w14:paraId="70141578" w14:textId="77777777" w:rsidR="002A62E7" w:rsidRPr="002A62E7" w:rsidRDefault="002A62E7" w:rsidP="002A62E7">
      <w:pPr>
        <w:pStyle w:val="Bibliography"/>
      </w:pPr>
      <w:r w:rsidRPr="002A62E7">
        <w:t xml:space="preserve">Benos, Evangelos, Richard Payne, and Michalis Vasios. 2020. “Centralized Trading, Transparency, and Interest Rate Swap Market Liquidity: Evidence from the Implementation of the Dodd–Frank Act.” </w:t>
      </w:r>
      <w:r w:rsidRPr="002A62E7">
        <w:rPr>
          <w:i/>
          <w:iCs/>
        </w:rPr>
        <w:t>Journal of Financial and Quantitative Analysis</w:t>
      </w:r>
      <w:r w:rsidRPr="002A62E7">
        <w:t xml:space="preserve"> 55 (1): 159–92. https://doi.org/10.1017/S0022109018001527.</w:t>
      </w:r>
    </w:p>
    <w:p w14:paraId="4D889B39" w14:textId="77777777" w:rsidR="002A62E7" w:rsidRPr="002A62E7" w:rsidRDefault="002A62E7" w:rsidP="002A62E7">
      <w:pPr>
        <w:pStyle w:val="Bibliography"/>
      </w:pPr>
      <w:r w:rsidRPr="002A62E7">
        <w:t xml:space="preserve">Bernstein, Asaf, Eric Hughson, and Marc Weidenmier. 2019. “Counterparty Risk and the Establishment of the New York Stock Exchange Clearinghouse.” </w:t>
      </w:r>
      <w:r w:rsidRPr="002A62E7">
        <w:rPr>
          <w:i/>
          <w:iCs/>
        </w:rPr>
        <w:t>Journal of Political Economy</w:t>
      </w:r>
      <w:r w:rsidRPr="002A62E7">
        <w:t xml:space="preserve"> 127 (2): 689–729. https://doi.org/10.1086/701033.</w:t>
      </w:r>
    </w:p>
    <w:p w14:paraId="0CB7B280" w14:textId="77777777" w:rsidR="002A62E7" w:rsidRPr="002A62E7" w:rsidRDefault="002A62E7" w:rsidP="002A62E7">
      <w:pPr>
        <w:pStyle w:val="Bibliography"/>
      </w:pPr>
      <w:r w:rsidRPr="002A62E7">
        <w:t xml:space="preserve">Biais, Bruno. 1993. “Price Formation and Equilibrium Liquidity in Fragmented and Centralized Markets.” </w:t>
      </w:r>
      <w:r w:rsidRPr="002A62E7">
        <w:rPr>
          <w:i/>
          <w:iCs/>
        </w:rPr>
        <w:t>The Journal of Finance</w:t>
      </w:r>
      <w:r w:rsidRPr="002A62E7">
        <w:t xml:space="preserve"> 48 (1): 157–85. https://doi.org/10.1111/j.1540-6261.1993.tb04705.x.</w:t>
      </w:r>
    </w:p>
    <w:p w14:paraId="7E479557" w14:textId="77777777" w:rsidR="002A62E7" w:rsidRPr="002A62E7" w:rsidRDefault="002A62E7" w:rsidP="002A62E7">
      <w:pPr>
        <w:pStyle w:val="Bibliography"/>
      </w:pPr>
      <w:r w:rsidRPr="002A62E7">
        <w:t xml:space="preserve">Bicksler, James, and Andrew H. Chen. 1986. “An Economic Analysis of Interest Rate Swaps.” </w:t>
      </w:r>
      <w:r w:rsidRPr="002A62E7">
        <w:rPr>
          <w:i/>
          <w:iCs/>
        </w:rPr>
        <w:t>The Journal of Finance</w:t>
      </w:r>
      <w:r w:rsidRPr="002A62E7">
        <w:t xml:space="preserve"> 41 (3): 645–55. https://doi.org/10.2307/2328495.</w:t>
      </w:r>
    </w:p>
    <w:p w14:paraId="1B391754" w14:textId="77777777" w:rsidR="002A62E7" w:rsidRPr="002A62E7" w:rsidRDefault="002A62E7" w:rsidP="002A62E7">
      <w:pPr>
        <w:pStyle w:val="Bibliography"/>
      </w:pPr>
      <w:r w:rsidRPr="002A62E7">
        <w:t>Bolandnazar, Mohammadreza. 2020. “The Market Structure of Dealer-to-Client Interest Rate Swaps.” SSRN Scholarly Paper 3752367. Rochester, NY: Social Science Research Network. https://doi.org/10.2139/ssrn.3752367.</w:t>
      </w:r>
    </w:p>
    <w:p w14:paraId="7840BA91" w14:textId="77777777" w:rsidR="002A62E7" w:rsidRPr="002A62E7" w:rsidRDefault="002A62E7" w:rsidP="002A62E7">
      <w:pPr>
        <w:pStyle w:val="Bibliography"/>
      </w:pPr>
      <w:r w:rsidRPr="002A62E7">
        <w:t>Boudiaf, Ismael Alexander, Immo Frieden, and Martin Scheicher. 2024. “The Market Liquidity of Interest Rate Swaps.” SSRN Scholarly Paper. Rochester, NY. https://doi.org/10.2139/ssrn.4745740.</w:t>
      </w:r>
    </w:p>
    <w:p w14:paraId="664250B3" w14:textId="77777777" w:rsidR="002A62E7" w:rsidRPr="002A62E7" w:rsidRDefault="002A62E7" w:rsidP="002A62E7">
      <w:pPr>
        <w:pStyle w:val="Bibliography"/>
      </w:pPr>
      <w:r w:rsidRPr="002A62E7">
        <w:t xml:space="preserve">Brunnermeier, Markus K. 2009. “Deciphering the Liquidity and Credit Crunch 2007-2008.” </w:t>
      </w:r>
      <w:r w:rsidRPr="002A62E7">
        <w:rPr>
          <w:i/>
          <w:iCs/>
        </w:rPr>
        <w:t>Journal of Economic Perspectives</w:t>
      </w:r>
      <w:r w:rsidRPr="002A62E7">
        <w:t xml:space="preserve"> 23 (1): 77–100. https://doi.org/10.1257/jep.23.1.77.</w:t>
      </w:r>
    </w:p>
    <w:p w14:paraId="191EBED1" w14:textId="77777777" w:rsidR="002A62E7" w:rsidRPr="002A62E7" w:rsidRDefault="002A62E7" w:rsidP="002A62E7">
      <w:pPr>
        <w:pStyle w:val="Bibliography"/>
      </w:pPr>
      <w:r w:rsidRPr="002A62E7">
        <w:t xml:space="preserve">Capponi, Agostino, and Martin Larsson. 2015. “Price Contagion through Balance Sheet Linkages.” </w:t>
      </w:r>
      <w:r w:rsidRPr="002A62E7">
        <w:rPr>
          <w:i/>
          <w:iCs/>
        </w:rPr>
        <w:t>The Review of Asset Pricing Studies</w:t>
      </w:r>
      <w:r w:rsidRPr="002A62E7">
        <w:t xml:space="preserve"> 5 (2): 227–53. https://doi.org/10.1093/rapstu/rav006.</w:t>
      </w:r>
    </w:p>
    <w:p w14:paraId="4B8B1EF5" w14:textId="77777777" w:rsidR="002A62E7" w:rsidRPr="002A62E7" w:rsidRDefault="002A62E7" w:rsidP="002A62E7">
      <w:pPr>
        <w:pStyle w:val="Bibliography"/>
      </w:pPr>
      <w:r w:rsidRPr="002A62E7">
        <w:t xml:space="preserve">Cifuentes, Rodrigo, Gianluigi Ferrucci, and Hyun Song Shin. 2005. “Liquidity Risk and Contagion.” </w:t>
      </w:r>
      <w:r w:rsidRPr="002A62E7">
        <w:rPr>
          <w:i/>
          <w:iCs/>
        </w:rPr>
        <w:t>Journal of the European Economic Association</w:t>
      </w:r>
      <w:r w:rsidRPr="002A62E7">
        <w:t xml:space="preserve"> 3 (2–3): 556–66. https://doi.org/10.1162/jeea.2005.3.2-3.556.</w:t>
      </w:r>
    </w:p>
    <w:p w14:paraId="332F7E56" w14:textId="77777777" w:rsidR="002A62E7" w:rsidRPr="002A62E7" w:rsidRDefault="002A62E7" w:rsidP="002A62E7">
      <w:pPr>
        <w:pStyle w:val="Bibliography"/>
      </w:pPr>
      <w:r w:rsidRPr="002A62E7">
        <w:t xml:space="preserve">Diamond, Douglas W., and Philip H. Dybvig. 1983. “Bank Runs, Deposit Insurance, and Liquidity.” </w:t>
      </w:r>
      <w:r w:rsidRPr="002A62E7">
        <w:rPr>
          <w:i/>
          <w:iCs/>
        </w:rPr>
        <w:t>Journal of Political Economy</w:t>
      </w:r>
      <w:r w:rsidRPr="002A62E7">
        <w:t xml:space="preserve"> 91 (3): 401–19. https://doi.org/10.1086/261155.</w:t>
      </w:r>
    </w:p>
    <w:p w14:paraId="400E8135" w14:textId="77777777" w:rsidR="002A62E7" w:rsidRPr="002A62E7" w:rsidRDefault="002A62E7" w:rsidP="002A62E7">
      <w:pPr>
        <w:pStyle w:val="Bibliography"/>
      </w:pPr>
      <w:r w:rsidRPr="002A62E7">
        <w:t xml:space="preserve">Diamond, Douglas W., and Raghuram G. Rajan. 2011. “Fear of Fire Sales, Illiquidity Seeking, and Credit Freezes *.” </w:t>
      </w:r>
      <w:r w:rsidRPr="002A62E7">
        <w:rPr>
          <w:i/>
          <w:iCs/>
        </w:rPr>
        <w:t>The Quarterly Journal of Economics</w:t>
      </w:r>
      <w:r w:rsidRPr="002A62E7">
        <w:t xml:space="preserve"> 126 (2): 557–91. https://doi.org/10.1093/qje/qjr012.</w:t>
      </w:r>
    </w:p>
    <w:p w14:paraId="077FB18A" w14:textId="77777777" w:rsidR="002A62E7" w:rsidRPr="002A62E7" w:rsidRDefault="002A62E7" w:rsidP="002A62E7">
      <w:pPr>
        <w:pStyle w:val="Bibliography"/>
      </w:pPr>
      <w:r w:rsidRPr="002A62E7">
        <w:t xml:space="preserve">Duffie, Darrell, and Haoxiang Zhu. 2011. “Does a Central Clearing Counterparty Reduce Counterparty Risk?” </w:t>
      </w:r>
      <w:r w:rsidRPr="002A62E7">
        <w:rPr>
          <w:i/>
          <w:iCs/>
        </w:rPr>
        <w:t>Review of Asset Pricing Studies</w:t>
      </w:r>
      <w:r w:rsidRPr="002A62E7">
        <w:t xml:space="preserve"> 1 (1): 74–95.</w:t>
      </w:r>
    </w:p>
    <w:p w14:paraId="48CAA218" w14:textId="77777777" w:rsidR="002A62E7" w:rsidRPr="002A62E7" w:rsidRDefault="002A62E7" w:rsidP="002A62E7">
      <w:pPr>
        <w:pStyle w:val="Bibliography"/>
      </w:pPr>
      <w:r w:rsidRPr="002A62E7">
        <w:lastRenderedPageBreak/>
        <w:t xml:space="preserve">Gai, Prasanna, and Sujit Kapadia. 2010. “Contagion in Financial Networks.” </w:t>
      </w:r>
      <w:r w:rsidRPr="002A62E7">
        <w:rPr>
          <w:i/>
          <w:iCs/>
        </w:rPr>
        <w:t>Proceedings of the Royal Society A: Mathematical, Physical and Engineering Sciences</w:t>
      </w:r>
      <w:r w:rsidRPr="002A62E7">
        <w:t xml:space="preserve"> 466 (2120): 2401–23. https://doi.org/10.1098/rspa.2009.0410.</w:t>
      </w:r>
    </w:p>
    <w:p w14:paraId="20B95DF2" w14:textId="77777777" w:rsidR="002A62E7" w:rsidRPr="002A62E7" w:rsidRDefault="002A62E7" w:rsidP="002A62E7">
      <w:pPr>
        <w:pStyle w:val="Bibliography"/>
      </w:pPr>
      <w:r w:rsidRPr="002A62E7">
        <w:t xml:space="preserve">Greenwood, Robin, Augustin Landier, and David Thesmar. 2015. “Vulnerable Banks.” </w:t>
      </w:r>
      <w:r w:rsidRPr="002A62E7">
        <w:rPr>
          <w:i/>
          <w:iCs/>
        </w:rPr>
        <w:t>Journal of Financial Economics</w:t>
      </w:r>
      <w:r w:rsidRPr="002A62E7">
        <w:t xml:space="preserve"> 115 (3): 471–85. https://doi.org/10.1016/j.jfineco.2014.11.006.</w:t>
      </w:r>
    </w:p>
    <w:p w14:paraId="0255BD9F" w14:textId="77777777" w:rsidR="002A62E7" w:rsidRPr="002A62E7" w:rsidRDefault="002A62E7" w:rsidP="002A62E7">
      <w:pPr>
        <w:pStyle w:val="Bibliography"/>
      </w:pPr>
      <w:r w:rsidRPr="002A62E7">
        <w:t xml:space="preserve">Jackson, Matthew O., and Agathe Pernoud. 2021. “Systemic Risk in Financial Networks: A Survey.” </w:t>
      </w:r>
      <w:r w:rsidRPr="002A62E7">
        <w:rPr>
          <w:i/>
          <w:iCs/>
        </w:rPr>
        <w:t>Annual Review of Economics</w:t>
      </w:r>
      <w:r w:rsidRPr="002A62E7">
        <w:t xml:space="preserve"> 13 (1): 171–202. https://doi.org/10.1146/annurev-economics-083120-111540.</w:t>
      </w:r>
    </w:p>
    <w:p w14:paraId="2E5832C9" w14:textId="77777777" w:rsidR="002A62E7" w:rsidRPr="002A62E7" w:rsidRDefault="002A62E7" w:rsidP="002A62E7">
      <w:pPr>
        <w:pStyle w:val="Bibliography"/>
      </w:pPr>
      <w:r w:rsidRPr="002A62E7">
        <w:t xml:space="preserve">Kiyotaki, Nobuhiro, and John Moore. 1997. “Credit Cycles.” </w:t>
      </w:r>
      <w:r w:rsidRPr="002A62E7">
        <w:rPr>
          <w:i/>
          <w:iCs/>
        </w:rPr>
        <w:t>Journal of Political Economy</w:t>
      </w:r>
      <w:r w:rsidRPr="002A62E7">
        <w:t xml:space="preserve"> 105 (2): 211–48. https://doi.org/10.1086/262072.</w:t>
      </w:r>
    </w:p>
    <w:p w14:paraId="08A12171" w14:textId="77777777" w:rsidR="002A62E7" w:rsidRPr="002A62E7" w:rsidRDefault="002A62E7" w:rsidP="002A62E7">
      <w:pPr>
        <w:pStyle w:val="Bibliography"/>
      </w:pPr>
      <w:r w:rsidRPr="002A62E7">
        <w:t>Kleist, Karsten von, and C. Mallo. 2011. “OTC Derivatives Market Activity in the Second Half of 2010.” Bank of International Settlements. https://www.bis.org/publ/otc_hy1105.pdf.</w:t>
      </w:r>
    </w:p>
    <w:p w14:paraId="288C9D0E" w14:textId="77777777" w:rsidR="002A62E7" w:rsidRPr="002A62E7" w:rsidRDefault="002A62E7" w:rsidP="002A62E7">
      <w:pPr>
        <w:pStyle w:val="Bibliography"/>
      </w:pPr>
      <w:r w:rsidRPr="002A62E7">
        <w:t xml:space="preserve">Liu, Jun, Francis A. Longstaff, and Ravit E. Mandell. 2006. “The Market Price of Risk in Interest Rate Swaps: The Roles of Default and Liquidity Risks.” </w:t>
      </w:r>
      <w:r w:rsidRPr="002A62E7">
        <w:rPr>
          <w:i/>
          <w:iCs/>
        </w:rPr>
        <w:t>The Journal of Business</w:t>
      </w:r>
      <w:r w:rsidRPr="002A62E7">
        <w:t xml:space="preserve"> 79 (5): 2337–59. https://doi.org/10.1086/505237.</w:t>
      </w:r>
    </w:p>
    <w:p w14:paraId="3571F3FC" w14:textId="77777777" w:rsidR="002A62E7" w:rsidRPr="002A62E7" w:rsidRDefault="002A62E7" w:rsidP="002A62E7">
      <w:pPr>
        <w:pStyle w:val="Bibliography"/>
      </w:pPr>
      <w:r w:rsidRPr="002A62E7">
        <w:t xml:space="preserve">Loon, Yee Cheng, and Zhaodong Ken Zhong. 2014. “The Impact of Central Clearing on Counterparty Risk, Liquidity, and Trading: Evidence from the Credit Default Swap Market.” </w:t>
      </w:r>
      <w:r w:rsidRPr="002A62E7">
        <w:rPr>
          <w:i/>
          <w:iCs/>
        </w:rPr>
        <w:t>Journal of Financial Economics</w:t>
      </w:r>
      <w:r w:rsidRPr="002A62E7">
        <w:t xml:space="preserve"> 112 (1): 91–115. https://doi.org/10.1016/j.jfineco.2013.12.001.</w:t>
      </w:r>
    </w:p>
    <w:p w14:paraId="6FA9D27A" w14:textId="77777777" w:rsidR="002A62E7" w:rsidRPr="002A62E7" w:rsidRDefault="002A62E7" w:rsidP="002A62E7">
      <w:pPr>
        <w:pStyle w:val="Bibliography"/>
      </w:pPr>
      <w:r w:rsidRPr="002A62E7">
        <w:t xml:space="preserve">McPartland, John W. 2009. “Clearing and Settlement of Exchange Traded Derivatives.” </w:t>
      </w:r>
      <w:r w:rsidRPr="002A62E7">
        <w:rPr>
          <w:i/>
          <w:iCs/>
        </w:rPr>
        <w:t>Chicago Fed Letter</w:t>
      </w:r>
      <w:r w:rsidRPr="002A62E7">
        <w:t xml:space="preserve"> 267 (2). https://fraser.stlouisfed.org/files/docs/historical/frbchi/policydiscussion/frbchi_policy_2009-02.pdf.</w:t>
      </w:r>
    </w:p>
    <w:p w14:paraId="60FC7A8B" w14:textId="77777777" w:rsidR="002A62E7" w:rsidRPr="002A62E7" w:rsidRDefault="002A62E7" w:rsidP="002A62E7">
      <w:pPr>
        <w:pStyle w:val="Bibliography"/>
      </w:pPr>
      <w:r w:rsidRPr="002A62E7">
        <w:t xml:space="preserve">Minton, Bernadette A. 1997. “An Empirical Examination of Basic Valuation Models for Plain Vanilla U.S. Interest Rate Swaps.” </w:t>
      </w:r>
      <w:r w:rsidRPr="002A62E7">
        <w:rPr>
          <w:i/>
          <w:iCs/>
        </w:rPr>
        <w:t>Journal of Financial Economics</w:t>
      </w:r>
      <w:r w:rsidRPr="002A62E7">
        <w:t xml:space="preserve"> 44 (2): 251–77. https://doi.org/10.1016/S0304-405X(97)00005-6.</w:t>
      </w:r>
    </w:p>
    <w:p w14:paraId="50F619CF" w14:textId="77777777" w:rsidR="002A62E7" w:rsidRPr="002A62E7" w:rsidRDefault="002A62E7" w:rsidP="002A62E7">
      <w:pPr>
        <w:pStyle w:val="Bibliography"/>
      </w:pPr>
      <w:r w:rsidRPr="002A62E7">
        <w:t>Pirrong, Craig. 2011. “The Economics of Central Clearing: Theory and Practice.”</w:t>
      </w:r>
    </w:p>
    <w:p w14:paraId="0C4908F2" w14:textId="77777777" w:rsidR="002A62E7" w:rsidRPr="002A62E7" w:rsidRDefault="002A62E7" w:rsidP="002A62E7">
      <w:pPr>
        <w:pStyle w:val="Bibliography"/>
      </w:pPr>
      <w:r w:rsidRPr="002A62E7">
        <w:t xml:space="preserve">Rochet, Jean-Charles, and Jean Tirole. 1996. “Interbank Lending and Systemic Risk.” </w:t>
      </w:r>
      <w:r w:rsidRPr="002A62E7">
        <w:rPr>
          <w:i/>
          <w:iCs/>
        </w:rPr>
        <w:t>Journal of Money, Credit and Banking</w:t>
      </w:r>
      <w:r w:rsidRPr="002A62E7">
        <w:t xml:space="preserve"> 28 (4): 733–62. https://doi.org/10.2307/2077918.</w:t>
      </w:r>
    </w:p>
    <w:p w14:paraId="68E8F138" w14:textId="77777777" w:rsidR="002A62E7" w:rsidRPr="002A62E7" w:rsidRDefault="002A62E7" w:rsidP="002A62E7">
      <w:pPr>
        <w:pStyle w:val="Bibliography"/>
      </w:pPr>
      <w:r w:rsidRPr="002A62E7">
        <w:t xml:space="preserve">Roll, Richard. 1984. “A Simple Implicit Measure of the Effective Bid-Ask Spread in an Efficient Market.” </w:t>
      </w:r>
      <w:r w:rsidRPr="002A62E7">
        <w:rPr>
          <w:i/>
          <w:iCs/>
        </w:rPr>
        <w:t>The Journal of Finance</w:t>
      </w:r>
      <w:r w:rsidRPr="002A62E7">
        <w:t xml:space="preserve"> 39 (4): 1127–39. https://doi.org/10.1111/j.1540-6261.1984.tb03897.x.</w:t>
      </w:r>
    </w:p>
    <w:p w14:paraId="4B7AF238" w14:textId="77777777" w:rsidR="002A62E7" w:rsidRPr="002A62E7" w:rsidRDefault="002A62E7" w:rsidP="002A62E7">
      <w:pPr>
        <w:pStyle w:val="Bibliography"/>
      </w:pPr>
      <w:r w:rsidRPr="002A62E7">
        <w:t>Skarr, Doug, and Kristin Szakaly-Moore. 2007. “Understanding Interest Rate Swap Math &amp; Pricing.” California Debt and Investment Advisory Commission. https://www.treasurer.ca.gov/cdiac/publications/math.pdf.</w:t>
      </w:r>
    </w:p>
    <w:p w14:paraId="46AB385E" w14:textId="77777777" w:rsidR="002A62E7" w:rsidRPr="002A62E7" w:rsidRDefault="002A62E7" w:rsidP="002A62E7">
      <w:pPr>
        <w:pStyle w:val="Bibliography"/>
      </w:pPr>
      <w:r w:rsidRPr="002A62E7">
        <w:t xml:space="preserve">Smith, Clifford W., Charles W. Smithson, and Lee Macdonald Wakeman. 1988. “The Market for Interest Rate Swaps.” </w:t>
      </w:r>
      <w:r w:rsidRPr="002A62E7">
        <w:rPr>
          <w:i/>
          <w:iCs/>
        </w:rPr>
        <w:t>Financial Management</w:t>
      </w:r>
      <w:r w:rsidRPr="002A62E7">
        <w:t xml:space="preserve"> 17 (4): 34–44. https://doi.org/10.2307/3665765.</w:t>
      </w:r>
    </w:p>
    <w:p w14:paraId="319E48D0" w14:textId="77777777" w:rsidR="002A62E7" w:rsidRPr="002A62E7" w:rsidRDefault="002A62E7" w:rsidP="002A62E7">
      <w:pPr>
        <w:pStyle w:val="Bibliography"/>
      </w:pPr>
      <w:r w:rsidRPr="002A62E7">
        <w:t xml:space="preserve">Sun, Tong-sheng, Suresh Sundaresan, and Ching Wang. 1993. “Interest Rate Swaps: An Empirical Investigation.” </w:t>
      </w:r>
      <w:r w:rsidRPr="002A62E7">
        <w:rPr>
          <w:i/>
          <w:iCs/>
        </w:rPr>
        <w:t>Journal of Financial Economics</w:t>
      </w:r>
      <w:r w:rsidRPr="002A62E7">
        <w:t xml:space="preserve"> 34 (1): 77–99. https://doi.org/10.1016/0304-405X(93)90041-9.</w:t>
      </w:r>
    </w:p>
    <w:p w14:paraId="0490112E" w14:textId="0A0A6852" w:rsidR="002A62E7" w:rsidRDefault="002A62E7" w:rsidP="00AF5C18">
      <w:r>
        <w:fldChar w:fldCharType="end"/>
      </w:r>
    </w:p>
    <w:sectPr w:rsidR="002A62E7" w:rsidSect="00C07EA6">
      <w:pgSz w:w="12226"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04BAF" w14:textId="77777777" w:rsidR="00612436" w:rsidRDefault="00612436" w:rsidP="00916B59">
      <w:pPr>
        <w:spacing w:line="240" w:lineRule="auto"/>
      </w:pPr>
      <w:r>
        <w:separator/>
      </w:r>
    </w:p>
  </w:endnote>
  <w:endnote w:type="continuationSeparator" w:id="0">
    <w:p w14:paraId="2D36B1DB" w14:textId="77777777" w:rsidR="00612436" w:rsidRDefault="00612436" w:rsidP="00916B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73909" w14:textId="77777777" w:rsidR="00612436" w:rsidRDefault="00612436" w:rsidP="00916B59">
      <w:pPr>
        <w:spacing w:line="240" w:lineRule="auto"/>
      </w:pPr>
      <w:r>
        <w:separator/>
      </w:r>
    </w:p>
  </w:footnote>
  <w:footnote w:type="continuationSeparator" w:id="0">
    <w:p w14:paraId="3406249B" w14:textId="77777777" w:rsidR="00612436" w:rsidRDefault="00612436" w:rsidP="00916B59">
      <w:pPr>
        <w:spacing w:line="240" w:lineRule="auto"/>
      </w:pPr>
      <w:r>
        <w:continuationSeparator/>
      </w:r>
    </w:p>
  </w:footnote>
  <w:footnote w:id="1">
    <w:p w14:paraId="7B9B3812" w14:textId="77777777" w:rsidR="00916B59" w:rsidRDefault="00916B59" w:rsidP="00916B59">
      <w:pPr>
        <w:pStyle w:val="FootnoteText"/>
      </w:pPr>
      <w:r>
        <w:rPr>
          <w:rStyle w:val="FootnoteReference"/>
        </w:rPr>
        <w:footnoteRef/>
      </w:r>
      <w:r>
        <w:t xml:space="preserve"> The principal is “notional” because unlike a real bond it is never exchanged. It is only used to calculate fixed and floating rat payments.</w:t>
      </w:r>
    </w:p>
  </w:footnote>
  <w:footnote w:id="2">
    <w:p w14:paraId="2BBBA14D" w14:textId="77777777" w:rsidR="00916B59" w:rsidRDefault="00916B59" w:rsidP="00916B59">
      <w:pPr>
        <w:pStyle w:val="FootnoteText"/>
      </w:pPr>
      <w:r>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3">
    <w:p w14:paraId="14BE4758" w14:textId="77777777" w:rsidR="00916B59" w:rsidRDefault="00916B59" w:rsidP="00916B59">
      <w:pPr>
        <w:pStyle w:val="FootnoteText"/>
      </w:pPr>
      <w:r>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63526F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98360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F861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9F78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422AB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019337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2D703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3861C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EA189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9"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2A7E38"/>
    <w:multiLevelType w:val="multilevel"/>
    <w:tmpl w:val="41C8085E"/>
    <w:lvl w:ilvl="0">
      <w:start w:val="1"/>
      <w:numFmt w:val="decimal"/>
      <w:lvlText w:val="%1"/>
      <w:lvlJc w:val="left"/>
      <w:pPr>
        <w:ind w:left="720" w:hanging="72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31"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3"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4"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E6F18FD"/>
    <w:multiLevelType w:val="hybridMultilevel"/>
    <w:tmpl w:val="CBDE9A02"/>
    <w:lvl w:ilvl="0" w:tplc="D7649CC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213C38"/>
    <w:multiLevelType w:val="multilevel"/>
    <w:tmpl w:val="C6809D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F00DD9"/>
    <w:multiLevelType w:val="multilevel"/>
    <w:tmpl w:val="829295A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7003031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2FB66D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707800307">
    <w:abstractNumId w:val="18"/>
  </w:num>
  <w:num w:numId="2" w16cid:durableId="1322077080">
    <w:abstractNumId w:val="34"/>
  </w:num>
  <w:num w:numId="3" w16cid:durableId="1060834225">
    <w:abstractNumId w:val="16"/>
  </w:num>
  <w:num w:numId="4" w16cid:durableId="1677343865">
    <w:abstractNumId w:val="22"/>
  </w:num>
  <w:num w:numId="5" w16cid:durableId="2085032138">
    <w:abstractNumId w:val="31"/>
  </w:num>
  <w:num w:numId="6" w16cid:durableId="2079209417">
    <w:abstractNumId w:val="29"/>
  </w:num>
  <w:num w:numId="7" w16cid:durableId="1911109467">
    <w:abstractNumId w:val="39"/>
  </w:num>
  <w:num w:numId="8" w16cid:durableId="832453860">
    <w:abstractNumId w:val="21"/>
  </w:num>
  <w:num w:numId="9" w16cid:durableId="1869636246">
    <w:abstractNumId w:val="38"/>
  </w:num>
  <w:num w:numId="10" w16cid:durableId="1506818525">
    <w:abstractNumId w:val="17"/>
  </w:num>
  <w:num w:numId="11" w16cid:durableId="190531982">
    <w:abstractNumId w:val="10"/>
  </w:num>
  <w:num w:numId="12" w16cid:durableId="159933844">
    <w:abstractNumId w:val="7"/>
  </w:num>
  <w:num w:numId="13" w16cid:durableId="878476109">
    <w:abstractNumId w:val="8"/>
  </w:num>
  <w:num w:numId="14" w16cid:durableId="281692046">
    <w:abstractNumId w:val="6"/>
  </w:num>
  <w:num w:numId="15" w16cid:durableId="1724325103">
    <w:abstractNumId w:val="5"/>
  </w:num>
  <w:num w:numId="16" w16cid:durableId="958533636">
    <w:abstractNumId w:val="4"/>
  </w:num>
  <w:num w:numId="17" w16cid:durableId="771513138">
    <w:abstractNumId w:val="3"/>
  </w:num>
  <w:num w:numId="18" w16cid:durableId="1184326521">
    <w:abstractNumId w:val="2"/>
  </w:num>
  <w:num w:numId="19" w16cid:durableId="1875338251">
    <w:abstractNumId w:val="1"/>
  </w:num>
  <w:num w:numId="20" w16cid:durableId="1110710260">
    <w:abstractNumId w:val="9"/>
  </w:num>
  <w:num w:numId="21" w16cid:durableId="650869510">
    <w:abstractNumId w:val="0"/>
  </w:num>
  <w:num w:numId="22" w16cid:durableId="1879589408">
    <w:abstractNumId w:val="35"/>
  </w:num>
  <w:num w:numId="23" w16cid:durableId="2017460796">
    <w:abstractNumId w:val="19"/>
  </w:num>
  <w:num w:numId="24" w16cid:durableId="1688873076">
    <w:abstractNumId w:val="23"/>
  </w:num>
  <w:num w:numId="25" w16cid:durableId="720860017">
    <w:abstractNumId w:val="32"/>
  </w:num>
  <w:num w:numId="26" w16cid:durableId="32773518">
    <w:abstractNumId w:val="28"/>
  </w:num>
  <w:num w:numId="27" w16cid:durableId="293759749">
    <w:abstractNumId w:val="11"/>
  </w:num>
  <w:num w:numId="28" w16cid:durableId="1794710921">
    <w:abstractNumId w:val="33"/>
  </w:num>
  <w:num w:numId="29" w16cid:durableId="1547453068">
    <w:abstractNumId w:val="30"/>
  </w:num>
  <w:num w:numId="30" w16cid:durableId="391848766">
    <w:abstractNumId w:val="15"/>
  </w:num>
  <w:num w:numId="31" w16cid:durableId="837380003">
    <w:abstractNumId w:val="25"/>
  </w:num>
  <w:num w:numId="32" w16cid:durableId="773670778">
    <w:abstractNumId w:val="42"/>
  </w:num>
  <w:num w:numId="33" w16cid:durableId="1517110960">
    <w:abstractNumId w:val="36"/>
  </w:num>
  <w:num w:numId="34" w16cid:durableId="235744974">
    <w:abstractNumId w:val="13"/>
  </w:num>
  <w:num w:numId="35" w16cid:durableId="1043405501">
    <w:abstractNumId w:val="26"/>
  </w:num>
  <w:num w:numId="36" w16cid:durableId="2084134814">
    <w:abstractNumId w:val="40"/>
  </w:num>
  <w:num w:numId="37" w16cid:durableId="89933474">
    <w:abstractNumId w:val="41"/>
  </w:num>
  <w:num w:numId="38" w16cid:durableId="1797527378">
    <w:abstractNumId w:val="27"/>
  </w:num>
  <w:num w:numId="39" w16cid:durableId="1212228563">
    <w:abstractNumId w:val="24"/>
  </w:num>
  <w:num w:numId="40" w16cid:durableId="56755869">
    <w:abstractNumId w:val="12"/>
  </w:num>
  <w:num w:numId="41" w16cid:durableId="1702583788">
    <w:abstractNumId w:val="37"/>
  </w:num>
  <w:num w:numId="42" w16cid:durableId="590286312">
    <w:abstractNumId w:val="14"/>
  </w:num>
  <w:num w:numId="43" w16cid:durableId="14277235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36F9C"/>
    <w:rsid w:val="000623F9"/>
    <w:rsid w:val="00073B00"/>
    <w:rsid w:val="00076D05"/>
    <w:rsid w:val="000817B0"/>
    <w:rsid w:val="000831E5"/>
    <w:rsid w:val="00090999"/>
    <w:rsid w:val="000E35F2"/>
    <w:rsid w:val="000E7A31"/>
    <w:rsid w:val="000F4367"/>
    <w:rsid w:val="001A1822"/>
    <w:rsid w:val="001C0500"/>
    <w:rsid w:val="00267114"/>
    <w:rsid w:val="00273AE0"/>
    <w:rsid w:val="00296C48"/>
    <w:rsid w:val="002A62E7"/>
    <w:rsid w:val="002B0FB0"/>
    <w:rsid w:val="002E6207"/>
    <w:rsid w:val="00302D61"/>
    <w:rsid w:val="00327919"/>
    <w:rsid w:val="00337EDA"/>
    <w:rsid w:val="00364992"/>
    <w:rsid w:val="00386F96"/>
    <w:rsid w:val="00395A8E"/>
    <w:rsid w:val="00396EDF"/>
    <w:rsid w:val="003D0EA5"/>
    <w:rsid w:val="003D15B5"/>
    <w:rsid w:val="003D1958"/>
    <w:rsid w:val="003E5D9E"/>
    <w:rsid w:val="004044E0"/>
    <w:rsid w:val="00420825"/>
    <w:rsid w:val="00444FE6"/>
    <w:rsid w:val="0047070D"/>
    <w:rsid w:val="00505AC1"/>
    <w:rsid w:val="005172B2"/>
    <w:rsid w:val="00565535"/>
    <w:rsid w:val="00577B93"/>
    <w:rsid w:val="005B2CFB"/>
    <w:rsid w:val="005D2017"/>
    <w:rsid w:val="00600ACA"/>
    <w:rsid w:val="00612436"/>
    <w:rsid w:val="00613274"/>
    <w:rsid w:val="00667B32"/>
    <w:rsid w:val="00681DD4"/>
    <w:rsid w:val="00697CBF"/>
    <w:rsid w:val="006B0CE0"/>
    <w:rsid w:val="006E2801"/>
    <w:rsid w:val="006F259D"/>
    <w:rsid w:val="00722B77"/>
    <w:rsid w:val="00741567"/>
    <w:rsid w:val="007D3AE1"/>
    <w:rsid w:val="007E0211"/>
    <w:rsid w:val="008067F7"/>
    <w:rsid w:val="00840030"/>
    <w:rsid w:val="00840D4C"/>
    <w:rsid w:val="0086424C"/>
    <w:rsid w:val="00864734"/>
    <w:rsid w:val="00872BB9"/>
    <w:rsid w:val="00894D4A"/>
    <w:rsid w:val="008B3241"/>
    <w:rsid w:val="008E704C"/>
    <w:rsid w:val="008F3A03"/>
    <w:rsid w:val="00916B59"/>
    <w:rsid w:val="00930217"/>
    <w:rsid w:val="009375D6"/>
    <w:rsid w:val="00972AF2"/>
    <w:rsid w:val="0098035B"/>
    <w:rsid w:val="009A4CC2"/>
    <w:rsid w:val="009B1E57"/>
    <w:rsid w:val="009B3614"/>
    <w:rsid w:val="009F16B5"/>
    <w:rsid w:val="00A735A4"/>
    <w:rsid w:val="00A923D5"/>
    <w:rsid w:val="00AF5C18"/>
    <w:rsid w:val="00B2363A"/>
    <w:rsid w:val="00B936EE"/>
    <w:rsid w:val="00BA653F"/>
    <w:rsid w:val="00BC08DD"/>
    <w:rsid w:val="00C07EA6"/>
    <w:rsid w:val="00C22DDD"/>
    <w:rsid w:val="00C7357E"/>
    <w:rsid w:val="00C75B0C"/>
    <w:rsid w:val="00C83A7E"/>
    <w:rsid w:val="00CC5348"/>
    <w:rsid w:val="00D26C7C"/>
    <w:rsid w:val="00D50F5D"/>
    <w:rsid w:val="00D956EA"/>
    <w:rsid w:val="00DA4753"/>
    <w:rsid w:val="00DC013C"/>
    <w:rsid w:val="00DD00F7"/>
    <w:rsid w:val="00DE2886"/>
    <w:rsid w:val="00DF6185"/>
    <w:rsid w:val="00E162B2"/>
    <w:rsid w:val="00E20C97"/>
    <w:rsid w:val="00E33F8A"/>
    <w:rsid w:val="00E37643"/>
    <w:rsid w:val="00E76811"/>
    <w:rsid w:val="00EA1936"/>
    <w:rsid w:val="00EE0253"/>
    <w:rsid w:val="00EE4FFB"/>
    <w:rsid w:val="00F32331"/>
    <w:rsid w:val="00F54200"/>
    <w:rsid w:val="00F66971"/>
    <w:rsid w:val="00FC0630"/>
    <w:rsid w:val="00FC39DA"/>
    <w:rsid w:val="00FE2679"/>
    <w:rsid w:val="00FE6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E6FBAE58-064E-F04E-82DC-660DBD23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53F"/>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BA653F"/>
    <w:pPr>
      <w:keepNext/>
      <w:keepLines/>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BA653F"/>
    <w:pPr>
      <w:keepNext/>
      <w:keepLines/>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BA653F"/>
    <w:pPr>
      <w:spacing w:before="260"/>
      <w:ind w:firstLine="0"/>
      <w:outlineLvl w:val="2"/>
    </w:pPr>
    <w:rPr>
      <w:rFonts w:eastAsia="Times New Roman"/>
      <w:bCs/>
    </w:rPr>
  </w:style>
  <w:style w:type="paragraph" w:styleId="Heading4">
    <w:name w:val="heading 4"/>
    <w:basedOn w:val="Normal"/>
    <w:next w:val="Normal"/>
    <w:link w:val="Heading4Char"/>
    <w:qFormat/>
    <w:rsid w:val="00BA653F"/>
    <w:pPr>
      <w:spacing w:before="260"/>
      <w:ind w:firstLine="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4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43"/>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43"/>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43"/>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43"/>
      </w:numPr>
      <w:spacing w:before="240" w:after="60"/>
      <w:outlineLvl w:val="8"/>
    </w:pPr>
    <w:rPr>
      <w:rFonts w:ascii="Cambria" w:eastAsia="Times New Roman" w:hAnsi="Cambria"/>
      <w:sz w:val="22"/>
      <w:szCs w:val="22"/>
    </w:rPr>
  </w:style>
  <w:style w:type="character" w:default="1" w:styleId="DefaultParagraphFont">
    <w:name w:val="Default Paragraph Font"/>
    <w:uiPriority w:val="99"/>
    <w:semiHidden/>
    <w:rsid w:val="00BA653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BA653F"/>
  </w:style>
  <w:style w:type="character" w:customStyle="1" w:styleId="Heading1Char">
    <w:name w:val="Heading 1 Char"/>
    <w:basedOn w:val="DefaultParagraphFont"/>
    <w:link w:val="Heading1"/>
    <w:rsid w:val="00BA653F"/>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BA653F"/>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BA653F"/>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BA653F"/>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BA653F"/>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BA653F"/>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BA653F"/>
    <w:pPr>
      <w:spacing w:line="180" w:lineRule="atLeast"/>
    </w:pPr>
    <w:rPr>
      <w:sz w:val="16"/>
    </w:rPr>
  </w:style>
  <w:style w:type="character" w:customStyle="1" w:styleId="FootnoteTextChar">
    <w:name w:val="Footnote Text Char"/>
    <w:basedOn w:val="DefaultParagraphFont"/>
    <w:link w:val="FootnoteText"/>
    <w:rsid w:val="00BA653F"/>
    <w:rPr>
      <w:rFonts w:ascii="Times New Roman" w:eastAsia="Calisto MT" w:hAnsi="Times New Roman" w:cs="Times New Roman"/>
      <w:kern w:val="0"/>
      <w:sz w:val="16"/>
      <w14:ligatures w14:val="none"/>
    </w:rPr>
  </w:style>
  <w:style w:type="character" w:styleId="FootnoteReference">
    <w:name w:val="footnote reference"/>
    <w:basedOn w:val="DefaultParagraphFont"/>
    <w:rsid w:val="00BA653F"/>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BA653F"/>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BA653F"/>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BA653F"/>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BA653F"/>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BA653F"/>
    <w:pPr>
      <w:ind w:firstLine="0"/>
    </w:pPr>
  </w:style>
  <w:style w:type="paragraph" w:customStyle="1" w:styleId="Contact">
    <w:name w:val="Contact"/>
    <w:next w:val="Normal"/>
    <w:rsid w:val="00BA653F"/>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BA653F"/>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BA653F"/>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BA653F"/>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BA653F"/>
    <w:pPr>
      <w:spacing w:after="120"/>
      <w:ind w:left="720" w:right="720" w:firstLine="0"/>
      <w:jc w:val="right"/>
    </w:pPr>
  </w:style>
  <w:style w:type="paragraph" w:customStyle="1" w:styleId="FigureTitle">
    <w:name w:val="Figure Title"/>
    <w:next w:val="Normal"/>
    <w:rsid w:val="00BA653F"/>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BA653F"/>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BA653F"/>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BA653F"/>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BA653F"/>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BA653F"/>
    <w:pPr>
      <w:numPr>
        <w:numId w:val="25"/>
      </w:numPr>
      <w:contextualSpacing/>
    </w:pPr>
  </w:style>
  <w:style w:type="paragraph" w:styleId="ListNumber">
    <w:name w:val="List Number"/>
    <w:basedOn w:val="Normal"/>
    <w:next w:val="Normal"/>
    <w:rsid w:val="00BA653F"/>
    <w:pPr>
      <w:numPr>
        <w:numId w:val="26"/>
      </w:numPr>
      <w:tabs>
        <w:tab w:val="clear" w:pos="1195"/>
      </w:tabs>
      <w:spacing w:after="260"/>
      <w:ind w:left="1555" w:hanging="720"/>
    </w:pPr>
  </w:style>
  <w:style w:type="paragraph" w:customStyle="1" w:styleId="FigurePlaceholder">
    <w:name w:val="Figure Placeholder"/>
    <w:basedOn w:val="Normal"/>
    <w:next w:val="Normal"/>
    <w:qFormat/>
    <w:rsid w:val="00BA653F"/>
    <w:pPr>
      <w:spacing w:before="260" w:after="260"/>
      <w:jc w:val="center"/>
    </w:pPr>
  </w:style>
  <w:style w:type="character" w:customStyle="1" w:styleId="TableFootLetter">
    <w:name w:val="Table FootLetter"/>
    <w:basedOn w:val="DefaultParagraphFont"/>
    <w:rsid w:val="00BA653F"/>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BA653F"/>
  </w:style>
  <w:style w:type="paragraph" w:customStyle="1" w:styleId="TablePlaceholder">
    <w:name w:val="Table Placeholder"/>
    <w:basedOn w:val="FigurePlaceholder"/>
    <w:next w:val="NoParagraphStyle"/>
    <w:qFormat/>
    <w:rsid w:val="00BA653F"/>
  </w:style>
  <w:style w:type="paragraph" w:styleId="DocumentMap">
    <w:name w:val="Document Map"/>
    <w:basedOn w:val="Normal"/>
    <w:link w:val="DocumentMapChar"/>
    <w:uiPriority w:val="99"/>
    <w:semiHidden/>
    <w:rsid w:val="00BA653F"/>
    <w:rPr>
      <w:rFonts w:ascii="Lucida Grande" w:hAnsi="Lucida Grande"/>
    </w:rPr>
  </w:style>
  <w:style w:type="character" w:customStyle="1" w:styleId="DocumentMapChar">
    <w:name w:val="Document Map Char"/>
    <w:basedOn w:val="DefaultParagraphFont"/>
    <w:link w:val="DocumentMap"/>
    <w:uiPriority w:val="99"/>
    <w:semiHidden/>
    <w:rsid w:val="00BA653F"/>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BA653F"/>
    <w:rPr>
      <w:sz w:val="18"/>
      <w:szCs w:val="18"/>
    </w:rPr>
  </w:style>
  <w:style w:type="paragraph" w:styleId="CommentText">
    <w:name w:val="annotation text"/>
    <w:basedOn w:val="Normal"/>
    <w:link w:val="CommentTextChar"/>
    <w:uiPriority w:val="99"/>
    <w:semiHidden/>
    <w:rsid w:val="00BA653F"/>
  </w:style>
  <w:style w:type="character" w:customStyle="1" w:styleId="CommentTextChar">
    <w:name w:val="Comment Text Char"/>
    <w:basedOn w:val="DefaultParagraphFont"/>
    <w:link w:val="CommentText"/>
    <w:uiPriority w:val="99"/>
    <w:semiHidden/>
    <w:rsid w:val="00BA653F"/>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BA653F"/>
    <w:rPr>
      <w:b/>
      <w:bCs/>
      <w:sz w:val="20"/>
      <w:szCs w:val="20"/>
    </w:rPr>
  </w:style>
  <w:style w:type="character" w:customStyle="1" w:styleId="CommentSubjectChar">
    <w:name w:val="Comment Subject Char"/>
    <w:basedOn w:val="CommentTextChar"/>
    <w:link w:val="CommentSubject"/>
    <w:uiPriority w:val="99"/>
    <w:semiHidden/>
    <w:rsid w:val="00BA653F"/>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BA653F"/>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A653F"/>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package" Target="embeddings/Microsoft_Word_Document.docx"/><Relationship Id="rId26" Type="http://schemas.openxmlformats.org/officeDocument/2006/relationships/chart" Target="charts/chart8.xml"/><Relationship Id="rId39" Type="http://schemas.openxmlformats.org/officeDocument/2006/relationships/package" Target="embeddings/Microsoft_Word_Document6.docx"/><Relationship Id="rId21" Type="http://schemas.openxmlformats.org/officeDocument/2006/relationships/chart" Target="charts/chart3.xml"/><Relationship Id="rId34" Type="http://schemas.openxmlformats.org/officeDocument/2006/relationships/package" Target="embeddings/Microsoft_Word_Document3.docx"/><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hart" Target="charts/chart2.xml"/><Relationship Id="rId29" Type="http://schemas.openxmlformats.org/officeDocument/2006/relationships/image" Target="media/image11.emf"/><Relationship Id="rId41" Type="http://schemas.openxmlformats.org/officeDocument/2006/relationships/package" Target="embeddings/Microsoft_Word_Document8.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chart" Target="charts/chart6.xml"/><Relationship Id="rId32" Type="http://schemas.openxmlformats.org/officeDocument/2006/relationships/package" Target="embeddings/Microsoft_Word_Document2.docx"/><Relationship Id="rId37" Type="http://schemas.openxmlformats.org/officeDocument/2006/relationships/image" Target="media/image15.emf"/><Relationship Id="rId40" Type="http://schemas.openxmlformats.org/officeDocument/2006/relationships/package" Target="embeddings/Microsoft_Word_Document7.doc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5.xml"/><Relationship Id="rId28" Type="http://schemas.openxmlformats.org/officeDocument/2006/relationships/image" Target="media/image10.jpeg"/><Relationship Id="rId36" Type="http://schemas.openxmlformats.org/officeDocument/2006/relationships/package" Target="embeddings/Microsoft_Word_Document4.docx"/><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package" Target="embeddings/Microsoft_Word_Document1.docx"/><Relationship Id="rId35" Type="http://schemas.openxmlformats.org/officeDocument/2006/relationships/image" Target="media/image14.emf"/><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chart" Target="charts/chart7.xml"/><Relationship Id="rId33" Type="http://schemas.openxmlformats.org/officeDocument/2006/relationships/image" Target="media/image13.emf"/><Relationship Id="rId38" Type="http://schemas.openxmlformats.org/officeDocument/2006/relationships/package" Target="embeddings/Microsoft_Word_Document5.docx"/></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1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Sheet1!$F$2:$F$11</c:f>
              <c:numCache>
                <c:formatCode>0.0%</c:formatCode>
                <c:ptCount val="10"/>
                <c:pt idx="0">
                  <c:v>1.2329619365420406E-2</c:v>
                </c:pt>
                <c:pt idx="1">
                  <c:v>1.2517462978485598E-2</c:v>
                </c:pt>
                <c:pt idx="2">
                  <c:v>1.1912568306010951E-2</c:v>
                </c:pt>
                <c:pt idx="3">
                  <c:v>1.1917241379310257E-2</c:v>
                </c:pt>
                <c:pt idx="4">
                  <c:v>1.1777655476059485E-2</c:v>
                </c:pt>
                <c:pt idx="5">
                  <c:v>6.4995868906636244E-3</c:v>
                </c:pt>
                <c:pt idx="6">
                  <c:v>1.2035010940919048E-2</c:v>
                </c:pt>
                <c:pt idx="7">
                  <c:v>1.2700165654334572E-2</c:v>
                </c:pt>
                <c:pt idx="8">
                  <c:v>1.2063669366098767E-2</c:v>
                </c:pt>
                <c:pt idx="9">
                  <c:v>1.2680115273775229E-2</c:v>
                </c:pt>
              </c:numCache>
            </c:numRef>
          </c:yVal>
          <c:smooth val="1"/>
          <c:extLst>
            <c:ext xmlns:c16="http://schemas.microsoft.com/office/drawing/2014/chart" uri="{C3380CC4-5D6E-409C-BE32-E72D297353CC}">
              <c16:uniqueId val="{00000000-BE40-B242-9801-1184BBA38C31}"/>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Sheet1!$K$2:$K$11</c:f>
              <c:numCache>
                <c:formatCode>0.0%</c:formatCode>
                <c:ptCount val="10"/>
                <c:pt idx="0">
                  <c:v>6.979062811565199E-3</c:v>
                </c:pt>
                <c:pt idx="1">
                  <c:v>5.8997050147492685E-3</c:v>
                </c:pt>
                <c:pt idx="2">
                  <c:v>5.3135971154758986E-3</c:v>
                </c:pt>
                <c:pt idx="3">
                  <c:v>6.1507936507938545E-3</c:v>
                </c:pt>
                <c:pt idx="4">
                  <c:v>5.1231527093596975E-3</c:v>
                </c:pt>
                <c:pt idx="5">
                  <c:v>3.3958538993089822E-2</c:v>
                </c:pt>
                <c:pt idx="6">
                  <c:v>5.3639846743295493E-3</c:v>
                </c:pt>
                <c:pt idx="7">
                  <c:v>9.219301686936127E-3</c:v>
                </c:pt>
                <c:pt idx="8">
                  <c:v>7.228915662650698E-3</c:v>
                </c:pt>
                <c:pt idx="9">
                  <c:v>8.5731781996325404E-3</c:v>
                </c:pt>
              </c:numCache>
            </c:numRef>
          </c:yVal>
          <c:smooth val="1"/>
          <c:extLst>
            <c:ext xmlns:c16="http://schemas.microsoft.com/office/drawing/2014/chart" uri="{C3380CC4-5D6E-409C-BE32-E72D297353CC}">
              <c16:uniqueId val="{00000001-BE40-B242-9801-1184BBA38C31}"/>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2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Sheet1!$F$16:$F$25</c:f>
              <c:numCache>
                <c:formatCode>0.0%</c:formatCode>
                <c:ptCount val="10"/>
                <c:pt idx="0">
                  <c:v>1.2768361581921003E-2</c:v>
                </c:pt>
                <c:pt idx="1">
                  <c:v>1.3602432955487949E-2</c:v>
                </c:pt>
                <c:pt idx="2">
                  <c:v>1.3337100875953696E-2</c:v>
                </c:pt>
                <c:pt idx="3">
                  <c:v>1.5076833864888388E-2</c:v>
                </c:pt>
                <c:pt idx="4">
                  <c:v>1.3040969417195587E-2</c:v>
                </c:pt>
                <c:pt idx="5">
                  <c:v>1.0848240046162682E-2</c:v>
                </c:pt>
                <c:pt idx="6">
                  <c:v>1.483211678832122E-2</c:v>
                </c:pt>
                <c:pt idx="7">
                  <c:v>1.532394366197177E-2</c:v>
                </c:pt>
                <c:pt idx="8">
                  <c:v>1.5194147439504733E-2</c:v>
                </c:pt>
                <c:pt idx="9">
                  <c:v>1.1451024417625581E-2</c:v>
                </c:pt>
              </c:numCache>
            </c:numRef>
          </c:yVal>
          <c:smooth val="1"/>
          <c:extLst>
            <c:ext xmlns:c16="http://schemas.microsoft.com/office/drawing/2014/chart" uri="{C3380CC4-5D6E-409C-BE32-E72D297353CC}">
              <c16:uniqueId val="{00000000-D694-0D4B-999A-B1A81A9B5FC9}"/>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Sheet1!$K$16:$K$25</c:f>
              <c:numCache>
                <c:formatCode>0.0%</c:formatCode>
                <c:ptCount val="10"/>
                <c:pt idx="0">
                  <c:v>2.0752797558494379E-2</c:v>
                </c:pt>
                <c:pt idx="1">
                  <c:v>7.0588235294118578E-3</c:v>
                </c:pt>
                <c:pt idx="2">
                  <c:v>9.3070308548305371E-3</c:v>
                </c:pt>
                <c:pt idx="3">
                  <c:v>2.6722777485533908E-2</c:v>
                </c:pt>
                <c:pt idx="4">
                  <c:v>1.9132010875037665E-2</c:v>
                </c:pt>
                <c:pt idx="5">
                  <c:v>1.2393803098450742E-2</c:v>
                </c:pt>
                <c:pt idx="6">
                  <c:v>2.5661914460285134E-2</c:v>
                </c:pt>
                <c:pt idx="7">
                  <c:v>1.7514124293785266E-2</c:v>
                </c:pt>
                <c:pt idx="8">
                  <c:v>5.838041431261755E-3</c:v>
                </c:pt>
                <c:pt idx="9">
                  <c:v>3.4613052199468336E-2</c:v>
                </c:pt>
              </c:numCache>
            </c:numRef>
          </c:yVal>
          <c:smooth val="1"/>
          <c:extLst>
            <c:ext xmlns:c16="http://schemas.microsoft.com/office/drawing/2014/chart" uri="{C3380CC4-5D6E-409C-BE32-E72D297353CC}">
              <c16:uniqueId val="{00000001-D694-0D4B-999A-B1A81A9B5FC9}"/>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3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Sheet1!$F$30:$F$39</c:f>
              <c:numCache>
                <c:formatCode>0.0%</c:formatCode>
                <c:ptCount val="10"/>
                <c:pt idx="0">
                  <c:v>1.4304993252361698E-2</c:v>
                </c:pt>
                <c:pt idx="1">
                  <c:v>1.0571923743500857E-2</c:v>
                </c:pt>
                <c:pt idx="2">
                  <c:v>9.6468561584841499E-3</c:v>
                </c:pt>
                <c:pt idx="3">
                  <c:v>1.5003178639542316E-2</c:v>
                </c:pt>
                <c:pt idx="4">
                  <c:v>1.1342785654712308E-2</c:v>
                </c:pt>
                <c:pt idx="5">
                  <c:v>9.6514745308311344E-3</c:v>
                </c:pt>
                <c:pt idx="6">
                  <c:v>9.9299809038827253E-3</c:v>
                </c:pt>
                <c:pt idx="7">
                  <c:v>1.0679811049496736E-2</c:v>
                </c:pt>
                <c:pt idx="8">
                  <c:v>1.0815273477812085E-2</c:v>
                </c:pt>
                <c:pt idx="9">
                  <c:v>1.1387900355871935E-2</c:v>
                </c:pt>
              </c:numCache>
            </c:numRef>
          </c:yVal>
          <c:smooth val="1"/>
          <c:extLst>
            <c:ext xmlns:c16="http://schemas.microsoft.com/office/drawing/2014/chart" uri="{C3380CC4-5D6E-409C-BE32-E72D297353CC}">
              <c16:uniqueId val="{00000000-F2B5-554B-AF47-208451DB13FE}"/>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Sheet1!$K$30:$K$39</c:f>
              <c:numCache>
                <c:formatCode>0.0%</c:formatCode>
                <c:ptCount val="10"/>
                <c:pt idx="0">
                  <c:v>5.124919923126206E-3</c:v>
                </c:pt>
                <c:pt idx="1">
                  <c:v>3.6242826940501393E-3</c:v>
                </c:pt>
                <c:pt idx="2">
                  <c:v>6.7714631197097206E-3</c:v>
                </c:pt>
                <c:pt idx="3">
                  <c:v>3.2902467685076674E-3</c:v>
                </c:pt>
                <c:pt idx="4">
                  <c:v>3.6592338479130709E-3</c:v>
                </c:pt>
                <c:pt idx="5">
                  <c:v>3.4463590883824255E-3</c:v>
                </c:pt>
                <c:pt idx="6">
                  <c:v>3.8040345821325301E-3</c:v>
                </c:pt>
                <c:pt idx="7">
                  <c:v>3.3778262053936162E-3</c:v>
                </c:pt>
                <c:pt idx="8">
                  <c:v>4.2757883484767544E-3</c:v>
                </c:pt>
                <c:pt idx="9">
                  <c:v>7.520044235554235E-3</c:v>
                </c:pt>
              </c:numCache>
            </c:numRef>
          </c:yVal>
          <c:smooth val="1"/>
          <c:extLst>
            <c:ext xmlns:c16="http://schemas.microsoft.com/office/drawing/2014/chart" uri="{C3380CC4-5D6E-409C-BE32-E72D297353CC}">
              <c16:uniqueId val="{00000001-F2B5-554B-AF47-208451DB13FE}"/>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1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Sheet1!$B$2:$B$11</c:f>
              <c:numCache>
                <c:formatCode>General</c:formatCode>
                <c:ptCount val="10"/>
                <c:pt idx="3" formatCode="0.0000">
                  <c:v>1.383381247330305E-3</c:v>
                </c:pt>
                <c:pt idx="4" formatCode="0.0000">
                  <c:v>6.9222639913159422E-3</c:v>
                </c:pt>
                <c:pt idx="7" formatCode="0.0000">
                  <c:v>1.1706482945540881E-2</c:v>
                </c:pt>
                <c:pt idx="8" formatCode="0.0000">
                  <c:v>5.1194985305539802E-3</c:v>
                </c:pt>
                <c:pt idx="9" formatCode="0.0000">
                  <c:v>8.1498959118465643E-3</c:v>
                </c:pt>
              </c:numCache>
            </c:numRef>
          </c:yVal>
          <c:smooth val="1"/>
          <c:extLst>
            <c:ext xmlns:c16="http://schemas.microsoft.com/office/drawing/2014/chart" uri="{C3380CC4-5D6E-409C-BE32-E72D297353CC}">
              <c16:uniqueId val="{00000000-482B-5D46-B535-69792AEEA14A}"/>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Sheet1!$C$2:$C$11</c:f>
              <c:numCache>
                <c:formatCode>0.0000</c:formatCode>
                <c:ptCount val="10"/>
                <c:pt idx="0">
                  <c:v>5.702369814797511E-4</c:v>
                </c:pt>
                <c:pt idx="1">
                  <c:v>2.7474827422054642E-2</c:v>
                </c:pt>
                <c:pt idx="2">
                  <c:v>1.8859737970875971E-2</c:v>
                </c:pt>
                <c:pt idx="3">
                  <c:v>0.59873849917669519</c:v>
                </c:pt>
                <c:pt idx="4">
                  <c:v>0.33972621804803149</c:v>
                </c:pt>
                <c:pt idx="5">
                  <c:v>0.72608618154202087</c:v>
                </c:pt>
                <c:pt idx="6">
                  <c:v>0.4457533733816022</c:v>
                </c:pt>
                <c:pt idx="7">
                  <c:v>0.18039953665833669</c:v>
                </c:pt>
                <c:pt idx="8">
                  <c:v>6.1228406451230163E-2</c:v>
                </c:pt>
                <c:pt idx="9">
                  <c:v>0.62427903557636533</c:v>
                </c:pt>
              </c:numCache>
            </c:numRef>
          </c:yVal>
          <c:smooth val="1"/>
          <c:extLst>
            <c:ext xmlns:c16="http://schemas.microsoft.com/office/drawing/2014/chart" uri="{C3380CC4-5D6E-409C-BE32-E72D297353CC}">
              <c16:uniqueId val="{00000001-482B-5D46-B535-69792AEEA14A}"/>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2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Sheet1!$B$12:$B$21</c:f>
              <c:numCache>
                <c:formatCode>General</c:formatCode>
                <c:ptCount val="10"/>
                <c:pt idx="0" formatCode="0.0000">
                  <c:v>1.7261631477015569E-2</c:v>
                </c:pt>
                <c:pt idx="2" formatCode="0.0000">
                  <c:v>0.13292002418368171</c:v>
                </c:pt>
                <c:pt idx="3" formatCode="0.0000">
                  <c:v>6.4506181624122876E-3</c:v>
                </c:pt>
                <c:pt idx="4" formatCode="0.0000">
                  <c:v>3.2174389217425187E-2</c:v>
                </c:pt>
                <c:pt idx="6" formatCode="0.0000">
                  <c:v>1.05234061012716E-2</c:v>
                </c:pt>
                <c:pt idx="7" formatCode="0.0000">
                  <c:v>8.8611569405811566E-3</c:v>
                </c:pt>
                <c:pt idx="8" formatCode="0.0000">
                  <c:v>9.8454880262870952E-3</c:v>
                </c:pt>
                <c:pt idx="9" formatCode="0.0000">
                  <c:v>9.1923211134149682E-2</c:v>
                </c:pt>
              </c:numCache>
            </c:numRef>
          </c:yVal>
          <c:smooth val="1"/>
          <c:extLst>
            <c:ext xmlns:c16="http://schemas.microsoft.com/office/drawing/2014/chart" uri="{C3380CC4-5D6E-409C-BE32-E72D297353CC}">
              <c16:uniqueId val="{00000000-1089-1A46-933A-E1B284236D5F}"/>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Sheet1!$C$12:$C$21</c:f>
              <c:numCache>
                <c:formatCode>0.0000</c:formatCode>
                <c:ptCount val="10"/>
                <c:pt idx="0">
                  <c:v>0.40085936246060699</c:v>
                </c:pt>
                <c:pt idx="1">
                  <c:v>1.255450518099164</c:v>
                </c:pt>
                <c:pt idx="2">
                  <c:v>1.3854470823628799</c:v>
                </c:pt>
                <c:pt idx="3">
                  <c:v>0.19162874488886189</c:v>
                </c:pt>
                <c:pt idx="4">
                  <c:v>0.96584170662629865</c:v>
                </c:pt>
                <c:pt idx="5">
                  <c:v>0.6184585809728429</c:v>
                </c:pt>
                <c:pt idx="6">
                  <c:v>0.25069963063644513</c:v>
                </c:pt>
                <c:pt idx="7">
                  <c:v>0.82919625382297946</c:v>
                </c:pt>
                <c:pt idx="8">
                  <c:v>0.482552129521432</c:v>
                </c:pt>
                <c:pt idx="9">
                  <c:v>1.1305427762269269</c:v>
                </c:pt>
              </c:numCache>
            </c:numRef>
          </c:yVal>
          <c:smooth val="1"/>
          <c:extLst>
            <c:ext xmlns:c16="http://schemas.microsoft.com/office/drawing/2014/chart" uri="{C3380CC4-5D6E-409C-BE32-E72D297353CC}">
              <c16:uniqueId val="{00000001-1089-1A46-933A-E1B284236D5F}"/>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3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Sheet1!$B$22:$B$31</c:f>
              <c:numCache>
                <c:formatCode>General</c:formatCode>
                <c:ptCount val="10"/>
                <c:pt idx="0" formatCode="0.0000">
                  <c:v>1.963548346894041E-2</c:v>
                </c:pt>
                <c:pt idx="2" formatCode="0.0000">
                  <c:v>0.1011694800149848</c:v>
                </c:pt>
                <c:pt idx="3" formatCode="0.0000">
                  <c:v>9.2031877472917786E-2</c:v>
                </c:pt>
                <c:pt idx="5" formatCode="0.0000">
                  <c:v>7.0951457787541625E-2</c:v>
                </c:pt>
                <c:pt idx="6" formatCode="0.0000">
                  <c:v>2.9112100742077009E-2</c:v>
                </c:pt>
                <c:pt idx="7" formatCode="0.0000">
                  <c:v>2.7810391689712801E-2</c:v>
                </c:pt>
                <c:pt idx="9" formatCode="0.0000">
                  <c:v>3.3215394257458522E-2</c:v>
                </c:pt>
              </c:numCache>
            </c:numRef>
          </c:yVal>
          <c:smooth val="1"/>
          <c:extLst>
            <c:ext xmlns:c16="http://schemas.microsoft.com/office/drawing/2014/chart" uri="{C3380CC4-5D6E-409C-BE32-E72D297353CC}">
              <c16:uniqueId val="{00000000-EF71-E544-B5A6-8BA55FC80266}"/>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Sheet1!$C$22:$C$31</c:f>
              <c:numCache>
                <c:formatCode>0.0000</c:formatCode>
                <c:ptCount val="10"/>
                <c:pt idx="0">
                  <c:v>1.812323893442032</c:v>
                </c:pt>
                <c:pt idx="1">
                  <c:v>8.7056670458905E-2</c:v>
                </c:pt>
                <c:pt idx="2">
                  <c:v>0.92821615868986385</c:v>
                </c:pt>
                <c:pt idx="3">
                  <c:v>0.9940843574258742</c:v>
                </c:pt>
                <c:pt idx="4">
                  <c:v>0.24649646713930121</c:v>
                </c:pt>
                <c:pt idx="5">
                  <c:v>0.20823647151652441</c:v>
                </c:pt>
                <c:pt idx="6">
                  <c:v>0.17767601828801771</c:v>
                </c:pt>
                <c:pt idx="7">
                  <c:v>8.8504776475800406E-2</c:v>
                </c:pt>
                <c:pt idx="8">
                  <c:v>0.75763789828196881</c:v>
                </c:pt>
                <c:pt idx="9">
                  <c:v>0.66766344614862316</c:v>
                </c:pt>
              </c:numCache>
            </c:numRef>
          </c:yVal>
          <c:smooth val="1"/>
          <c:extLst>
            <c:ext xmlns:c16="http://schemas.microsoft.com/office/drawing/2014/chart" uri="{C3380CC4-5D6E-409C-BE32-E72D297353CC}">
              <c16:uniqueId val="{00000001-EF71-E544-B5A6-8BA55FC80266}"/>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Sheet1!$B$2:$B$12</c:f>
              <c:numCache>
                <c:formatCode>General</c:formatCode>
                <c:ptCount val="11"/>
                <c:pt idx="1">
                  <c:v>3.771106451116113</c:v>
                </c:pt>
                <c:pt idx="4">
                  <c:v>2.6517302447006029E-2</c:v>
                </c:pt>
                <c:pt idx="5">
                  <c:v>20.580992358334989</c:v>
                </c:pt>
                <c:pt idx="7">
                  <c:v>43.952902569510982</c:v>
                </c:pt>
                <c:pt idx="8">
                  <c:v>8.7470541606327856</c:v>
                </c:pt>
                <c:pt idx="9">
                  <c:v>4.8062029083543054</c:v>
                </c:pt>
                <c:pt idx="10">
                  <c:v>1.0413716627196661</c:v>
                </c:pt>
              </c:numCache>
            </c:numRef>
          </c:yVal>
          <c:smooth val="1"/>
          <c:extLst>
            <c:ext xmlns:c16="http://schemas.microsoft.com/office/drawing/2014/chart" uri="{C3380CC4-5D6E-409C-BE32-E72D297353CC}">
              <c16:uniqueId val="{00000000-6178-8042-BAAF-E349F3D53CF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Sheet1!$C$2:$C$12</c:f>
              <c:numCache>
                <c:formatCode>General</c:formatCode>
                <c:ptCount val="11"/>
                <c:pt idx="0">
                  <c:v>1.7969652777723251</c:v>
                </c:pt>
                <c:pt idx="1">
                  <c:v>0.1088169757175393</c:v>
                </c:pt>
                <c:pt idx="2">
                  <c:v>4.9319932274387801E-2</c:v>
                </c:pt>
                <c:pt idx="3">
                  <c:v>6.262534975820193E-3</c:v>
                </c:pt>
                <c:pt idx="4">
                  <c:v>3.2628506357361718E-2</c:v>
                </c:pt>
                <c:pt idx="5">
                  <c:v>0.59438739816395647</c:v>
                </c:pt>
                <c:pt idx="7">
                  <c:v>1.21483440407343E-2</c:v>
                </c:pt>
                <c:pt idx="8">
                  <c:v>3.4605596371553443E-2</c:v>
                </c:pt>
                <c:pt idx="9">
                  <c:v>1.7426014210970551E-3</c:v>
                </c:pt>
                <c:pt idx="10">
                  <c:v>1.158751791961478E-2</c:v>
                </c:pt>
              </c:numCache>
            </c:numRef>
          </c:yVal>
          <c:smooth val="1"/>
          <c:extLst>
            <c:ext xmlns:c16="http://schemas.microsoft.com/office/drawing/2014/chart" uri="{C3380CC4-5D6E-409C-BE32-E72D297353CC}">
              <c16:uniqueId val="{00000001-6178-8042-BAAF-E349F3D53CF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Sheet1!$B$13:$B$23</c:f>
              <c:numCache>
                <c:formatCode>General</c:formatCode>
                <c:ptCount val="11"/>
                <c:pt idx="1">
                  <c:v>13.64253953668897</c:v>
                </c:pt>
                <c:pt idx="2">
                  <c:v>27.406690593573799</c:v>
                </c:pt>
                <c:pt idx="3">
                  <c:v>7.2270993575862238E-2</c:v>
                </c:pt>
                <c:pt idx="4">
                  <c:v>2.5694480754125082</c:v>
                </c:pt>
                <c:pt idx="5">
                  <c:v>0.83347612059353349</c:v>
                </c:pt>
                <c:pt idx="7">
                  <c:v>2.3423971649882072</c:v>
                </c:pt>
                <c:pt idx="8">
                  <c:v>3.0240627998659368</c:v>
                </c:pt>
                <c:pt idx="9">
                  <c:v>0.63775569784001762</c:v>
                </c:pt>
                <c:pt idx="10">
                  <c:v>2.463418944074816</c:v>
                </c:pt>
              </c:numCache>
            </c:numRef>
          </c:yVal>
          <c:smooth val="1"/>
          <c:extLst>
            <c:ext xmlns:c16="http://schemas.microsoft.com/office/drawing/2014/chart" uri="{C3380CC4-5D6E-409C-BE32-E72D297353CC}">
              <c16:uniqueId val="{00000000-D92F-6844-B073-C6FAB4B04BA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Sheet1!$C$13:$C$23</c:f>
              <c:numCache>
                <c:formatCode>General</c:formatCode>
                <c:ptCount val="11"/>
                <c:pt idx="1">
                  <c:v>5.6299253240496637E-2</c:v>
                </c:pt>
                <c:pt idx="2">
                  <c:v>7.2769160981637673E-2</c:v>
                </c:pt>
                <c:pt idx="3">
                  <c:v>1.7848363455519811E-3</c:v>
                </c:pt>
                <c:pt idx="4">
                  <c:v>1.6140261010619949E-2</c:v>
                </c:pt>
                <c:pt idx="5">
                  <c:v>0.22189786064605641</c:v>
                </c:pt>
                <c:pt idx="6">
                  <c:v>1.7838016427260829E-2</c:v>
                </c:pt>
                <c:pt idx="7">
                  <c:v>1.889110296428893E-2</c:v>
                </c:pt>
                <c:pt idx="8">
                  <c:v>3.4393863969434321E-2</c:v>
                </c:pt>
                <c:pt idx="9">
                  <c:v>2.450104727956762E-3</c:v>
                </c:pt>
                <c:pt idx="10">
                  <c:v>0.1353317258951221</c:v>
                </c:pt>
              </c:numCache>
            </c:numRef>
          </c:yVal>
          <c:smooth val="1"/>
          <c:extLst>
            <c:ext xmlns:c16="http://schemas.microsoft.com/office/drawing/2014/chart" uri="{C3380CC4-5D6E-409C-BE32-E72D297353CC}">
              <c16:uniqueId val="{00000001-D92F-6844-B073-C6FAB4B04BA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Sheet1!$B$24:$B$33</c:f>
              <c:numCache>
                <c:formatCode>General</c:formatCode>
                <c:ptCount val="10"/>
                <c:pt idx="0">
                  <c:v>10.39456013616258</c:v>
                </c:pt>
                <c:pt idx="1">
                  <c:v>1.3915441918359319</c:v>
                </c:pt>
                <c:pt idx="2">
                  <c:v>5.2476838592339199</c:v>
                </c:pt>
                <c:pt idx="3">
                  <c:v>20.47853134354072</c:v>
                </c:pt>
                <c:pt idx="5">
                  <c:v>7.5656826239992956</c:v>
                </c:pt>
                <c:pt idx="6">
                  <c:v>2.11182291756678</c:v>
                </c:pt>
                <c:pt idx="7">
                  <c:v>25.330926300121341</c:v>
                </c:pt>
                <c:pt idx="8">
                  <c:v>60.056950246133013</c:v>
                </c:pt>
                <c:pt idx="9">
                  <c:v>6.6337519978864528</c:v>
                </c:pt>
              </c:numCache>
            </c:numRef>
          </c:yVal>
          <c:smooth val="1"/>
          <c:extLst>
            <c:ext xmlns:c16="http://schemas.microsoft.com/office/drawing/2014/chart" uri="{C3380CC4-5D6E-409C-BE32-E72D297353CC}">
              <c16:uniqueId val="{00000000-4A6E-794F-B96D-A656EC02CC32}"/>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Sheet1!$C$24:$C$33</c:f>
              <c:numCache>
                <c:formatCode>General</c:formatCode>
                <c:ptCount val="10"/>
                <c:pt idx="0">
                  <c:v>5.7901880288574917E-2</c:v>
                </c:pt>
                <c:pt idx="1">
                  <c:v>6.9007987473923321E-4</c:v>
                </c:pt>
                <c:pt idx="2">
                  <c:v>1.51416358518736E-2</c:v>
                </c:pt>
                <c:pt idx="3">
                  <c:v>2.4276267526116741E-2</c:v>
                </c:pt>
                <c:pt idx="4">
                  <c:v>2.927396670435662E-2</c:v>
                </c:pt>
                <c:pt idx="5">
                  <c:v>2.0226679214833392E-2</c:v>
                </c:pt>
                <c:pt idx="6">
                  <c:v>9.6248115941137725E-3</c:v>
                </c:pt>
                <c:pt idx="7">
                  <c:v>5.1521069702772239E-2</c:v>
                </c:pt>
                <c:pt idx="8">
                  <c:v>6.1245201746196092E-3</c:v>
                </c:pt>
                <c:pt idx="9">
                  <c:v>2.0052557937778819E-2</c:v>
                </c:pt>
              </c:numCache>
            </c:numRef>
          </c:yVal>
          <c:smooth val="1"/>
          <c:extLst>
            <c:ext xmlns:c16="http://schemas.microsoft.com/office/drawing/2014/chart" uri="{C3380CC4-5D6E-409C-BE32-E72D297353CC}">
              <c16:uniqueId val="{00000001-4A6E-794F-B96D-A656EC02CC32}"/>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462</TotalTime>
  <Pages>56</Pages>
  <Words>19597</Words>
  <Characters>111703</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Alam, Arnob L CIV NG NGB (USA)</cp:lastModifiedBy>
  <cp:revision>40</cp:revision>
  <cp:lastPrinted>2024-06-22T06:21:00Z</cp:lastPrinted>
  <dcterms:created xsi:type="dcterms:W3CDTF">2024-06-19T17:06:00Z</dcterms:created>
  <dcterms:modified xsi:type="dcterms:W3CDTF">2024-06-23T20:24:00Z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id="X92BUEcO"/&gt;&lt;style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